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426"/>
        <w:gridCol w:w="3933"/>
        <w:gridCol w:w="2161"/>
      </w:tblGrid>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lang w:val="en-US" w:eastAsia="en-US" w:bidi="ar-SA"/>
              </w:rPr>
            </w:pPr>
            <w:r>
              <w:rPr>
                <w:rFonts w:eastAsia="Calibri" w:cs=""/>
                <w:color w:val="00B0F0"/>
                <w:kern w:val="0"/>
                <w:sz w:val="40"/>
                <w:szCs w:val="40"/>
                <w:lang w:val="en-US" w:eastAsia="en-US" w:bidi="ar-SA"/>
              </w:rPr>
              <w:t>Wentao Song</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PhD Candidate</w:t>
            </w:r>
          </w:p>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Department of Wildlife, Fisheries and Aquaculture</w:t>
            </w:r>
          </w:p>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Mississippi State University, US</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drawing>
                <wp:inline distT="0" distB="0" distL="0" distR="0">
                  <wp:extent cx="182880" cy="182880"/>
                  <wp:effectExtent l="0" t="0" r="0" b="0"/>
                  <wp:docPr id="1" name="Graphic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rFonts w:eastAsia="Calibri" w:cs=""/>
                <w:kern w:val="0"/>
                <w:sz w:val="22"/>
                <w:szCs w:val="22"/>
                <w:lang w:val="en-US" w:eastAsia="en-US" w:bidi="ar-SA"/>
              </w:rPr>
              <w:t xml:space="preserve">ws787@msstate.edu         </w:t>
            </w:r>
            <w:r>
              <w:rPr/>
              <w:drawing>
                <wp:inline distT="0" distB="0" distL="0" distR="0">
                  <wp:extent cx="182880" cy="182880"/>
                  <wp:effectExtent l="0" t="0" r="0" b="0"/>
                  <wp:docPr id="2" name="Graphic 2"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elephone with solid fill"/>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rFonts w:eastAsia="Calibri" w:cs=""/>
                <w:kern w:val="0"/>
                <w:sz w:val="22"/>
                <w:szCs w:val="22"/>
                <w:lang w:val="en-US" w:eastAsia="en-US" w:bidi="ar-SA"/>
              </w:rPr>
              <w:t>+1 (662) 341-0010</w:t>
            </w:r>
          </w:p>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drawing>
                <wp:inline distT="0" distB="0" distL="0" distR="0">
                  <wp:extent cx="182880" cy="182880"/>
                  <wp:effectExtent l="0" t="0" r="0" b="0"/>
                  <wp:docPr id="3" name="Graphic 3" descr="Wirele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ireless with solid fill"/>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rFonts w:eastAsia="Calibri" w:cs=""/>
                <w:kern w:val="0"/>
                <w:sz w:val="22"/>
                <w:szCs w:val="22"/>
                <w:lang w:val="en-US" w:eastAsia="en-US" w:bidi="ar-SA"/>
              </w:rPr>
              <w:t>https://www.quest.fwrc.msstate.edu/profile.php?id=15</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both"/>
              <w:rPr>
                <w:rFonts w:ascii="Calibri" w:hAnsi="Calibri" w:eastAsia="Calibri" w:cs=""/>
                <w:kern w:val="0"/>
                <w:sz w:val="22"/>
                <w:szCs w:val="22"/>
                <w:lang w:val="en-US" w:eastAsia="en-US" w:bidi="ar-SA"/>
              </w:rPr>
            </w:pPr>
            <w:r>
              <w:rPr>
                <w:rFonts w:eastAsia="Calibri" w:cs=""/>
                <w:kern w:val="0"/>
                <w:sz w:val="22"/>
                <w:szCs w:val="22"/>
                <w:lang w:val="en-US" w:eastAsia="en-US" w:bidi="ar-SA"/>
              </w:rPr>
              <w:t>I am a final-year PhD candidate at Mississippi State University, majoring in Natural Resources, with an anticipated graduation date of December 2024. With 13 years of training as a wildlife ecologist, my educational background includes comprehensive training in biology and ecology for wildlife management. My master’s research focused on how global changes affect the behavioral responses and population dynamics of small mammals. My doctoral research centers on using statistical models and machine learning to analyze the spatiotemporal dynamics of North American breeding bird populations. I have participated in various projects involving birds, rodents, deer, and primates. My interest lies in using statistical models and machine learning methods to analyze, model, and predict population dynamics, thereby contributing to wildlife management and conservation.</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lang w:val="en-US" w:eastAsia="en-US" w:bidi="ar-SA"/>
              </w:rPr>
            </w:pPr>
            <w:r>
              <w:rPr>
                <w:rFonts w:eastAsia="Calibri" w:cs=""/>
                <w:color w:val="00B0F0"/>
                <w:kern w:val="0"/>
                <w:sz w:val="28"/>
                <w:szCs w:val="28"/>
                <w:lang w:val="en-US" w:eastAsia="en-US" w:bidi="ar-SA"/>
              </w:rPr>
              <w:t>EDUCATION</w:t>
            </w:r>
          </w:p>
        </w:tc>
      </w:tr>
      <w:tr>
        <w:trPr/>
        <w:tc>
          <w:tcPr>
            <w:tcW w:w="9359" w:type="dxa"/>
            <w:gridSpan w:val="2"/>
            <w:tcBorders>
              <w:top w:val="nil"/>
              <w:left w:val="nil"/>
              <w:bottom w:val="nil"/>
              <w:right w:val="nil"/>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Mississippi State University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PhD. Natural Resources, Wildlife, Fishery and aquaculture concentration</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Supervisor: Dr. Guiming Wang</w:t>
            </w:r>
          </w:p>
        </w:tc>
        <w:tc>
          <w:tcPr>
            <w:tcW w:w="2161" w:type="dxa"/>
            <w:tcBorders>
              <w:top w:val="nil"/>
              <w:left w:val="nil"/>
              <w:bottom w:val="nil"/>
              <w:right w:val="nil"/>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Mississippi, US </w:t>
            </w:r>
          </w:p>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2019 - 2024</w:t>
            </w:r>
          </w:p>
        </w:tc>
      </w:tr>
      <w:tr>
        <w:trPr/>
        <w:tc>
          <w:tcPr>
            <w:tcW w:w="9359" w:type="dxa"/>
            <w:gridSpan w:val="2"/>
            <w:tcBorders>
              <w:top w:val="nil"/>
              <w:left w:val="nil"/>
              <w:bottom w:val="nil"/>
              <w:right w:val="nil"/>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Capital Normal University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MSc. Zoology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Supervisor: Dr. Zihui Zhang</w:t>
            </w:r>
          </w:p>
        </w:tc>
        <w:tc>
          <w:tcPr>
            <w:tcW w:w="2161" w:type="dxa"/>
            <w:tcBorders>
              <w:top w:val="nil"/>
              <w:left w:val="nil"/>
              <w:bottom w:val="nil"/>
              <w:right w:val="nil"/>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Beijing, China</w:t>
            </w:r>
          </w:p>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2015 - 2018</w:t>
            </w:r>
          </w:p>
        </w:tc>
      </w:tr>
      <w:tr>
        <w:trPr/>
        <w:tc>
          <w:tcPr>
            <w:tcW w:w="9359" w:type="dxa"/>
            <w:gridSpan w:val="2"/>
            <w:tcBorders>
              <w:top w:val="nil"/>
              <w:left w:val="nil"/>
              <w:bottom w:val="nil"/>
              <w:right w:val="nil"/>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Institute of Zoology, Chinese Academy of Sciences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Joint Master Program. Population ecology of small mammals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Supervisor: Dr. Xinrong Wan</w:t>
            </w:r>
          </w:p>
        </w:tc>
        <w:tc>
          <w:tcPr>
            <w:tcW w:w="2161" w:type="dxa"/>
            <w:tcBorders>
              <w:top w:val="nil"/>
              <w:left w:val="nil"/>
              <w:bottom w:val="nil"/>
              <w:right w:val="nil"/>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Beijing, China</w:t>
            </w:r>
          </w:p>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2015 - 2018</w:t>
            </w:r>
          </w:p>
        </w:tc>
      </w:tr>
      <w:tr>
        <w:trPr/>
        <w:tc>
          <w:tcPr>
            <w:tcW w:w="9359" w:type="dxa"/>
            <w:gridSpan w:val="2"/>
            <w:tcBorders>
              <w:top w:val="nil"/>
              <w:left w:val="nil"/>
              <w:bottom w:val="nil"/>
              <w:right w:val="nil"/>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China Agricultural University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BSc(Agr). Aquaculture</w:t>
            </w:r>
          </w:p>
        </w:tc>
        <w:tc>
          <w:tcPr>
            <w:tcW w:w="2161" w:type="dxa"/>
            <w:tcBorders>
              <w:top w:val="nil"/>
              <w:left w:val="nil"/>
              <w:bottom w:val="nil"/>
              <w:right w:val="nil"/>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Beijing, China</w:t>
            </w:r>
          </w:p>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2011 - 2015</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color w:val="00B0F0"/>
                <w:kern w:val="0"/>
                <w:sz w:val="28"/>
                <w:szCs w:val="28"/>
                <w:lang w:val="en-US" w:eastAsia="en-US" w:bidi="ar-SA"/>
              </w:rPr>
            </w:pPr>
            <w:r>
              <w:rPr>
                <w:rFonts w:eastAsia="Calibri" w:cs=""/>
                <w:color w:val="00B0F0"/>
                <w:kern w:val="0"/>
                <w:sz w:val="28"/>
                <w:szCs w:val="28"/>
                <w:lang w:val="en-US" w:eastAsia="en-US" w:bidi="ar-SA"/>
              </w:rPr>
              <w:t>EMPLOYMENT EXPERIENCE</w:t>
            </w:r>
          </w:p>
        </w:tc>
      </w:tr>
      <w:tr>
        <w:trPr/>
        <w:tc>
          <w:tcPr>
            <w:tcW w:w="9359" w:type="dxa"/>
            <w:gridSpan w:val="2"/>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 xml:space="preserve">Mississippi State University  </w:t>
            </w:r>
            <w:r>
              <w:rPr>
                <w:rFonts w:eastAsia="Calibri" w:cs=""/>
                <w:kern w:val="0"/>
                <w:sz w:val="22"/>
                <w:szCs w:val="22"/>
                <w:lang w:val="en-US" w:eastAsia="en-US" w:bidi="ar-SA"/>
              </w:rPr>
              <w:t xml:space="preserve">                       </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Teaching assistant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Assisted instructors in preparing lectures and labs for undergraduate students.</w:t>
            </w:r>
          </w:p>
        </w:tc>
        <w:tc>
          <w:tcPr>
            <w:tcW w:w="2161" w:type="dxa"/>
            <w:tcBorders>
              <w:top w:val="nil"/>
              <w:left w:val="nil"/>
              <w:bottom w:val="nil"/>
              <w:right w:val="nil"/>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Mississippi, US 2019.08-2024.12</w:t>
            </w:r>
          </w:p>
        </w:tc>
      </w:tr>
      <w:tr>
        <w:trPr/>
        <w:tc>
          <w:tcPr>
            <w:tcW w:w="9359" w:type="dxa"/>
            <w:gridSpan w:val="2"/>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 xml:space="preserve">Northwestern University      </w:t>
            </w:r>
            <w:r>
              <w:rPr>
                <w:rFonts w:eastAsia="Calibri" w:cs=""/>
                <w:kern w:val="0"/>
                <w:sz w:val="22"/>
                <w:szCs w:val="22"/>
                <w:lang w:val="en-US" w:eastAsia="en-US" w:bidi="ar-SA"/>
              </w:rPr>
              <w:t xml:space="preserve">                           </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Research assistant in Golden Snub-nosed monkey project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Assisted the lab PI and postdoctoral researchers in coordinating government staff, stakeholders, and workers, as well as in data collection (tracking monkeys, monitoring behaviors, and 3D-reconstructing habitats), data analysis, and manuscript writing.</w:t>
            </w:r>
          </w:p>
        </w:tc>
        <w:tc>
          <w:tcPr>
            <w:tcW w:w="2161" w:type="dxa"/>
            <w:tcBorders>
              <w:top w:val="nil"/>
              <w:left w:val="nil"/>
              <w:bottom w:val="nil"/>
              <w:right w:val="nil"/>
            </w:tcBorders>
          </w:tcPr>
          <w:p>
            <w:pPr>
              <w:pStyle w:val="Normal"/>
              <w:widowControl w:val="false"/>
              <w:suppressAutoHyphens w:val="true"/>
              <w:spacing w:lineRule="auto" w:line="240" w:before="0" w:after="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t>Xi'an, China 2018.09-2019.05</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color w:val="00B0F0"/>
                <w:kern w:val="0"/>
                <w:sz w:val="28"/>
                <w:szCs w:val="28"/>
                <w:lang w:val="en-US" w:eastAsia="en-US" w:bidi="ar-SA"/>
              </w:rPr>
              <w:t>SKILLS</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QUANTITATIVE SKILLS</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series analysis</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Spatial modeling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Bayesian hierarchical modeling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Structured decision making </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Coding with R, Python, Julia, and SAS</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Bayesian analysis with PyMC3, WinBUGS, JAGS, and Stan</w:t>
            </w:r>
          </w:p>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TEACHING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High school teaching certification (biology and physics) in China</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Ecology, Population Ecology, and Community Ecology</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Ornithology and Mammalogy</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Ecological Modeling</w:t>
            </w:r>
          </w:p>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FIELDWORK &amp; LABWORK</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Small mammal trapping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Primate movement tracking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Deer spotlight survey and distance sampling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Bird banding</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Polymerase Chain Reaction and Electrophoresis</w:t>
            </w:r>
          </w:p>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LANGUAGES</w:t>
            </w:r>
          </w:p>
          <w:p>
            <w:pPr>
              <w:pStyle w:val="Normal"/>
              <w:widowControl w:val="false"/>
              <w:suppressAutoHyphens w:val="true"/>
              <w:spacing w:lineRule="auto" w:line="240" w:before="0" w:after="0"/>
              <w:ind w:left="72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Advanced speaker of Mandarin and English</w:t>
            </w:r>
          </w:p>
          <w:p>
            <w:pPr>
              <w:pStyle w:val="Normal"/>
              <w:widowControl w:val="false"/>
              <w:suppressAutoHyphens w:val="true"/>
              <w:spacing w:lineRule="auto" w:line="240" w:before="0" w:after="0"/>
              <w:ind w:left="720" w:hanging="0"/>
              <w:jc w:val="left"/>
              <w:rPr>
                <w:sz w:val="28"/>
                <w:szCs w:val="28"/>
              </w:rPr>
            </w:pPr>
            <w:r>
              <w:rPr>
                <w:rFonts w:eastAsia="Calibri" w:cs=""/>
                <w:kern w:val="0"/>
                <w:sz w:val="22"/>
                <w:szCs w:val="22"/>
                <w:lang w:val="en-US" w:eastAsia="en-US" w:bidi="ar-SA"/>
              </w:rPr>
              <w:t>Intermediate speaker of Japanese and French</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color w:val="00B0F0"/>
                <w:kern w:val="0"/>
                <w:sz w:val="28"/>
                <w:szCs w:val="28"/>
                <w:lang w:val="en-US" w:eastAsia="en-US" w:bidi="ar-SA"/>
              </w:rPr>
            </w:pPr>
            <w:r>
              <w:rPr>
                <w:rFonts w:eastAsia="Calibri" w:cs=""/>
                <w:color w:val="00B0F0"/>
                <w:kern w:val="0"/>
                <w:sz w:val="28"/>
                <w:szCs w:val="28"/>
                <w:lang w:val="en-US" w:eastAsia="en-US" w:bidi="ar-SA"/>
              </w:rPr>
              <w:t>COURSES ASSISTED</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color w:val="000000"/>
                <w:kern w:val="0"/>
                <w:sz w:val="22"/>
                <w:szCs w:val="22"/>
                <w:lang w:val="en-US" w:eastAsia="en-US" w:bidi="ar-SA"/>
              </w:rPr>
            </w:pPr>
            <w:r>
              <w:rPr>
                <w:rFonts w:eastAsia="Calibri" w:cs=""/>
                <w:color w:val="000000"/>
                <w:kern w:val="0"/>
                <w:sz w:val="22"/>
                <w:szCs w:val="22"/>
                <w:lang w:val="en-US" w:eastAsia="en-US" w:bidi="ar-SA"/>
              </w:rPr>
              <w:t>Applied Aquatic and Terrestrial Ecology (WFA3133, Dr. Sandra Correa). Fall 2023.</w:t>
            </w:r>
          </w:p>
          <w:p>
            <w:pPr>
              <w:pStyle w:val="Normal"/>
              <w:widowControl w:val="false"/>
              <w:suppressAutoHyphens w:val="true"/>
              <w:spacing w:lineRule="auto" w:line="240" w:before="0" w:after="0"/>
              <w:jc w:val="left"/>
              <w:rPr>
                <w:rFonts w:ascii="Calibri" w:hAnsi="Calibri" w:eastAsia="Calibri" w:cs=""/>
                <w:color w:val="000000"/>
                <w:kern w:val="0"/>
                <w:sz w:val="22"/>
                <w:szCs w:val="22"/>
                <w:lang w:val="en-US" w:eastAsia="en-US" w:bidi="ar-SA"/>
              </w:rPr>
            </w:pPr>
            <w:r>
              <w:rPr>
                <w:rFonts w:eastAsia="Calibri" w:cs=""/>
                <w:color w:val="000000"/>
                <w:kern w:val="0"/>
                <w:sz w:val="22"/>
                <w:szCs w:val="22"/>
                <w:lang w:val="en-US" w:eastAsia="en-US" w:bidi="ar-SA"/>
              </w:rPr>
              <w:t>Mammalogy (WFA 4433, Dr. Christopher Ayers). Fall 2022.</w:t>
            </w:r>
          </w:p>
          <w:p>
            <w:pPr>
              <w:pStyle w:val="Normal"/>
              <w:widowControl w:val="false"/>
              <w:suppressAutoHyphens w:val="true"/>
              <w:spacing w:lineRule="auto" w:line="240" w:before="0" w:after="0"/>
              <w:jc w:val="left"/>
              <w:rPr>
                <w:rFonts w:ascii="Calibri" w:hAnsi="Calibri" w:eastAsia="Calibri" w:cs=""/>
                <w:color w:val="000000"/>
                <w:kern w:val="0"/>
                <w:sz w:val="22"/>
                <w:szCs w:val="22"/>
                <w:lang w:val="en-US" w:eastAsia="en-US" w:bidi="ar-SA"/>
              </w:rPr>
            </w:pPr>
            <w:r>
              <w:rPr>
                <w:rFonts w:eastAsia="Calibri" w:cs=""/>
                <w:color w:val="000000"/>
                <w:kern w:val="0"/>
                <w:sz w:val="22"/>
                <w:szCs w:val="22"/>
                <w:lang w:val="en-US" w:eastAsia="en-US" w:bidi="ar-SA"/>
              </w:rPr>
              <w:t>Ornithology (WFA 4443, Dr. Christopher Ayers). Spring 2021.</w:t>
            </w:r>
          </w:p>
          <w:p>
            <w:pPr>
              <w:pStyle w:val="Normal"/>
              <w:widowControl w:val="false"/>
              <w:suppressAutoHyphens w:val="true"/>
              <w:spacing w:lineRule="auto" w:line="240" w:before="0" w:after="0"/>
              <w:jc w:val="left"/>
              <w:rPr>
                <w:rFonts w:ascii="Calibri" w:hAnsi="Calibri" w:eastAsia="Calibri" w:cs=""/>
                <w:color w:val="000000"/>
                <w:kern w:val="0"/>
                <w:sz w:val="22"/>
                <w:szCs w:val="22"/>
                <w:lang w:val="en-US" w:eastAsia="en-US" w:bidi="ar-SA"/>
              </w:rPr>
            </w:pPr>
            <w:r>
              <w:rPr>
                <w:rFonts w:eastAsia="Calibri" w:cs=""/>
                <w:color w:val="000000"/>
                <w:kern w:val="0"/>
                <w:sz w:val="22"/>
                <w:szCs w:val="22"/>
                <w:lang w:val="en-US" w:eastAsia="en-US" w:bidi="ar-SA"/>
              </w:rPr>
              <w:t>Wildlife and Fishery Practice (WFA4473, Dr. John Davis). Spring 2020.</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color w:val="00B0F0"/>
                <w:kern w:val="0"/>
                <w:sz w:val="28"/>
                <w:szCs w:val="28"/>
                <w:lang w:val="en-US" w:eastAsia="en-US" w:bidi="ar-SA"/>
              </w:rPr>
            </w:pPr>
            <w:r>
              <w:rPr>
                <w:rFonts w:eastAsia="Calibri" w:cs=""/>
                <w:color w:val="00B0F0"/>
                <w:kern w:val="0"/>
                <w:sz w:val="28"/>
                <w:szCs w:val="28"/>
                <w:lang w:val="en-US" w:eastAsia="en-US" w:bidi="ar-SA"/>
              </w:rPr>
              <w:t>INVITED LECTURES</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Responses of bird populations to climatic changes. Applied Ecology. MSU, Fall 2023.</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Series Lectures of Conservation Biology: </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(1)The IUCN red list of threatened species: How it’s being used.</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(2)Habitat destruction: Death by a thousand cuts.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(3)Reintroduction and rewilding as conservation strategies.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(4)Climate change: Implications for biodiversity.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Current Topics in Conservation Biology. MSU, Fall 2021.</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Clustering Methods. Quantitative and Statistical Ecology. MSU, Spring 2021.</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Plotting with Matplotlib. Python Club. MSU, Fall 2020.</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lang w:val="en-US" w:eastAsia="en-US" w:bidi="ar-SA"/>
              </w:rPr>
            </w:pPr>
            <w:r>
              <w:rPr>
                <w:rFonts w:eastAsia="Calibri" w:cs=""/>
                <w:color w:val="00B0F0"/>
                <w:kern w:val="0"/>
                <w:sz w:val="28"/>
                <w:szCs w:val="28"/>
                <w:lang w:val="en-US" w:eastAsia="en-US" w:bidi="ar-SA"/>
              </w:rPr>
              <w:t>CONFERENCE PRESENTATIONS</w:t>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ind w:left="720" w:hanging="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Variations in the responses of North American breeding bird populations to climatic changes. The Wildlife Society’s 30th Annual Conference, Louisville, KY, 2023.</w:t>
            </w:r>
          </w:p>
          <w:p>
            <w:pPr>
              <w:pStyle w:val="Normal"/>
              <w:widowControl w:val="false"/>
              <w:suppressAutoHyphens w:val="true"/>
              <w:spacing w:lineRule="auto" w:line="240" w:before="0" w:after="0"/>
              <w:ind w:left="720" w:hanging="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Variations in the responses of North American breeding bird populations to climatic changes. The Wildlife Society Mississippi Chapter Annual Meeting, Jackson, MS, 2023.</w:t>
            </w:r>
          </w:p>
          <w:p>
            <w:pPr>
              <w:pStyle w:val="Normal"/>
              <w:widowControl w:val="false"/>
              <w:suppressAutoHyphens w:val="true"/>
              <w:spacing w:lineRule="auto" w:line="240" w:before="0" w:after="0"/>
              <w:ind w:left="720" w:hanging="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Population dynamic patterns of North American breeding birds under global changes. The Wildlife Society’s 29th Annual Conference, Spokane, WA, 2022.</w:t>
            </w:r>
          </w:p>
          <w:p>
            <w:pPr>
              <w:pStyle w:val="Normal"/>
              <w:widowControl w:val="false"/>
              <w:suppressAutoHyphens w:val="true"/>
              <w:spacing w:lineRule="auto" w:line="240" w:before="0" w:after="0"/>
              <w:ind w:left="720" w:hanging="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Machine Learning for Identifying Population Dynamic Patterns of North American Breeding Birds. The Wildlife Society Mississippi Chapter Annual Meeting (online), 2022.</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sz w:val="28"/>
                <w:szCs w:val="28"/>
              </w:rPr>
            </w:pPr>
            <w:r>
              <w:rPr>
                <w:sz w:val="28"/>
                <w:szCs w:val="28"/>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sz w:val="28"/>
                <w:szCs w:val="28"/>
              </w:rPr>
            </w:pPr>
            <w:r>
              <w:rPr>
                <w:rFonts w:eastAsia="Calibri" w:cs=""/>
                <w:color w:val="00B0F0"/>
                <w:kern w:val="0"/>
                <w:sz w:val="28"/>
                <w:szCs w:val="28"/>
                <w:lang w:val="en-US" w:eastAsia="en-US" w:bidi="ar-SA"/>
              </w:rPr>
              <w:t>Publications</w:t>
            </w:r>
          </w:p>
        </w:tc>
      </w:tr>
      <w:tr>
        <w:trPr/>
        <w:tc>
          <w:tcPr>
            <w:tcW w:w="11520" w:type="dxa"/>
            <w:gridSpan w:val="3"/>
            <w:tcBorders>
              <w:top w:val="nil"/>
              <w:left w:val="nil"/>
              <w:bottom w:val="nil"/>
              <w:right w:val="nil"/>
            </w:tcBorders>
          </w:tcPr>
          <w:p>
            <w:pPr>
              <w:pStyle w:val="Normal"/>
              <w:widowControl w:val="false"/>
              <w:tabs>
                <w:tab w:val="clear" w:pos="720"/>
              </w:tabs>
              <w:suppressAutoHyphens w:val="true"/>
              <w:spacing w:lineRule="auto" w:line="240" w:before="0" w:after="0"/>
              <w:ind w:left="720" w:right="0" w:hanging="72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Song, W.</w:t>
            </w:r>
            <w:r>
              <w:rPr>
                <w:rFonts w:eastAsia="Calibri" w:cs=""/>
                <w:kern w:val="0"/>
                <w:sz w:val="22"/>
                <w:szCs w:val="22"/>
                <w:lang w:val="en-US" w:eastAsia="en-US" w:bidi="ar-SA"/>
              </w:rPr>
              <w:t>, Kouba A.J., Burger L.M., et al. Interactions of life history traits, density dependence and responses to climate changes on long-term dynamic patterns of North American breeding bird populations. (In prep for Global Change Biology)</w:t>
            </w:r>
          </w:p>
          <w:p>
            <w:pPr>
              <w:pStyle w:val="Normal"/>
              <w:widowControl w:val="false"/>
              <w:tabs>
                <w:tab w:val="clear" w:pos="720"/>
              </w:tabs>
              <w:suppressAutoHyphens w:val="true"/>
              <w:spacing w:lineRule="auto" w:line="240" w:before="0" w:after="0"/>
              <w:ind w:left="720" w:right="0" w:hanging="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Yang, H. T., Li, S., Hou, R., </w:t>
            </w:r>
            <w:r>
              <w:rPr>
                <w:rFonts w:eastAsia="Calibri" w:cs=""/>
                <w:b/>
                <w:bCs/>
                <w:kern w:val="0"/>
                <w:sz w:val="22"/>
                <w:szCs w:val="22"/>
                <w:lang w:val="en-US" w:eastAsia="en-US" w:bidi="ar-SA"/>
              </w:rPr>
              <w:t>Song, W. T.</w:t>
            </w:r>
            <w:r>
              <w:rPr>
                <w:rFonts w:eastAsia="Calibri" w:cs=""/>
                <w:kern w:val="0"/>
                <w:sz w:val="22"/>
                <w:szCs w:val="22"/>
                <w:lang w:val="en-US" w:eastAsia="en-US" w:bidi="ar-SA"/>
              </w:rPr>
              <w:t>, Fu, Y. W., Li, Y. B., ... &amp; Li, B. G. (2023). Three-dimensional assessment of movement patterns of Sichuan snub-nosed monkeys affected by habitat structure in temperate forests. Zoological Research, 44(2), 361.</w:t>
            </w:r>
          </w:p>
          <w:p>
            <w:pPr>
              <w:pStyle w:val="Normal"/>
              <w:widowControl w:val="false"/>
              <w:tabs>
                <w:tab w:val="clear" w:pos="720"/>
              </w:tabs>
              <w:suppressAutoHyphens w:val="true"/>
              <w:spacing w:lineRule="auto" w:line="240" w:before="0" w:after="0"/>
              <w:ind w:left="720" w:right="0" w:hanging="72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Song, W.</w:t>
            </w:r>
            <w:r>
              <w:rPr>
                <w:rFonts w:eastAsia="Calibri" w:cs=""/>
                <w:kern w:val="0"/>
                <w:sz w:val="22"/>
                <w:szCs w:val="22"/>
                <w:lang w:val="en-US" w:eastAsia="en-US" w:bidi="ar-SA"/>
              </w:rPr>
              <w:t>, Wang, Y., Zhang, X., Zhang, W., . . . &amp; Wan, X. (2017). Influence of Group Size and Foraging Distance on Vigilance Frequency of Brandt′s Vole (</w:t>
            </w:r>
            <w:r>
              <w:rPr>
                <w:rFonts w:eastAsia="Calibri" w:cs=""/>
                <w:i/>
                <w:iCs/>
                <w:kern w:val="0"/>
                <w:sz w:val="22"/>
                <w:szCs w:val="22"/>
                <w:lang w:val="en-US" w:eastAsia="en-US" w:bidi="ar-SA"/>
              </w:rPr>
              <w:t>Lasiopodomys brandtii</w:t>
            </w:r>
            <w:r>
              <w:rPr>
                <w:rFonts w:eastAsia="Calibri" w:cs=""/>
                <w:kern w:val="0"/>
                <w:sz w:val="22"/>
                <w:szCs w:val="22"/>
                <w:lang w:val="en-US" w:eastAsia="en-US" w:bidi="ar-SA"/>
              </w:rPr>
              <w:t>) in Food Storing Period. Chinese Journal of Zoology, 52(5): 754-760.</w:t>
            </w:r>
          </w:p>
          <w:p>
            <w:pPr>
              <w:pStyle w:val="Normal"/>
              <w:widowControl w:val="false"/>
              <w:tabs>
                <w:tab w:val="clear" w:pos="720"/>
              </w:tabs>
              <w:suppressAutoHyphens w:val="true"/>
              <w:spacing w:lineRule="auto" w:line="240" w:before="0" w:after="0"/>
              <w:ind w:left="720" w:right="0" w:hanging="72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Song, W.</w:t>
            </w:r>
            <w:r>
              <w:rPr>
                <w:rFonts w:eastAsia="Calibri" w:cs=""/>
                <w:kern w:val="0"/>
                <w:sz w:val="22"/>
                <w:szCs w:val="22"/>
                <w:lang w:val="en-US" w:eastAsia="en-US" w:bidi="ar-SA"/>
              </w:rPr>
              <w:t xml:space="preserve">, Wang, Y., Sai, N., . . . &amp; Zhang, Z. (2016). Numerical Response of Hawks Density to the Rodents Density in Typical Steppe. Chinese Journal of Zoology, 51(4): 529-535. </w:t>
            </w:r>
          </w:p>
        </w:tc>
      </w:tr>
      <w:tr>
        <w:trPr/>
        <w:tc>
          <w:tcPr>
            <w:tcW w:w="5426" w:type="dxa"/>
            <w:tcBorders>
              <w:top w:val="nil"/>
              <w:left w:val="nil"/>
              <w:bottom w:val="nil"/>
              <w:right w:val="nil"/>
            </w:tcBorders>
          </w:tcPr>
          <w:p>
            <w:pPr>
              <w:pStyle w:val="Normal"/>
              <w:widowControl w:val="false"/>
              <w:suppressAutoHyphens w:val="true"/>
              <w:spacing w:lineRule="auto" w:line="240" w:before="0" w:after="0"/>
              <w:jc w:val="left"/>
              <w:rPr>
                <w:sz w:val="28"/>
                <w:szCs w:val="28"/>
              </w:rPr>
            </w:pPr>
            <w:r>
              <w:rPr>
                <w:sz w:val="28"/>
                <w:szCs w:val="28"/>
              </w:rPr>
            </w:r>
          </w:p>
        </w:tc>
        <w:tc>
          <w:tcPr>
            <w:tcW w:w="393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sz w:val="28"/>
                <w:szCs w:val="28"/>
              </w:rPr>
            </w:pPr>
            <w:r>
              <w:rPr>
                <w:rFonts w:eastAsia="Calibri" w:cs=""/>
                <w:color w:val="00B0F0"/>
                <w:kern w:val="0"/>
                <w:sz w:val="28"/>
                <w:szCs w:val="28"/>
                <w:lang w:val="en-US" w:eastAsia="en-US" w:bidi="ar-SA"/>
              </w:rPr>
              <w:t>REFEREES</w:t>
            </w:r>
          </w:p>
        </w:tc>
      </w:tr>
      <w:tr>
        <w:trPr>
          <w:trHeight w:val="816" w:hRule="atLeast"/>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Dr. Guiming Wang</w:t>
            </w:r>
            <w:r>
              <w:rPr>
                <w:rFonts w:eastAsia="Calibri" w:cs=""/>
                <w:kern w:val="0"/>
                <w:sz w:val="22"/>
                <w:szCs w:val="22"/>
                <w:lang w:val="en-US" w:eastAsia="en-US" w:bidi="ar-SA"/>
              </w:rPr>
              <w:t xml:space="preserve"> (PhD supervisor)</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Professor, Department of Wildlife, Fisheries and Aquaculture, Mississippi State University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guiming.wang@msstate.edu</w:t>
            </w:r>
          </w:p>
        </w:tc>
      </w:tr>
      <w:tr>
        <w:trPr>
          <w:trHeight w:val="816" w:hRule="atLeast"/>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 xml:space="preserve">Dr. Xinrong Wan </w:t>
            </w:r>
            <w:r>
              <w:rPr>
                <w:rFonts w:eastAsia="Calibri" w:cs=""/>
                <w:kern w:val="0"/>
                <w:sz w:val="22"/>
                <w:szCs w:val="22"/>
                <w:lang w:val="en-US" w:eastAsia="en-US" w:bidi="ar-SA"/>
              </w:rPr>
              <w:t>(Master supervisor)</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Associate Professor, Institute of Zoology, Chinese Academy of Sciences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wanxr@ioz.ac.cn</w:t>
            </w:r>
          </w:p>
        </w:tc>
      </w:tr>
      <w:tr>
        <w:trPr>
          <w:trHeight w:val="816" w:hRule="atLeast"/>
        </w:trPr>
        <w:tc>
          <w:tcPr>
            <w:tcW w:w="11520" w:type="dxa"/>
            <w:gridSpan w:val="3"/>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Dr. Ryo Ogawa</w:t>
            </w:r>
            <w:r>
              <w:rPr>
                <w:rFonts w:eastAsia="Calibri" w:cs=""/>
                <w:kern w:val="0"/>
                <w:sz w:val="22"/>
                <w:szCs w:val="22"/>
                <w:lang w:val="en-US" w:eastAsia="en-US" w:bidi="ar-SA"/>
              </w:rPr>
              <w:t xml:space="preserve"> (lab colleague)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Postdoc, Chair of Computational Landscape Ecology, Technische Universität Dresden, Germany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ryo.ogawa@tu-dresden.de</w:t>
            </w:r>
          </w:p>
        </w:tc>
      </w:tr>
    </w:tbl>
    <w:p>
      <w:pPr>
        <w:pStyle w:val="Normal"/>
        <w:widowControl/>
        <w:bidi w:val="0"/>
        <w:spacing w:lineRule="auto" w:line="259" w:before="0" w:after="160"/>
        <w:jc w:val="left"/>
        <w:rPr/>
      </w:pPr>
      <w:r>
        <w:rPr/>
      </w:r>
    </w:p>
    <w:sectPr>
      <w:headerReference w:type="default" r:id="rId5"/>
      <w:type w:val="nextPage"/>
      <w:pgSz w:w="12240" w:h="15840"/>
      <w:pgMar w:left="360" w:right="360" w:gutter="0" w:header="360" w:top="1080" w:footer="0" w:bottom="36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BFBFBF" w:themeColor="background1" w:themeShade="bf"/>
      </w:rPr>
    </w:pPr>
    <w:r>
      <w:rPr>
        <w:color w:val="BFBFBF" w:themeColor="background1" w:themeShade="bf"/>
      </w:rPr>
      <w:t>Wentao Song                                                                                                                                July 2024</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71bf"/>
    <w:rPr/>
  </w:style>
  <w:style w:type="character" w:styleId="FooterChar" w:customStyle="1">
    <w:name w:val="Footer Char"/>
    <w:basedOn w:val="DefaultParagraphFont"/>
    <w:link w:val="Footer"/>
    <w:uiPriority w:val="99"/>
    <w:qFormat/>
    <w:rsid w:val="00b771bf"/>
    <w:rPr/>
  </w:style>
  <w:style w:type="character" w:styleId="InternetLink">
    <w:name w:val="Hyperlink"/>
    <w:basedOn w:val="DefaultParagraphFont"/>
    <w:uiPriority w:val="99"/>
    <w:unhideWhenUsed/>
    <w:rsid w:val="00953bea"/>
    <w:rPr>
      <w:color w:val="0563C1" w:themeColor="hyperlink"/>
      <w:u w:val="single"/>
    </w:rPr>
  </w:style>
  <w:style w:type="character" w:styleId="UnresolvedMention">
    <w:name w:val="Unresolved Mention"/>
    <w:basedOn w:val="DefaultParagraphFont"/>
    <w:uiPriority w:val="99"/>
    <w:semiHidden/>
    <w:unhideWhenUsed/>
    <w:qFormat/>
    <w:rsid w:val="00953be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771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71b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54bdb"/>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771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LibreOffice/7.3.7.2$Linux_X86_64 LibreOffice_project/30$Build-2</Application>
  <AppVersion>15.0000</AppVersion>
  <Pages>3</Pages>
  <Words>760</Words>
  <Characters>4895</Characters>
  <CharactersWithSpaces>5774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2023-08-09T03:33:00Z</dcterms:created>
  <dc:creator>Song, Wentao</dc:creator>
  <dc:description/>
  <dc:language>en-US</dc:language>
  <cp:lastModifiedBy/>
  <cp:lastPrinted>2023-08-09T05:57:00Z</cp:lastPrinted>
  <dcterms:modified xsi:type="dcterms:W3CDTF">2024-07-08T15:34:55Z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