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80"/>
        <w:jc w:val="center"/>
        <w:rPr/>
      </w:pPr>
      <w:r>
        <w:rPr>
          <w:rFonts w:eastAsia="Calibri" w:cs="Calibri"/>
          <w:b/>
          <w:bCs/>
          <w:color w:val="1F4E79"/>
          <w:sz w:val="52"/>
          <w:szCs w:val="52"/>
        </w:rPr>
        <w:t>PRINCIPLES OF ECOLOGY</w:t>
      </w:r>
    </w:p>
    <w:p>
      <w:pPr>
        <w:pStyle w:val="Normal"/>
        <w:spacing w:before="0" w:after="40"/>
        <w:jc w:val="center"/>
        <w:rPr/>
      </w:pPr>
      <w:r>
        <w:rPr>
          <w:color w:val="555555"/>
          <w:sz w:val="22"/>
          <w:szCs w:val="22"/>
        </w:rPr>
        <w:t>BIOL 3XX  ·  3 Credit Hours  ·  Fall Semester 202</w:t>
      </w:r>
      <w:r>
        <w:rPr>
          <w:color w:val="555555"/>
          <w:sz w:val="22"/>
          <w:szCs w:val="22"/>
        </w:rPr>
        <w:t>X</w:t>
      </w:r>
    </w:p>
    <w:p>
      <w:pPr>
        <w:pStyle w:val="Normal"/>
        <w:spacing w:before="0" w:after="40"/>
        <w:jc w:val="center"/>
        <w:rPr/>
      </w:pPr>
      <w:r>
        <w:rPr>
          <w:color w:val="555555"/>
          <w:sz w:val="20"/>
          <w:szCs w:val="20"/>
        </w:rPr>
        <w:t xml:space="preserve">Lecture: MWF 10:00–10:50 AM  ·  Room: </w:t>
      </w:r>
      <w:r>
        <w:rPr>
          <w:color w:val="555555"/>
          <w:sz w:val="20"/>
          <w:szCs w:val="20"/>
        </w:rPr>
        <w:t>-</w:t>
      </w:r>
    </w:p>
    <w:p>
      <w:pPr>
        <w:pStyle w:val="Normal"/>
        <w:spacing w:before="0" w:after="40"/>
        <w:jc w:val="center"/>
        <w:rPr/>
      </w:pPr>
      <w:r>
        <w:rPr>
          <w:color w:val="555555"/>
          <w:sz w:val="20"/>
          <w:szCs w:val="20"/>
        </w:rPr>
        <w:t>Instructor: [-]  ·  Office: [-]  ·  Email: [-]</w:t>
      </w:r>
    </w:p>
    <w:p>
      <w:pPr>
        <w:pStyle w:val="Normal"/>
        <w:spacing w:before="0" w:after="300"/>
        <w:jc w:val="center"/>
        <w:rPr/>
      </w:pPr>
      <w:r>
        <w:rPr>
          <w:color w:val="555555"/>
          <w:sz w:val="20"/>
          <w:szCs w:val="20"/>
        </w:rPr>
        <w:t>Office Hours: [-]  ·  Canvas: [-]</w:t>
      </w:r>
    </w:p>
    <w:p>
      <w:pPr>
        <w:pStyle w:val="Heading1"/>
        <w:rPr/>
      </w:pPr>
      <w:r>
        <w:rPr/>
        <w:t>1. Course Description</w:t>
      </w:r>
    </w:p>
    <w:p>
      <w:pPr>
        <w:pStyle w:val="Normal"/>
        <w:spacing w:before="60" w:after="60"/>
        <w:rPr/>
      </w:pPr>
      <w:r>
        <w:rPr>
          <w:sz w:val="20"/>
          <w:szCs w:val="20"/>
        </w:rPr>
        <w:t>This course surveys the core principles of ecology at four levels of biological organization: individuals, populations, communities, and ecosystems. Using Begon &amp; Townsend's Ecology: From Individuals to Ecosystems (5th ed., 2021) as the primary text, we examine how organisms respond to their physical environment, how populations grow and are regulated, how species interact, how communities assemble, and how energy and nutrients flow through ecosystems. Quantitative reasoning, primary literature analysis, and real-world applications — including conservation biology and climate-change ecology — are integrated throughout. The course consists of 45 lectures organized into five thematic blocks, with two in-semester exams and a comprehensive final.</w:t>
      </w:r>
    </w:p>
    <w:p>
      <w:pPr>
        <w:pStyle w:val="Heading1"/>
        <w:rPr/>
      </w:pPr>
      <w:r>
        <w:rPr/>
        <w:t>2. Prerequisites</w:t>
      </w:r>
    </w:p>
    <w:p>
      <w:pPr>
        <w:pStyle w:val="Normal"/>
        <w:spacing w:before="60" w:after="60"/>
        <w:rPr/>
      </w:pPr>
      <w:r>
        <w:rPr>
          <w:sz w:val="20"/>
          <w:szCs w:val="20"/>
        </w:rPr>
        <w:t>Introductory Biology I &amp; II (BIOL 1XX &amp; 1YY) or equivalent; MATH 1XX (Calculus I) or STAT 2XX recommended. Students without prerequisites must obtain instructor consent before enrolling.</w:t>
      </w:r>
    </w:p>
    <w:p>
      <w:pPr>
        <w:pStyle w:val="Heading1"/>
        <w:rPr/>
      </w:pPr>
      <w:r>
        <w:rPr/>
        <w:t>3. Student Learning Outcomes</w:t>
      </w:r>
    </w:p>
    <w:p>
      <w:pPr>
        <w:pStyle w:val="Normal"/>
        <w:spacing w:before="60" w:after="60"/>
        <w:rPr/>
      </w:pPr>
      <w:r>
        <w:rPr>
          <w:sz w:val="20"/>
          <w:szCs w:val="20"/>
        </w:rPr>
        <w:t>Upon successful completion, students will be able to:</w:t>
      </w:r>
    </w:p>
    <w:p>
      <w:pPr>
        <w:pStyle w:val="ListParagraph"/>
        <w:numPr>
          <w:ilvl w:val="0"/>
          <w:numId w:val="3"/>
        </w:numPr>
        <w:spacing w:before="40" w:after="40"/>
        <w:rPr/>
      </w:pPr>
      <w:r>
        <w:rPr>
          <w:sz w:val="20"/>
          <w:szCs w:val="20"/>
        </w:rPr>
        <w:t>Explain how abiotic factors (temperature, water, light, nutrients) shape physiology, distribution, and adaptation of organisms.</w:t>
      </w:r>
    </w:p>
    <w:p>
      <w:pPr>
        <w:pStyle w:val="ListParagraph"/>
        <w:numPr>
          <w:ilvl w:val="0"/>
          <w:numId w:val="1"/>
        </w:numPr>
        <w:spacing w:before="40" w:after="40"/>
        <w:rPr/>
      </w:pPr>
      <w:r>
        <w:rPr>
          <w:sz w:val="20"/>
          <w:szCs w:val="20"/>
        </w:rPr>
        <w:t>Apply mathematical models — logistic growth, Leslie matrices, Lotka-Volterra competition and predation, SIR epidemiology — to analyze population and community dynamics.</w:t>
      </w:r>
    </w:p>
    <w:p>
      <w:pPr>
        <w:pStyle w:val="ListParagraph"/>
        <w:numPr>
          <w:ilvl w:val="0"/>
          <w:numId w:val="1"/>
        </w:numPr>
        <w:spacing w:before="40" w:after="40"/>
        <w:rPr/>
      </w:pPr>
      <w:r>
        <w:rPr>
          <w:sz w:val="20"/>
          <w:szCs w:val="20"/>
        </w:rPr>
        <w:t>Compare and contrast species interactions (competition, predation, herbivory, parasitism, mutualism) and predict their ecological and evolutionary consequences.</w:t>
      </w:r>
    </w:p>
    <w:p>
      <w:pPr>
        <w:pStyle w:val="ListParagraph"/>
        <w:numPr>
          <w:ilvl w:val="0"/>
          <w:numId w:val="1"/>
        </w:numPr>
        <w:spacing w:before="40" w:after="40"/>
        <w:rPr/>
      </w:pPr>
      <w:r>
        <w:rPr>
          <w:sz w:val="20"/>
          <w:szCs w:val="20"/>
        </w:rPr>
        <w:t>Interpret community structure and biodiversity patterns using niche theory, island biogeography, food web topology, and succession models.</w:t>
      </w:r>
    </w:p>
    <w:p>
      <w:pPr>
        <w:pStyle w:val="ListParagraph"/>
        <w:numPr>
          <w:ilvl w:val="0"/>
          <w:numId w:val="1"/>
        </w:numPr>
        <w:spacing w:before="40" w:after="40"/>
        <w:rPr/>
      </w:pPr>
      <w:r>
        <w:rPr>
          <w:sz w:val="20"/>
          <w:szCs w:val="20"/>
        </w:rPr>
        <w:t>Quantify energy flow and biogeochemical cycling through ecosystems and evaluate human-driven alterations.</w:t>
      </w:r>
    </w:p>
    <w:p>
      <w:pPr>
        <w:pStyle w:val="ListParagraph"/>
        <w:numPr>
          <w:ilvl w:val="0"/>
          <w:numId w:val="1"/>
        </w:numPr>
        <w:spacing w:before="40" w:after="40"/>
        <w:rPr/>
      </w:pPr>
      <w:r>
        <w:rPr>
          <w:sz w:val="20"/>
          <w:szCs w:val="20"/>
        </w:rPr>
        <w:t>Critically evaluate primary ecological literature and communicate findings in written and oral formats.</w:t>
      </w:r>
    </w:p>
    <w:p>
      <w:pPr>
        <w:pStyle w:val="ListParagraph"/>
        <w:numPr>
          <w:ilvl w:val="0"/>
          <w:numId w:val="1"/>
        </w:numPr>
        <w:spacing w:before="40" w:after="40"/>
        <w:rPr/>
      </w:pPr>
      <w:r>
        <w:rPr>
          <w:sz w:val="20"/>
          <w:szCs w:val="20"/>
        </w:rPr>
        <w:t>Connect ecological principles to conservation, pest management, fisheries, and global environmental change.</w:t>
      </w:r>
    </w:p>
    <w:p>
      <w:pPr>
        <w:pStyle w:val="Heading1"/>
        <w:rPr/>
      </w:pPr>
      <w:r>
        <w:rPr/>
        <w:t>4. Required Materials</w:t>
      </w:r>
    </w:p>
    <w:p>
      <w:pPr>
        <w:pStyle w:val="Normal"/>
        <w:spacing w:before="60" w:after="60"/>
        <w:rPr/>
      </w:pPr>
      <w:r>
        <w:rPr>
          <w:sz w:val="20"/>
          <w:szCs w:val="20"/>
        </w:rPr>
        <w:t>Textbook (required):</w:t>
      </w:r>
    </w:p>
    <w:p>
      <w:pPr>
        <w:pStyle w:val="ListParagraph"/>
        <w:numPr>
          <w:ilvl w:val="0"/>
          <w:numId w:val="1"/>
        </w:numPr>
        <w:spacing w:before="40" w:after="40"/>
        <w:rPr/>
      </w:pPr>
      <w:r>
        <w:rPr>
          <w:sz w:val="20"/>
          <w:szCs w:val="20"/>
        </w:rPr>
        <w:t>Begon, M. &amp; Townsend, C. R. (2021). Ecology: From Individuals to Ecosystems (5th ed., 22 chapters, 864 pp.). Wiley-Blackwell. ISBN 978-1-119-27935-8.</w:t>
      </w:r>
    </w:p>
    <w:p>
      <w:pPr>
        <w:pStyle w:val="Normal"/>
        <w:spacing w:before="60" w:after="60"/>
        <w:rPr/>
      </w:pPr>
      <w:r>
        <w:rPr>
          <w:sz w:val="20"/>
          <w:szCs w:val="20"/>
        </w:rPr>
        <w:t>Recommended supplements:</w:t>
      </w:r>
    </w:p>
    <w:p>
      <w:pPr>
        <w:pStyle w:val="ListParagraph"/>
        <w:numPr>
          <w:ilvl w:val="0"/>
          <w:numId w:val="1"/>
        </w:numPr>
        <w:spacing w:before="40" w:after="40"/>
        <w:rPr/>
      </w:pPr>
      <w:r>
        <w:rPr>
          <w:sz w:val="20"/>
          <w:szCs w:val="20"/>
        </w:rPr>
        <w:t>R statistical software (free; r-project.org) — for optional computational extensions to problem sets.</w:t>
      </w:r>
    </w:p>
    <w:p>
      <w:pPr>
        <w:pStyle w:val="ListParagraph"/>
        <w:numPr>
          <w:ilvl w:val="0"/>
          <w:numId w:val="1"/>
        </w:numPr>
        <w:spacing w:before="40" w:after="40"/>
        <w:rPr>
          <w:sz w:val="20"/>
          <w:szCs w:val="20"/>
        </w:rPr>
      </w:pPr>
      <w:r>
        <w:rPr/>
      </w:r>
    </w:p>
    <w:p>
      <w:pPr>
        <w:pStyle w:val="Heading1"/>
        <w:rPr/>
      </w:pPr>
      <w:r>
        <w:rPr/>
        <w:t>5. Grading</w:t>
      </w:r>
    </w:p>
    <w:p>
      <w:pPr>
        <w:pStyle w:val="Normal"/>
        <w:spacing w:before="0" w:after="80"/>
        <w:rPr/>
      </w:pPr>
      <w:r>
        <w:rPr/>
      </w:r>
    </w:p>
    <w:tbl>
      <w:tblPr>
        <w:tblW w:w="9300" w:type="dxa"/>
        <w:jc w:val="left"/>
        <w:tblInd w:w="0" w:type="dxa"/>
        <w:tblLayout w:type="fixed"/>
        <w:tblCellMar>
          <w:top w:w="0" w:type="dxa"/>
          <w:left w:w="108" w:type="dxa"/>
          <w:bottom w:w="0" w:type="dxa"/>
          <w:right w:w="108" w:type="dxa"/>
        </w:tblCellMar>
      </w:tblPr>
      <w:tblGrid>
        <w:gridCol w:w="3200"/>
        <w:gridCol w:w="1100"/>
        <w:gridCol w:w="5000"/>
      </w:tblGrid>
      <w:tr>
        <w:trPr/>
        <w:tc>
          <w:tcPr>
            <w:tcW w:w="3200" w:type="dxa"/>
            <w:tcBorders>
              <w:top w:val="single" w:sz="4" w:space="0" w:color="000000"/>
              <w:left w:val="single" w:sz="4" w:space="0" w:color="000000"/>
              <w:bottom w:val="single" w:sz="4" w:space="0" w:color="000000"/>
              <w:right w:val="single" w:sz="4" w:space="0" w:color="000000"/>
            </w:tcBorders>
            <w:shd w:fill="1F4E79" w:val="clear"/>
          </w:tcPr>
          <w:p>
            <w:pPr>
              <w:pStyle w:val="Normal"/>
              <w:jc w:val="left"/>
              <w:rPr/>
            </w:pPr>
            <w:r>
              <w:rPr>
                <w:b/>
                <w:bCs/>
                <w:color w:val="FFFFFF"/>
                <w:sz w:val="18"/>
                <w:szCs w:val="18"/>
              </w:rPr>
              <w:t>Component</w:t>
            </w:r>
          </w:p>
        </w:tc>
        <w:tc>
          <w:tcPr>
            <w:tcW w:w="1100" w:type="dxa"/>
            <w:tcBorders>
              <w:top w:val="single" w:sz="4" w:space="0" w:color="000000"/>
              <w:left w:val="single" w:sz="4" w:space="0" w:color="000000"/>
              <w:bottom w:val="single" w:sz="4" w:space="0" w:color="000000"/>
              <w:right w:val="single" w:sz="4" w:space="0" w:color="000000"/>
            </w:tcBorders>
            <w:shd w:fill="1F4E79" w:val="clear"/>
          </w:tcPr>
          <w:p>
            <w:pPr>
              <w:pStyle w:val="Normal"/>
              <w:jc w:val="center"/>
              <w:rPr/>
            </w:pPr>
            <w:r>
              <w:rPr>
                <w:b/>
                <w:bCs/>
                <w:color w:val="FFFFFF"/>
                <w:sz w:val="18"/>
                <w:szCs w:val="18"/>
              </w:rPr>
              <w:t>Weight</w:t>
            </w:r>
          </w:p>
        </w:tc>
        <w:tc>
          <w:tcPr>
            <w:tcW w:w="5000" w:type="dxa"/>
            <w:tcBorders>
              <w:top w:val="single" w:sz="4" w:space="0" w:color="000000"/>
              <w:left w:val="single" w:sz="4" w:space="0" w:color="000000"/>
              <w:bottom w:val="single" w:sz="4" w:space="0" w:color="000000"/>
              <w:right w:val="single" w:sz="4" w:space="0" w:color="000000"/>
            </w:tcBorders>
            <w:shd w:fill="1F4E79" w:val="clear"/>
          </w:tcPr>
          <w:p>
            <w:pPr>
              <w:pStyle w:val="Normal"/>
              <w:jc w:val="left"/>
              <w:rPr/>
            </w:pPr>
            <w:r>
              <w:rPr>
                <w:b/>
                <w:bCs/>
                <w:color w:val="FFFFFF"/>
                <w:sz w:val="18"/>
                <w:szCs w:val="18"/>
              </w:rPr>
              <w:t>Notes</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Midterm Exam I</w:t>
            </w:r>
          </w:p>
        </w:tc>
        <w:tc>
          <w:tcPr>
            <w:tcW w:w="1100"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color w:val="000000"/>
                <w:sz w:val="18"/>
                <w:szCs w:val="18"/>
              </w:rPr>
              <w:t>20%</w:t>
            </w:r>
          </w:p>
        </w:tc>
        <w:tc>
          <w:tcPr>
            <w:tcW w:w="50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Lectures 1–18; closed-book; short answer + essay</w:t>
            </w:r>
          </w:p>
        </w:tc>
      </w:tr>
      <w:tr>
        <w:trPr/>
        <w:tc>
          <w:tcPr>
            <w:tcW w:w="320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color w:val="000000"/>
                <w:sz w:val="18"/>
                <w:szCs w:val="18"/>
              </w:rPr>
              <w:t>Midterm Exam II</w:t>
            </w:r>
          </w:p>
        </w:tc>
        <w:tc>
          <w:tcPr>
            <w:tcW w:w="1100"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color w:val="000000"/>
                <w:sz w:val="18"/>
                <w:szCs w:val="18"/>
              </w:rPr>
              <w:t>20%</w:t>
            </w:r>
          </w:p>
        </w:tc>
        <w:tc>
          <w:tcPr>
            <w:tcW w:w="500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color w:val="000000"/>
                <w:sz w:val="18"/>
                <w:szCs w:val="18"/>
              </w:rPr>
              <w:t>Lectures 19–32; closed-book; short answer + essay</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Final Exam (cumulative)</w:t>
            </w:r>
          </w:p>
        </w:tc>
        <w:tc>
          <w:tcPr>
            <w:tcW w:w="1100"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color w:val="000000"/>
                <w:sz w:val="18"/>
                <w:szCs w:val="18"/>
              </w:rPr>
              <w:t>25%</w:t>
            </w:r>
          </w:p>
        </w:tc>
        <w:tc>
          <w:tcPr>
            <w:tcW w:w="50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All lectures; scheduled by Registrar</w:t>
            </w:r>
          </w:p>
        </w:tc>
      </w:tr>
      <w:tr>
        <w:trPr/>
        <w:tc>
          <w:tcPr>
            <w:tcW w:w="320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color w:val="000000"/>
                <w:sz w:val="18"/>
                <w:szCs w:val="18"/>
              </w:rPr>
              <w:t>Problem Sets (×12, weekly)</w:t>
            </w:r>
          </w:p>
        </w:tc>
        <w:tc>
          <w:tcPr>
            <w:tcW w:w="1100"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color w:val="000000"/>
                <w:sz w:val="18"/>
                <w:szCs w:val="18"/>
              </w:rPr>
              <w:t>15%</w:t>
            </w:r>
          </w:p>
        </w:tc>
        <w:tc>
          <w:tcPr>
            <w:tcW w:w="500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color w:val="000000"/>
                <w:sz w:val="18"/>
                <w:szCs w:val="18"/>
              </w:rPr>
              <w:t>Due each Friday 11:59 PM on Canvas</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Research Paper (2,000 words)</w:t>
            </w:r>
          </w:p>
        </w:tc>
        <w:tc>
          <w:tcPr>
            <w:tcW w:w="1100"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color w:val="000000"/>
                <w:sz w:val="18"/>
                <w:szCs w:val="18"/>
              </w:rPr>
              <w:t>10%</w:t>
            </w:r>
          </w:p>
        </w:tc>
        <w:tc>
          <w:tcPr>
            <w:tcW w:w="50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Primary literature synthesis; due Week 13</w:t>
            </w:r>
          </w:p>
        </w:tc>
      </w:tr>
      <w:tr>
        <w:trPr/>
        <w:tc>
          <w:tcPr>
            <w:tcW w:w="320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color w:val="000000"/>
                <w:sz w:val="18"/>
                <w:szCs w:val="18"/>
              </w:rPr>
              <w:t>Oral Presentation</w:t>
            </w:r>
          </w:p>
        </w:tc>
        <w:tc>
          <w:tcPr>
            <w:tcW w:w="1100"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color w:val="000000"/>
                <w:sz w:val="18"/>
                <w:szCs w:val="18"/>
              </w:rPr>
              <w:t>5%</w:t>
            </w:r>
          </w:p>
        </w:tc>
        <w:tc>
          <w:tcPr>
            <w:tcW w:w="500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color w:val="000000"/>
                <w:sz w:val="18"/>
                <w:szCs w:val="18"/>
              </w:rPr>
              <w:t>10-min talk; delivered Lectures 43–44</w:t>
            </w:r>
          </w:p>
        </w:tc>
      </w:tr>
      <w:tr>
        <w:trPr/>
        <w:tc>
          <w:tcPr>
            <w:tcW w:w="32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Participation &amp; Discussion</w:t>
            </w:r>
          </w:p>
        </w:tc>
        <w:tc>
          <w:tcPr>
            <w:tcW w:w="1100"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color w:val="000000"/>
                <w:sz w:val="18"/>
                <w:szCs w:val="18"/>
              </w:rPr>
              <w:t>5%</w:t>
            </w:r>
          </w:p>
        </w:tc>
        <w:tc>
          <w:tcPr>
            <w:tcW w:w="500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color w:val="000000"/>
                <w:sz w:val="18"/>
                <w:szCs w:val="18"/>
              </w:rPr>
              <w:t>In-class engagement; peer review forms</w:t>
            </w:r>
          </w:p>
        </w:tc>
      </w:tr>
    </w:tbl>
    <w:p>
      <w:pPr>
        <w:pStyle w:val="Normal"/>
        <w:spacing w:before="0" w:after="80"/>
        <w:rPr/>
      </w:pPr>
      <w:r>
        <w:rPr/>
      </w:r>
    </w:p>
    <w:p>
      <w:pPr>
        <w:pStyle w:val="Normal"/>
        <w:spacing w:before="60" w:after="60"/>
        <w:rPr/>
      </w:pPr>
      <w:r>
        <w:rPr>
          <w:sz w:val="20"/>
          <w:szCs w:val="20"/>
        </w:rPr>
        <w:t>Grade Scale: A ≥ 90 · B 80–89 · C 70–79 · D 60–69 · F &lt; 60</w:t>
      </w:r>
    </w:p>
    <w:p>
      <w:pPr>
        <w:pStyle w:val="Normal"/>
        <w:spacing w:before="60" w:after="60"/>
        <w:rPr/>
      </w:pPr>
      <w:r>
        <w:rPr>
          <w:sz w:val="20"/>
          <w:szCs w:val="20"/>
        </w:rPr>
        <w:t>Late work: –10% per calendar day; extensions require 48-hour advance notice. Exams may be made up only with documented medical or family emergencies.</w:t>
      </w:r>
    </w:p>
    <w:p>
      <w:pPr>
        <w:pStyle w:val="Heading1"/>
        <w:rPr/>
      </w:pPr>
      <w:r>
        <w:rPr/>
        <w:t>6. Course Policies</w:t>
      </w:r>
    </w:p>
    <w:p>
      <w:pPr>
        <w:pStyle w:val="Normal"/>
        <w:spacing w:before="100" w:after="40"/>
        <w:rPr/>
      </w:pPr>
      <w:r>
        <w:rPr>
          <w:b/>
          <w:bCs/>
          <w:sz w:val="20"/>
          <w:szCs w:val="20"/>
        </w:rPr>
        <w:t>Attendance</w:t>
      </w:r>
    </w:p>
    <w:p>
      <w:pPr>
        <w:pStyle w:val="Normal"/>
        <w:spacing w:before="60" w:after="60"/>
        <w:rPr/>
      </w:pPr>
      <w:r>
        <w:rPr>
          <w:sz w:val="20"/>
          <w:szCs w:val="20"/>
        </w:rPr>
        <w:t>Regular attendance is expected. More than four unexcused absences may result in grade reduction. You are responsible for all material covered in missed lectures.</w:t>
      </w:r>
    </w:p>
    <w:p>
      <w:pPr>
        <w:pStyle w:val="Normal"/>
        <w:spacing w:before="100" w:after="40"/>
        <w:rPr/>
      </w:pPr>
      <w:r>
        <w:rPr>
          <w:b/>
          <w:bCs/>
          <w:sz w:val="20"/>
          <w:szCs w:val="20"/>
        </w:rPr>
        <w:t>Academic Integrity</w:t>
      </w:r>
    </w:p>
    <w:p>
      <w:pPr>
        <w:pStyle w:val="Normal"/>
        <w:spacing w:before="60" w:after="60"/>
        <w:rPr/>
      </w:pPr>
      <w:r>
        <w:rPr>
          <w:sz w:val="20"/>
          <w:szCs w:val="20"/>
        </w:rPr>
        <w:t>All submitted work must be your own. AI writing tools may be used for brainstorming and grammar checking only; intellectual content and analysis must be the student's own. Plagiarism or cheating will result in a zero and possible disciplinary action.</w:t>
      </w:r>
    </w:p>
    <w:p>
      <w:pPr>
        <w:pStyle w:val="Normal"/>
        <w:spacing w:before="100" w:after="40"/>
        <w:rPr/>
      </w:pPr>
      <w:r>
        <w:rPr>
          <w:b/>
          <w:bCs/>
          <w:sz w:val="20"/>
          <w:szCs w:val="20"/>
        </w:rPr>
        <w:t>Accessibility</w:t>
      </w:r>
    </w:p>
    <w:p>
      <w:pPr>
        <w:pStyle w:val="Normal"/>
        <w:spacing w:before="60" w:after="60"/>
        <w:rPr/>
      </w:pPr>
      <w:r>
        <w:rPr>
          <w:sz w:val="20"/>
          <w:szCs w:val="20"/>
        </w:rPr>
        <w:t>Students requiring accommodations should contact the Office of Disability Services and provide documentation within the first two weeks of class.</w:t>
      </w:r>
    </w:p>
    <w:p>
      <w:pPr>
        <w:pStyle w:val="Normal"/>
        <w:rPr/>
      </w:pPr>
      <w:r>
        <w:rPr/>
      </w:r>
      <w:r>
        <w:br w:type="page"/>
      </w:r>
    </w:p>
    <w:p>
      <w:pPr>
        <w:pStyle w:val="Heading1"/>
        <w:spacing w:before="0" w:after="120"/>
        <w:rPr/>
      </w:pPr>
      <w:r>
        <w:rPr/>
        <w:t>7. Lecture-by-Lecture Schedule</w:t>
      </w:r>
    </w:p>
    <w:p>
      <w:pPr>
        <w:pStyle w:val="Normal"/>
        <w:spacing w:before="60" w:after="60"/>
        <w:rPr/>
      </w:pPr>
      <w:r>
        <w:rPr>
          <w:sz w:val="20"/>
          <w:szCs w:val="20"/>
        </w:rPr>
        <w:t>All chapter references are to Begon &amp; Townsend (2021). ★ = exam day (no new material). ⚑ = university holiday. Schedule is subject to change with ≥1 week notice on Canvas.</w:t>
      </w:r>
    </w:p>
    <w:p>
      <w:pPr>
        <w:pStyle w:val="Normal"/>
        <w:spacing w:before="0" w:after="80"/>
        <w:rPr/>
      </w:pPr>
      <w:r>
        <w:rPr/>
      </w:r>
    </w:p>
    <w:tbl>
      <w:tblPr>
        <w:tblW w:w="9300" w:type="dxa"/>
        <w:jc w:val="left"/>
        <w:tblInd w:w="0" w:type="dxa"/>
        <w:tblLayout w:type="fixed"/>
        <w:tblCellMar>
          <w:top w:w="0" w:type="dxa"/>
          <w:left w:w="108" w:type="dxa"/>
          <w:bottom w:w="0" w:type="dxa"/>
          <w:right w:w="108" w:type="dxa"/>
        </w:tblCellMar>
      </w:tblPr>
      <w:tblGrid>
        <w:gridCol w:w="549"/>
        <w:gridCol w:w="1350"/>
        <w:gridCol w:w="2401"/>
        <w:gridCol w:w="949"/>
        <w:gridCol w:w="4051"/>
      </w:tblGrid>
      <w:tr>
        <w:trPr>
          <w:tblHeader w:val="true"/>
        </w:trPr>
        <w:tc>
          <w:tcPr>
            <w:tcW w:w="549" w:type="dxa"/>
            <w:tcBorders>
              <w:top w:val="single" w:sz="4" w:space="0" w:color="000000"/>
              <w:left w:val="single" w:sz="4" w:space="0" w:color="000000"/>
              <w:bottom w:val="single" w:sz="4" w:space="0" w:color="000000"/>
              <w:right w:val="single" w:sz="4" w:space="0" w:color="000000"/>
            </w:tcBorders>
            <w:shd w:fill="1F4E79" w:val="clear"/>
          </w:tcPr>
          <w:p>
            <w:pPr>
              <w:pStyle w:val="Normal"/>
              <w:jc w:val="center"/>
              <w:rPr/>
            </w:pPr>
            <w:r>
              <w:rPr>
                <w:b/>
                <w:bCs/>
                <w:color w:val="FFFFFF"/>
                <w:sz w:val="17"/>
                <w:szCs w:val="17"/>
              </w:rPr>
              <w:t>Lec</w:t>
            </w:r>
          </w:p>
        </w:tc>
        <w:tc>
          <w:tcPr>
            <w:tcW w:w="1350" w:type="dxa"/>
            <w:tcBorders>
              <w:top w:val="single" w:sz="4" w:space="0" w:color="000000"/>
              <w:left w:val="single" w:sz="4" w:space="0" w:color="000000"/>
              <w:bottom w:val="single" w:sz="4" w:space="0" w:color="000000"/>
              <w:right w:val="single" w:sz="4" w:space="0" w:color="000000"/>
            </w:tcBorders>
            <w:shd w:fill="1F4E79" w:val="clear"/>
          </w:tcPr>
          <w:p>
            <w:pPr>
              <w:pStyle w:val="Normal"/>
              <w:jc w:val="left"/>
              <w:rPr/>
            </w:pPr>
            <w:r>
              <w:rPr>
                <w:b/>
                <w:bCs/>
                <w:color w:val="FFFFFF"/>
                <w:sz w:val="17"/>
                <w:szCs w:val="17"/>
              </w:rPr>
              <w:t>Date</w:t>
            </w:r>
          </w:p>
        </w:tc>
        <w:tc>
          <w:tcPr>
            <w:tcW w:w="2401" w:type="dxa"/>
            <w:tcBorders>
              <w:top w:val="single" w:sz="4" w:space="0" w:color="000000"/>
              <w:left w:val="single" w:sz="4" w:space="0" w:color="000000"/>
              <w:bottom w:val="single" w:sz="4" w:space="0" w:color="000000"/>
              <w:right w:val="single" w:sz="4" w:space="0" w:color="000000"/>
            </w:tcBorders>
            <w:shd w:fill="1F4E79" w:val="clear"/>
          </w:tcPr>
          <w:p>
            <w:pPr>
              <w:pStyle w:val="Normal"/>
              <w:jc w:val="left"/>
              <w:rPr/>
            </w:pPr>
            <w:r>
              <w:rPr>
                <w:b/>
                <w:bCs/>
                <w:color w:val="FFFFFF"/>
                <w:sz w:val="17"/>
                <w:szCs w:val="17"/>
              </w:rPr>
              <w:t>Title / Topic</w:t>
            </w:r>
          </w:p>
        </w:tc>
        <w:tc>
          <w:tcPr>
            <w:tcW w:w="949" w:type="dxa"/>
            <w:tcBorders>
              <w:top w:val="single" w:sz="4" w:space="0" w:color="000000"/>
              <w:left w:val="single" w:sz="4" w:space="0" w:color="000000"/>
              <w:bottom w:val="single" w:sz="4" w:space="0" w:color="000000"/>
              <w:right w:val="single" w:sz="4" w:space="0" w:color="000000"/>
            </w:tcBorders>
            <w:shd w:fill="1F4E79" w:val="clear"/>
          </w:tcPr>
          <w:p>
            <w:pPr>
              <w:pStyle w:val="Normal"/>
              <w:jc w:val="left"/>
              <w:rPr/>
            </w:pPr>
            <w:r>
              <w:rPr>
                <w:b/>
                <w:bCs/>
                <w:color w:val="FFFFFF"/>
                <w:sz w:val="17"/>
                <w:szCs w:val="17"/>
              </w:rPr>
              <w:t>Reading</w:t>
            </w:r>
          </w:p>
        </w:tc>
        <w:tc>
          <w:tcPr>
            <w:tcW w:w="4051" w:type="dxa"/>
            <w:tcBorders>
              <w:top w:val="single" w:sz="4" w:space="0" w:color="000000"/>
              <w:left w:val="single" w:sz="4" w:space="0" w:color="000000"/>
              <w:bottom w:val="single" w:sz="4" w:space="0" w:color="000000"/>
              <w:right w:val="single" w:sz="4" w:space="0" w:color="000000"/>
            </w:tcBorders>
            <w:shd w:fill="1F4E79" w:val="clear"/>
          </w:tcPr>
          <w:p>
            <w:pPr>
              <w:pStyle w:val="Normal"/>
              <w:jc w:val="left"/>
              <w:rPr/>
            </w:pPr>
            <w:r>
              <w:rPr>
                <w:b/>
                <w:bCs/>
                <w:color w:val="FFFFFF"/>
                <w:sz w:val="17"/>
                <w:szCs w:val="17"/>
              </w:rPr>
              <w:t>Key Content &amp; Concepts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1</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Aug 25</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Introduction: What is Ecology?</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Definition and scope of ecology; hierarchy of biological organization; abiotic vs. biotic factors; Begon &amp; Townsend framework; why ecology matters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2</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Aug 27</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The Evolutionary Backdrop</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1</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Natural selection; adaptation; phylogenetic constraints; convergent evolution; eco-evolutionary dynamics; role of evolution in shaping ecological patterns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3</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Aug 29</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Scientific Method in Ecology</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Hypothetico-deductive approach; observational vs. experimental studies; field vs. lab experiments; statistics in ecology; replication and pseudoreplication</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4</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Mon Sep 1</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Temperature as an Environmental Condition</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2</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Thermal biology; ectotherms vs. endotherms; thermal performance curves; Bergmann's rule; Allen's rule; acclimation vs. adaptation</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5</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Wed Sep 3</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Water, Salinity, and pH as Conditions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2</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Water potential; osmoregulation; xerophytes and halophytes; acid–base tolerance; physiological responses to environmental gradients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6</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Fri Sep 5</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Other Abiotic Conditions: Light, Wind &amp; Fire</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2</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Photoperiodism; light attenuation in aquatic systems; wind stress on plants; role of fire as an ecological condition; disturbance regimes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7</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Sep 8</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Resources I: Autotroph Resources (Light &amp; CO₂)</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3</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Liebig's law of the minimum; light as a resource; photosynthesis; shade adaptation; CO₂ and nutrient uptake; resource competition theory</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8</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Sep 10</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Resources II: Heterotroph Resources &amp; Optimal Foraging</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3</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Food as a resource; handling time; diet breadth; optimal foraging theory; patch use (marginal value theorem); central place foraging</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9</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Sep 12</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Limits to Distribution: Putting Conditions &amp; Resources Together</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2–3</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Fundamental vs. realized niche; range limits; transplant experiments; species distribution models; climate envelopes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10</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Mon Sep 15</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Life Tables and Survivorship Curves</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4</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Cohort vs. static life tables; age-specific survival (lx) and fecundity (mx); survivorship types I–III; net reproductive rate (R₀); generation time</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11</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Wed Sep 17</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Population Growth Rates: r, λ, and the Euler Equation</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4</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Intrinsic rate of increase; geometric vs. exponential growth; Euler–Lotka equation; stable age distribution; reproductive value</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12</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Fri Sep 19</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Age Structure and Matrix Models</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4</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Leslie matrix; stage-structured models; elasticity and sensitivity analysis; applications in conservation; population viability analysis (PVA)</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13</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Sep 22</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Life History Theory I: Reproduction &amp; Survival Trade-offs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7</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Cost of reproduction; iteroparity vs. semelparity; age at first reproduction; clutch size evolution (Lack's model); offspring size vs. number</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14</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Sep 24</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Life History Theory II: Aging, Pace of Life &amp; Plasticity</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7</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Disposable soma theory; antagonistic pleiotropy; pace-of-life syndromes; phenotypic plasticity in life histories; bet-hedging strategies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15</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Sep 26</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Movement, Dispersal, and Migration</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6</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Reasons for movement; dispersal kernels; natal vs. breeding dispersal; migration costs and benefits; connectivity in fragmented landscapes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16</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Mon Sep 29</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Metapopulation Theory</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6</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Levins metapopulation model; extinction and colonization dynamics; rescue effect; incidence function model; Glanville fritillary case study</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17</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Wed Oct 1</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Intraspecific Competition I: Mechanisms &amp; Density Dependence</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5</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Contest vs. scramble competition; resource depletion; interference; density-dependent regulation; Nicholson's blowfly experiments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18</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Fri Oct 3</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Intraspecific Competition II: Logistic Growth &amp; Self-thinning</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5</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Logistic growth model (K); -3/2 self-thinning law in plants; territorial behavior; density-dependent fecundity and mortality; Allee effects</w:t>
            </w:r>
          </w:p>
        </w:tc>
      </w:tr>
      <w:tr>
        <w:trPr/>
        <w:tc>
          <w:tcPr>
            <w:tcW w:w="549" w:type="dxa"/>
            <w:tcBorders>
              <w:top w:val="single" w:sz="4" w:space="0" w:color="000000"/>
              <w:left w:val="single" w:sz="4" w:space="0" w:color="000000"/>
              <w:bottom w:val="single" w:sz="4" w:space="0" w:color="000000"/>
              <w:right w:val="single" w:sz="4" w:space="0" w:color="000000"/>
            </w:tcBorders>
            <w:shd w:fill="FFF2CC" w:val="clear"/>
          </w:tcPr>
          <w:p>
            <w:pPr>
              <w:pStyle w:val="Normal"/>
              <w:jc w:val="center"/>
              <w:rPr/>
            </w:pPr>
            <w:r>
              <w:rPr>
                <w:b/>
                <w:bCs/>
                <w:i w:val="false"/>
                <w:iCs w:val="false"/>
                <w:color w:val="000000"/>
                <w:sz w:val="17"/>
                <w:szCs w:val="17"/>
              </w:rPr>
              <w:t>—</w:t>
            </w:r>
          </w:p>
        </w:tc>
        <w:tc>
          <w:tcPr>
            <w:tcW w:w="1350"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val="false"/>
                <w:iCs w:val="false"/>
                <w:color w:val="000000"/>
                <w:sz w:val="17"/>
                <w:szCs w:val="17"/>
              </w:rPr>
              <w:t>Mon Oct 6</w:t>
            </w:r>
          </w:p>
        </w:tc>
        <w:tc>
          <w:tcPr>
            <w:tcW w:w="2401"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iCs/>
                <w:color w:val="000000"/>
                <w:sz w:val="17"/>
                <w:szCs w:val="17"/>
              </w:rPr>
              <w:t>MIDTERM EXAM I</w:t>
            </w:r>
          </w:p>
        </w:tc>
        <w:tc>
          <w:tcPr>
            <w:tcW w:w="949" w:type="dxa"/>
            <w:tcBorders>
              <w:top w:val="single" w:sz="4" w:space="0" w:color="000000"/>
              <w:left w:val="single" w:sz="4" w:space="0" w:color="000000"/>
              <w:bottom w:val="single" w:sz="4" w:space="0" w:color="000000"/>
              <w:right w:val="single" w:sz="4" w:space="0" w:color="000000"/>
            </w:tcBorders>
            <w:shd w:fill="FFF2CC" w:val="clear"/>
          </w:tcPr>
          <w:p>
            <w:pPr>
              <w:pStyle w:val="Normal"/>
              <w:jc w:val="center"/>
              <w:rPr/>
            </w:pPr>
            <w:r>
              <w:rPr>
                <w:b/>
                <w:bCs/>
                <w:i w:val="false"/>
                <w:iCs w:val="false"/>
                <w:color w:val="000000"/>
                <w:sz w:val="17"/>
                <w:szCs w:val="17"/>
              </w:rPr>
              <w:t>Ch. 1–6</w:t>
            </w:r>
          </w:p>
        </w:tc>
        <w:tc>
          <w:tcPr>
            <w:tcW w:w="4051"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val="false"/>
                <w:iCs w:val="false"/>
                <w:color w:val="000000"/>
                <w:sz w:val="17"/>
                <w:szCs w:val="17"/>
              </w:rPr>
              <w:t>Covers Lectures 1–18: individuals, abiotic environment, resources, demography, life histories, movement, intraspecific competition</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19</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Oct 8</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Population Fluctuations and Cycles</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5–6</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Time lags and oscillations; consumer–resource cycles; lynx–hare system; chaos in ecological systems; detecting density dependence in time series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20</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Oct 10</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Interspecific Competition I: Theory</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8</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Lotka-Volterra competition model; zero-growth isoclines; competitive outcomes; competitive exclusion principle; parameterizing the model</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21</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Mon Oct 13</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Interspecific Competition II: Evidence &amp; Coexistence</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8</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Field experiments (Connell's barnacles; Park's Tribolium); resource competition theory (R*); modern coexistence theory; stabilizing vs. equalizing mechanisms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22</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Wed Oct 15</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Interspecific Competition III: Character Displacement &amp; Niche</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8</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Character displacement; ecological release; realized niche shifts; ghost of competition past; competitive networks and intransitivity</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23</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Fri Oct 17</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The Nature of Predation</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9</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Predation types; functional responses (Types I–III); prey defense strategies; predator offense; coevolutionary arms races; aposematism and mimicry</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24</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Oct 20</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Predator–Prey Population Dynamics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10</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Lotka-Volterra predator–prey model; neutral cycles; stable vs. unstable equilibria; Rosenzweig-MacArthur model; paradox of enrichment</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25</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Oct 22</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Herbivory: Plants and Their Consumers</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9</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Herbivore impact on plant fitness; plant defenses (physical, chemical); induced defenses; tolerance vs. resistance; top-down vs. bottom-up control</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26</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Oct 24</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Parasitism and Disease I: Ecology</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12</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Parasite life cycles; transmission modes; microparasites vs. macroparasites; host–parasite population dynamics; SIR epidemiological model; R₀ in disease ecology</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27</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Mon Oct 27</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Parasitism and Disease II: Evolution of Virulence</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12</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Trade-off hypothesis; myxomatosis case study; virulence evolution theory; coevolution (Red Queen hypothesis); immunology meets ecology</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28</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Wed Oct 29</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Decomposers and Detritivores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11</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Roles of bacteria, fungi, and invertebrates in decomposition; litter quality; stoichiometric constraints; detrital food webs; soil ecology</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29</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Fri Oct 31</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Mutualism and Commensalism</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13</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Types of mutualism; mycorrhizae; rhizobia; pollination mutualisms; cleaning stations; mutualism models; facultative vs. obligate; cheating and stability</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30</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Nov 3</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Population Abundance: Patterns and Determinants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14</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Range-abundance relationships; density vs. rarity; sampling methods; regulation vs. limitation; geographic variation in abundance</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31</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Nov 5</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Pest Control and Harvesting</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15</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Maximum sustainable yield (MSY); fisheries collapses; integrated pest management (IPM); biological control; eradication theory</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32</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Nov 7</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Applied Population Ecology: Conservation</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15</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Minimum viable population; IUCN criteria; population viability analysis; captive breeding; reintroduction ecology; genetic considerations</w:t>
            </w:r>
          </w:p>
        </w:tc>
      </w:tr>
      <w:tr>
        <w:trPr/>
        <w:tc>
          <w:tcPr>
            <w:tcW w:w="549" w:type="dxa"/>
            <w:tcBorders>
              <w:top w:val="single" w:sz="4" w:space="0" w:color="000000"/>
              <w:left w:val="single" w:sz="4" w:space="0" w:color="000000"/>
              <w:bottom w:val="single" w:sz="4" w:space="0" w:color="000000"/>
              <w:right w:val="single" w:sz="4" w:space="0" w:color="000000"/>
            </w:tcBorders>
            <w:shd w:fill="FFF2CC" w:val="clear"/>
          </w:tcPr>
          <w:p>
            <w:pPr>
              <w:pStyle w:val="Normal"/>
              <w:jc w:val="center"/>
              <w:rPr/>
            </w:pPr>
            <w:r>
              <w:rPr>
                <w:b/>
                <w:bCs/>
                <w:i w:val="false"/>
                <w:iCs w:val="false"/>
                <w:color w:val="000000"/>
                <w:sz w:val="17"/>
                <w:szCs w:val="17"/>
              </w:rPr>
              <w:t>—</w:t>
            </w:r>
          </w:p>
        </w:tc>
        <w:tc>
          <w:tcPr>
            <w:tcW w:w="1350"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val="false"/>
                <w:iCs w:val="false"/>
                <w:color w:val="000000"/>
                <w:sz w:val="17"/>
                <w:szCs w:val="17"/>
              </w:rPr>
              <w:t>Mon Nov 10</w:t>
            </w:r>
          </w:p>
        </w:tc>
        <w:tc>
          <w:tcPr>
            <w:tcW w:w="2401"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iCs/>
                <w:color w:val="000000"/>
                <w:sz w:val="17"/>
                <w:szCs w:val="17"/>
              </w:rPr>
              <w:t>MIDTERM EXAM II</w:t>
            </w:r>
          </w:p>
        </w:tc>
        <w:tc>
          <w:tcPr>
            <w:tcW w:w="949" w:type="dxa"/>
            <w:tcBorders>
              <w:top w:val="single" w:sz="4" w:space="0" w:color="000000"/>
              <w:left w:val="single" w:sz="4" w:space="0" w:color="000000"/>
              <w:bottom w:val="single" w:sz="4" w:space="0" w:color="000000"/>
              <w:right w:val="single" w:sz="4" w:space="0" w:color="000000"/>
            </w:tcBorders>
            <w:shd w:fill="FFF2CC" w:val="clear"/>
          </w:tcPr>
          <w:p>
            <w:pPr>
              <w:pStyle w:val="Normal"/>
              <w:jc w:val="center"/>
              <w:rPr/>
            </w:pPr>
            <w:r>
              <w:rPr>
                <w:b/>
                <w:bCs/>
                <w:i w:val="false"/>
                <w:iCs w:val="false"/>
                <w:color w:val="000000"/>
                <w:sz w:val="17"/>
                <w:szCs w:val="17"/>
              </w:rPr>
              <w:t>Ch. 7–15</w:t>
            </w:r>
          </w:p>
        </w:tc>
        <w:tc>
          <w:tcPr>
            <w:tcW w:w="4051"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val="false"/>
                <w:iCs w:val="false"/>
                <w:color w:val="000000"/>
                <w:sz w:val="17"/>
                <w:szCs w:val="17"/>
              </w:rPr>
              <w:t>Covers Lectures 19–32: interspecific competition, predation, herbivory, parasitism, mutualism, decomposers, abundance, applied population ecology</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33</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Wed Nov 12</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Community Modules: Trophic Cascades &amp; Indirect Effects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16</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Three-species modules; trophic cascades (Estes sea otter example); apparent competition; keystone predation; intraguild predation</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34</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Fri Nov 14</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Community Structure: Assembly and Stability</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16</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Assembly rules; priority effects; alternative stable states; diversity–stability debate; May's complexity–stability analysis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35</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Nov 17</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Food Webs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17</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Food web topology; connectance; food chain length; weak links and stability; empirical food webs; allometric scaling in food webs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36</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Nov 19</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Community Change: Succession</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18</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Primary vs. secondary succession; facilitation, inhibition, tolerance models; climax community concept; non-equilibrium views; chronosequence studies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37</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Nov 21</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Biogeography and Species–Area Relationships</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18</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Species–area relationship (z values); island biogeography theory (MacArthur &amp; Wilson); equilibrium model; distance and area effects; mainland–island vs. oceanic islands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Mon Nov 24</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Biodiversity Patterns across Latitudinal Gradients</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19</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Latitudinal diversity gradient; hypotheses (productivity, historical, evolutionary); elevational gradients; beta diversity</w:t>
            </w:r>
          </w:p>
        </w:tc>
      </w:tr>
      <w:tr>
        <w:trPr/>
        <w:tc>
          <w:tcPr>
            <w:tcW w:w="549"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pPr>
            <w:r>
              <w:rPr>
                <w:b w:val="false"/>
                <w:bCs w:val="false"/>
                <w:i/>
                <w:iCs/>
                <w:color w:val="000000"/>
                <w:sz w:val="17"/>
                <w:szCs w:val="17"/>
              </w:rPr>
              <w:t>—</w:t>
            </w:r>
          </w:p>
        </w:tc>
        <w:tc>
          <w:tcPr>
            <w:tcW w:w="135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b w:val="false"/>
                <w:bCs w:val="false"/>
                <w:i/>
                <w:iCs/>
                <w:color w:val="000000"/>
                <w:sz w:val="17"/>
                <w:szCs w:val="17"/>
              </w:rPr>
              <w:t>Wed Nov 26</w:t>
            </w:r>
          </w:p>
        </w:tc>
        <w:tc>
          <w:tcPr>
            <w:tcW w:w="240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b w:val="false"/>
                <w:bCs w:val="false"/>
                <w:i/>
                <w:iCs/>
                <w:color w:val="000000"/>
                <w:sz w:val="17"/>
                <w:szCs w:val="17"/>
              </w:rPr>
              <w:t>No Class — Thanksgiving Break</w:t>
            </w:r>
          </w:p>
        </w:tc>
        <w:tc>
          <w:tcPr>
            <w:tcW w:w="949"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pPr>
            <w:r>
              <w:rPr>
                <w:b w:val="false"/>
                <w:bCs w:val="false"/>
                <w:i/>
                <w:iCs/>
                <w:color w:val="000000"/>
                <w:sz w:val="17"/>
                <w:szCs w:val="17"/>
              </w:rPr>
              <w:t>—</w:t>
            </w:r>
          </w:p>
        </w:tc>
        <w:tc>
          <w:tcPr>
            <w:tcW w:w="405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b w:val="false"/>
                <w:bCs w:val="false"/>
                <w:i/>
                <w:iCs/>
                <w:color w:val="000000"/>
                <w:sz w:val="17"/>
                <w:szCs w:val="17"/>
              </w:rPr>
              <w:t>University holiday</w:t>
            </w:r>
          </w:p>
        </w:tc>
      </w:tr>
      <w:tr>
        <w:trPr/>
        <w:tc>
          <w:tcPr>
            <w:tcW w:w="549"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pPr>
            <w:r>
              <w:rPr>
                <w:b w:val="false"/>
                <w:bCs w:val="false"/>
                <w:i/>
                <w:iCs/>
                <w:color w:val="000000"/>
                <w:sz w:val="17"/>
                <w:szCs w:val="17"/>
              </w:rPr>
              <w:t>—</w:t>
            </w:r>
          </w:p>
        </w:tc>
        <w:tc>
          <w:tcPr>
            <w:tcW w:w="1350"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b w:val="false"/>
                <w:bCs w:val="false"/>
                <w:i/>
                <w:iCs/>
                <w:color w:val="000000"/>
                <w:sz w:val="17"/>
                <w:szCs w:val="17"/>
              </w:rPr>
              <w:t>Fri Nov 28</w:t>
            </w:r>
          </w:p>
        </w:tc>
        <w:tc>
          <w:tcPr>
            <w:tcW w:w="240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b w:val="false"/>
                <w:bCs w:val="false"/>
                <w:i/>
                <w:iCs/>
                <w:color w:val="000000"/>
                <w:sz w:val="17"/>
                <w:szCs w:val="17"/>
              </w:rPr>
              <w:t>No Class — Thanksgiving Break</w:t>
            </w:r>
          </w:p>
        </w:tc>
        <w:tc>
          <w:tcPr>
            <w:tcW w:w="949"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pPr>
            <w:r>
              <w:rPr>
                <w:b w:val="false"/>
                <w:bCs w:val="false"/>
                <w:i/>
                <w:iCs/>
                <w:color w:val="000000"/>
                <w:sz w:val="17"/>
                <w:szCs w:val="17"/>
              </w:rPr>
              <w:t>—</w:t>
            </w:r>
          </w:p>
        </w:tc>
        <w:tc>
          <w:tcPr>
            <w:tcW w:w="4051" w:type="dxa"/>
            <w:tcBorders>
              <w:top w:val="single" w:sz="4" w:space="0" w:color="000000"/>
              <w:left w:val="single" w:sz="4" w:space="0" w:color="000000"/>
              <w:bottom w:val="single" w:sz="4" w:space="0" w:color="000000"/>
              <w:right w:val="single" w:sz="4" w:space="0" w:color="000000"/>
            </w:tcBorders>
            <w:shd w:fill="F2F2F2" w:val="clear"/>
          </w:tcPr>
          <w:p>
            <w:pPr>
              <w:pStyle w:val="Normal"/>
              <w:jc w:val="left"/>
              <w:rPr/>
            </w:pPr>
            <w:r>
              <w:rPr>
                <w:b w:val="false"/>
                <w:bCs w:val="false"/>
                <w:i/>
                <w:iCs/>
                <w:color w:val="000000"/>
                <w:sz w:val="17"/>
                <w:szCs w:val="17"/>
              </w:rPr>
              <w:t>University holiday</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38</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Dec 1</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Patterns in Biodiversity and Conservation</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19</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Biodiversity hotspots; SLOSS debate; reserve design; corridor ecology; complementarity; endemism; threat categories</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39</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Dec 3</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Energy Flow through Ecosystems</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20</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Primary production (GPP, NPP); trophic efficiency; Lindeman's efficiency; ecological pyramids; secondary production; global patterns of NPP</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40</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Fri Dec 5</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Decomposition and Nutrient Cycling</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21</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Mineralization; immobilization; stoichiometry (C:N:P ratios); N and P cycles; coupled biogeochemical cycles; priming effect</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41</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Mon Dec 8</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Ecosystem Services and Human Impacts</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Ch. 22</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Millennium Ecosystem Assessment framework; provisioning, regulating, cultural services; biodiversity–ecosystem function relationship; Tilman's grassland experiments</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42</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Wed Dec 10</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Ecology in a Changing World: Climate Change</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Ch. 22</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Range shifts; phenological mismatches; coral bleaching; arctic amplification; ecological forecasting; community reshuffling under climate change</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43</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Fri Dec 12</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Student Presentations I</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Applied</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Student oral presentations on applied ecology case studies (Group A)</w:t>
            </w:r>
          </w:p>
        </w:tc>
      </w:tr>
      <w:tr>
        <w:trPr/>
        <w:tc>
          <w:tcPr>
            <w:tcW w:w="5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44</w:t>
            </w:r>
          </w:p>
        </w:tc>
        <w:tc>
          <w:tcPr>
            <w:tcW w:w="1350"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Mon Dec 15</w:t>
            </w:r>
          </w:p>
        </w:tc>
        <w:tc>
          <w:tcPr>
            <w:tcW w:w="240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Student Presentations II</w:t>
            </w:r>
          </w:p>
        </w:tc>
        <w:tc>
          <w:tcPr>
            <w:tcW w:w="949" w:type="dxa"/>
            <w:tcBorders>
              <w:top w:val="single" w:sz="4" w:space="0" w:color="000000"/>
              <w:left w:val="single" w:sz="4" w:space="0" w:color="000000"/>
              <w:bottom w:val="single" w:sz="4" w:space="0" w:color="000000"/>
              <w:right w:val="single" w:sz="4" w:space="0" w:color="000000"/>
            </w:tcBorders>
            <w:shd w:fill="FFFFFF" w:val="clear"/>
          </w:tcPr>
          <w:p>
            <w:pPr>
              <w:pStyle w:val="Normal"/>
              <w:jc w:val="center"/>
              <w:rPr/>
            </w:pPr>
            <w:r>
              <w:rPr>
                <w:b w:val="false"/>
                <w:bCs w:val="false"/>
                <w:i w:val="false"/>
                <w:iCs w:val="false"/>
                <w:color w:val="000000"/>
                <w:sz w:val="17"/>
                <w:szCs w:val="17"/>
              </w:rPr>
              <w:t>Applied</w:t>
            </w:r>
          </w:p>
        </w:tc>
        <w:tc>
          <w:tcPr>
            <w:tcW w:w="4051" w:type="dxa"/>
            <w:tcBorders>
              <w:top w:val="single" w:sz="4" w:space="0" w:color="000000"/>
              <w:left w:val="single" w:sz="4" w:space="0" w:color="000000"/>
              <w:bottom w:val="single" w:sz="4" w:space="0" w:color="000000"/>
              <w:right w:val="single" w:sz="4" w:space="0" w:color="000000"/>
            </w:tcBorders>
            <w:shd w:fill="FFFFFF" w:val="clear"/>
          </w:tcPr>
          <w:p>
            <w:pPr>
              <w:pStyle w:val="Normal"/>
              <w:jc w:val="left"/>
              <w:rPr/>
            </w:pPr>
            <w:r>
              <w:rPr>
                <w:b w:val="false"/>
                <w:bCs w:val="false"/>
                <w:i w:val="false"/>
                <w:iCs w:val="false"/>
                <w:color w:val="000000"/>
                <w:sz w:val="17"/>
                <w:szCs w:val="17"/>
              </w:rPr>
              <w:t>Student oral presentations on applied ecology case studies (Group B)</w:t>
            </w:r>
          </w:p>
        </w:tc>
      </w:tr>
      <w:tr>
        <w:trPr/>
        <w:tc>
          <w:tcPr>
            <w:tcW w:w="5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45</w:t>
            </w:r>
          </w:p>
        </w:tc>
        <w:tc>
          <w:tcPr>
            <w:tcW w:w="1350"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Wed Dec 17</w:t>
            </w:r>
          </w:p>
        </w:tc>
        <w:tc>
          <w:tcPr>
            <w:tcW w:w="240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Course Synthesis and Review</w:t>
            </w:r>
          </w:p>
        </w:tc>
        <w:tc>
          <w:tcPr>
            <w:tcW w:w="949" w:type="dxa"/>
            <w:tcBorders>
              <w:top w:val="single" w:sz="4" w:space="0" w:color="000000"/>
              <w:left w:val="single" w:sz="4" w:space="0" w:color="000000"/>
              <w:bottom w:val="single" w:sz="4" w:space="0" w:color="000000"/>
              <w:right w:val="single" w:sz="4" w:space="0" w:color="000000"/>
            </w:tcBorders>
            <w:shd w:fill="EAF3FB" w:val="clear"/>
          </w:tcPr>
          <w:p>
            <w:pPr>
              <w:pStyle w:val="Normal"/>
              <w:jc w:val="center"/>
              <w:rPr/>
            </w:pPr>
            <w:r>
              <w:rPr>
                <w:b w:val="false"/>
                <w:bCs w:val="false"/>
                <w:i w:val="false"/>
                <w:iCs w:val="false"/>
                <w:color w:val="000000"/>
                <w:sz w:val="17"/>
                <w:szCs w:val="17"/>
              </w:rPr>
              <w:t>All Ch.</w:t>
            </w:r>
          </w:p>
        </w:tc>
        <w:tc>
          <w:tcPr>
            <w:tcW w:w="4051" w:type="dxa"/>
            <w:tcBorders>
              <w:top w:val="single" w:sz="4" w:space="0" w:color="000000"/>
              <w:left w:val="single" w:sz="4" w:space="0" w:color="000000"/>
              <w:bottom w:val="single" w:sz="4" w:space="0" w:color="000000"/>
              <w:right w:val="single" w:sz="4" w:space="0" w:color="000000"/>
            </w:tcBorders>
            <w:shd w:fill="EAF3FB" w:val="clear"/>
          </w:tcPr>
          <w:p>
            <w:pPr>
              <w:pStyle w:val="Normal"/>
              <w:jc w:val="left"/>
              <w:rPr/>
            </w:pPr>
            <w:r>
              <w:rPr>
                <w:b w:val="false"/>
                <w:bCs w:val="false"/>
                <w:i w:val="false"/>
                <w:iCs w:val="false"/>
                <w:color w:val="000000"/>
                <w:sz w:val="17"/>
                <w:szCs w:val="17"/>
              </w:rPr>
              <w:t>Synthesis across scales: individual → ecosystem; unresolved questions in ecology; careers in ecology; final exam review and Q&amp;A</w:t>
            </w:r>
          </w:p>
        </w:tc>
      </w:tr>
      <w:tr>
        <w:trPr/>
        <w:tc>
          <w:tcPr>
            <w:tcW w:w="549" w:type="dxa"/>
            <w:tcBorders>
              <w:top w:val="single" w:sz="4" w:space="0" w:color="000000"/>
              <w:left w:val="single" w:sz="4" w:space="0" w:color="000000"/>
              <w:bottom w:val="single" w:sz="4" w:space="0" w:color="000000"/>
              <w:right w:val="single" w:sz="4" w:space="0" w:color="000000"/>
            </w:tcBorders>
            <w:shd w:fill="FFF2CC" w:val="clear"/>
          </w:tcPr>
          <w:p>
            <w:pPr>
              <w:pStyle w:val="Normal"/>
              <w:jc w:val="center"/>
              <w:rPr/>
            </w:pPr>
            <w:r>
              <w:rPr>
                <w:b/>
                <w:bCs/>
                <w:i w:val="false"/>
                <w:iCs w:val="false"/>
                <w:color w:val="000000"/>
                <w:sz w:val="17"/>
                <w:szCs w:val="17"/>
              </w:rPr>
              <w:t>—</w:t>
            </w:r>
          </w:p>
        </w:tc>
        <w:tc>
          <w:tcPr>
            <w:tcW w:w="1350"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val="false"/>
                <w:iCs w:val="false"/>
                <w:color w:val="000000"/>
                <w:sz w:val="17"/>
                <w:szCs w:val="17"/>
              </w:rPr>
              <w:t>Finals Week</w:t>
            </w:r>
          </w:p>
        </w:tc>
        <w:tc>
          <w:tcPr>
            <w:tcW w:w="2401"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iCs/>
                <w:color w:val="000000"/>
                <w:sz w:val="17"/>
                <w:szCs w:val="17"/>
              </w:rPr>
              <w:t>FINAL EXAM (comprehensive)</w:t>
            </w:r>
          </w:p>
        </w:tc>
        <w:tc>
          <w:tcPr>
            <w:tcW w:w="949" w:type="dxa"/>
            <w:tcBorders>
              <w:top w:val="single" w:sz="4" w:space="0" w:color="000000"/>
              <w:left w:val="single" w:sz="4" w:space="0" w:color="000000"/>
              <w:bottom w:val="single" w:sz="4" w:space="0" w:color="000000"/>
              <w:right w:val="single" w:sz="4" w:space="0" w:color="000000"/>
            </w:tcBorders>
            <w:shd w:fill="FFF2CC" w:val="clear"/>
          </w:tcPr>
          <w:p>
            <w:pPr>
              <w:pStyle w:val="Normal"/>
              <w:jc w:val="center"/>
              <w:rPr/>
            </w:pPr>
            <w:r>
              <w:rPr>
                <w:b/>
                <w:bCs/>
                <w:i w:val="false"/>
                <w:iCs w:val="false"/>
                <w:color w:val="000000"/>
                <w:sz w:val="17"/>
                <w:szCs w:val="17"/>
              </w:rPr>
              <w:t>All Ch.</w:t>
            </w:r>
          </w:p>
        </w:tc>
        <w:tc>
          <w:tcPr>
            <w:tcW w:w="4051" w:type="dxa"/>
            <w:tcBorders>
              <w:top w:val="single" w:sz="4" w:space="0" w:color="000000"/>
              <w:left w:val="single" w:sz="4" w:space="0" w:color="000000"/>
              <w:bottom w:val="single" w:sz="4" w:space="0" w:color="000000"/>
              <w:right w:val="single" w:sz="4" w:space="0" w:color="000000"/>
            </w:tcBorders>
            <w:shd w:fill="FFF2CC" w:val="clear"/>
          </w:tcPr>
          <w:p>
            <w:pPr>
              <w:pStyle w:val="Normal"/>
              <w:jc w:val="left"/>
              <w:rPr/>
            </w:pPr>
            <w:r>
              <w:rPr>
                <w:b/>
                <w:bCs/>
                <w:i w:val="false"/>
                <w:iCs w:val="false"/>
                <w:color w:val="000000"/>
                <w:sz w:val="17"/>
                <w:szCs w:val="17"/>
              </w:rPr>
              <w:t>Date and room assigned by Registrar. Covers all 22 chapters and Lectures 1–45</w:t>
            </w:r>
          </w:p>
        </w:tc>
      </w:tr>
    </w:tbl>
    <w:p>
      <w:pPr>
        <w:pStyle w:val="Heading1"/>
        <w:spacing w:before="300" w:after="100"/>
        <w:rPr>
          <w:sz w:val="18"/>
          <w:szCs w:val="18"/>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 xml:space="preserve">Page </w:t>
    </w:r>
    <w:r>
      <w:rPr/>
      <w:fldChar w:fldCharType="begin"/>
    </w:r>
    <w:r>
      <w:rPr/>
      <w:instrText xml:space="preserve"> PAGE </w:instrText>
    </w:r>
    <w:r>
      <w:rPr/>
      <w:fldChar w:fldCharType="separate"/>
    </w:r>
    <w:r>
      <w:rPr/>
      <w:t>5</w:t>
    </w:r>
    <w:r>
      <w:rPr/>
      <w:fldChar w:fldCharType="end"/>
    </w:r>
    <w:r>
      <w:rPr>
        <w:color w:val="888888"/>
        <w:sz w:val="16"/>
        <w:szCs w:val="16"/>
      </w:rPr>
      <w:t xml:space="preserve"> of </w:t>
    </w:r>
    <w:r>
      <w:rPr/>
      <w:fldChar w:fldCharType="begin"/>
    </w:r>
    <w:r>
      <w:rPr/>
      <w:instrText xml:space="preserve"> NUMPAGES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888888"/>
        <w:sz w:val="16"/>
        <w:szCs w:val="16"/>
      </w:rPr>
      <w:t xml:space="preserve">Page </w:t>
    </w:r>
    <w:r>
      <w:rPr/>
      <w:fldChar w:fldCharType="begin"/>
    </w:r>
    <w:r>
      <w:rPr/>
      <w:instrText xml:space="preserve"> PAGE </w:instrText>
    </w:r>
    <w:r>
      <w:rPr/>
      <w:fldChar w:fldCharType="separate"/>
    </w:r>
    <w:r>
      <w:rPr/>
      <w:t>5</w:t>
    </w:r>
    <w:r>
      <w:rPr/>
      <w:fldChar w:fldCharType="end"/>
    </w:r>
    <w:r>
      <w:rPr>
        <w:color w:val="888888"/>
        <w:sz w:val="16"/>
        <w:szCs w:val="16"/>
      </w:rPr>
      <w:t xml:space="preserve"> of </w:t>
    </w:r>
    <w:r>
      <w:rPr/>
      <w:fldChar w:fldCharType="begin"/>
    </w:r>
    <w:r>
      <w:rPr/>
      <w:instrText xml:space="preserve"> NUMPAGES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rPr/>
    </w:pPr>
    <w:r>
      <w:rPr>
        <w:color w:val="1F4E79"/>
        <w:sz w:val="17"/>
        <w:szCs w:val="17"/>
      </w:rPr>
      <w:t>Principles of Ecology  |  BIOL 3XX  |  Fall 202</w:t>
    </w:r>
    <w:r>
      <w:rPr>
        <w:color w:val="1F4E79"/>
        <w:sz w:val="17"/>
        <w:szCs w:val="17"/>
      </w:rPr>
      <w:t>X</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1F4E79"/>
      </w:pBdr>
      <w:rPr/>
    </w:pPr>
    <w:r>
      <w:rPr>
        <w:color w:val="1F4E79"/>
        <w:sz w:val="17"/>
        <w:szCs w:val="17"/>
      </w:rPr>
      <w:t>Principles of Ecology  |  BIOL 3XX  |  Fall 202</w:t>
    </w:r>
    <w:r>
      <w:rPr>
        <w:color w:val="1F4E79"/>
        <w:sz w:val="17"/>
        <w:szCs w:val="17"/>
      </w:rPr>
      <w:t>X</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Heading1">
    <w:name w:val="Heading 1"/>
    <w:basedOn w:val="Heading"/>
    <w:qFormat/>
    <w:pPr>
      <w:pBdr>
        <w:bottom w:val="single" w:sz="8" w:space="4" w:color="1F4E79"/>
      </w:pBdr>
      <w:spacing w:before="300" w:after="120"/>
    </w:pPr>
    <w:rPr>
      <w:rFonts w:ascii="Calibri" w:hAnsi="Calibri" w:eastAsia="Calibri" w:cs="Calibri"/>
      <w:b/>
      <w:bCs/>
      <w:color w:val="1F4E79"/>
      <w:sz w:val="28"/>
      <w:szCs w:val="28"/>
    </w:rPr>
  </w:style>
  <w:style w:type="paragraph" w:styleId="Heading2">
    <w:name w:val="Heading 2"/>
    <w:basedOn w:val="Heading"/>
    <w:qFormat/>
    <w:pPr>
      <w:spacing w:before="180" w:after="80"/>
    </w:pPr>
    <w:rPr>
      <w:rFonts w:ascii="Calibri" w:hAnsi="Calibri" w:eastAsia="Calibri" w:cs="Calibri"/>
      <w:b/>
      <w:bCs/>
      <w:color w:val="1F4E79"/>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5</Pages>
  <Words>1937</Words>
  <Characters>11856</Characters>
  <CharactersWithSpaces>13458</CharactersWithSpaces>
  <Paragraphs>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2026-07-17T13:30:47Z</dcterms:created>
  <dc:creator>Un-named</dc:creator>
  <dc:description/>
  <dc:language>en-US</dc:language>
  <cp:lastModifiedBy/>
  <dcterms:modified xsi:type="dcterms:W3CDTF">2026-07-17T09:41:01Z</dcterms:modified>
  <cp:revision>2</cp:revision>
  <dc:subject/>
  <dc:title/>
</cp:coreProperties>
</file>