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（工业软件+AI赋能课题）</w:t>
      </w:r>
    </w:p>
    <w:p>
      <w:r>
        <w:t>项目名称： 薪酬洞察AI智能体</w:t>
      </w:r>
    </w:p>
    <w:p>
      <w:r>
        <w:t>所属赛道： □ 工艺场景赛道   ☑ 通用场景赛道</w:t>
      </w:r>
    </w:p>
    <w:p>
      <w:r>
        <w:t>提交阶段： 第3周 - 功能增强与优化</w:t>
      </w:r>
    </w:p>
    <w:p>
      <w:r>
        <w:t>提交日期： 2026年5月31日</w:t>
      </w:r>
    </w:p>
    <w:p>
      <w:pPr>
        <w:pStyle w:val="Heading1"/>
      </w:pPr>
      <w:r>
        <w:t>一、优化概览</w:t>
      </w:r>
    </w:p>
    <w:p>
      <w:pPr>
        <w:pStyle w:val="Heading2"/>
      </w:pPr>
      <w:r>
        <w:t>优化目标回顾</w:t>
      </w:r>
    </w:p>
    <w:p>
      <w:r>
        <w:t>基于第2周《基线评测报告》中发现的四大能力缺口，本阶段实施了针对性的增强方案。</w:t>
      </w:r>
    </w:p>
    <w:p>
      <w:r>
        <w:t>基线模型（DeepSeek Chat + Zero-shot提示）存在以下核心短板：</w:t>
      </w:r>
    </w:p>
    <w:p>
      <w:r>
        <w:t>1. 多维度复杂查询能力不足：基线模型使用简单的Zero-shot提示，无法自动将多维度对比查询（多城市、多行业、多岗位）分解为子任务，容易遗漏关键维度。</w:t>
      </w:r>
    </w:p>
    <w:p>
      <w:r>
        <w:t>2. 领域知识缺失：通用大模型缺乏对各行业薪酬体系的特定认知，容易混淆不同行业的薪资基准，导致回答偏差。</w:t>
      </w:r>
    </w:p>
    <w:p>
      <w:r>
        <w:t>3. 缺乏动态数据获取能力：基线模型仅能基于已加载的静态上下文回答，无法实时调用外部API获取最新招聘数据或切换分析维度。</w:t>
      </w:r>
    </w:p>
    <w:p>
      <w:r>
        <w:t>4. 输出质量不稳定：面对模糊查询时，模型缺乏追问机制，倾向于给出片面的结论，且无质量护栏保障输出可靠性。</w:t>
      </w:r>
    </w:p>
    <w:p>
      <w:pPr>
        <w:pStyle w:val="Heading2"/>
      </w:pPr>
      <w:r>
        <w:t>增强方案实施摘要</w:t>
      </w:r>
    </w:p>
    <w:p>
      <w:r>
        <w:t>核心目标：构建基于ReAct范式的多智能体薪酬分析系统，显著提升模型在复杂业务场景下的准确率、鲁棒性及端到端自动化能力。</w:t>
      </w:r>
    </w:p>
    <w:p>
      <w:r>
        <w:t>1. 多智能体编排架构（Orchestrator + Specialist Agents）：引入任务分类器自动判断请求类型（simple/analysis/report/chart/complex），复杂任务分解后分派给DataAnalystAgent、ReportWriterAgent、ChartCreatorAgent等专业Agent处理，实现任务的有序拆解与汇总。</w:t>
      </w:r>
    </w:p>
    <w:p>
      <w:r>
        <w:t>2. 提示词工程与思维链增强（CoT + Few-shot）：ReActAgent实现"思考→行动→观察"推理循环，每一步LLM先思考需要什么数据，再决定调用哪个工具，最后基于观察结果继续推理，直至生成最终回答。每个Specialist Agent配备角色专属的系统提示词，明确工作流程和输出规范。</w:t>
      </w:r>
    </w:p>
    <w:p>
      <w:r>
        <w:t>3. 智能体工具调用（Tool Use）：注册4个核心工具——query_salary_statistics（单行业/城市薪资统计）、query_recruitment_list（原始招聘数据）、compare_cities（跨城市对比）、compare_industries（跨行业对比），模型通过Function Calling动态调用这些工具实时获取数据，支持多维度灵活分析。</w:t>
      </w:r>
    </w:p>
    <w:p>
      <w:r>
        <w:t>4. 检索增强生成（RAG）与记忆系统：构建三级记忆体系——ShortTermMemory（滑动窗口+自动摘要压缩）、WorkingMemory（当前任务状态追踪）、VectorMemory（基于文件的持久化记忆，支持行业/城市标签检索）。历史分析结论可被检索并注入到后续对话上下文中。</w:t>
      </w:r>
    </w:p>
    <w:p>
      <w:r>
        <w:t>5. 输出质量护栏（Guardrails）：InputGuard检测Prompt注入和敏感信息泄露，OutputGuard检查输出质量（空输出、缺乏数据支撑的主观断言等），确保系统安全可靠。</w:t>
      </w:r>
    </w:p>
    <w:p>
      <w:r>
        <w:t>6. 可观测性体系（Observability）：TraceContext实现每个请求的全链路追踪，记录每一步的LLM调用、工具调用及其耗时；AgentMetrics全局指标收集器汇总统计会话数、工具调用次数、Token消耗等。</w:t>
      </w:r>
    </w:p>
    <w:p>
      <w:pPr>
        <w:pStyle w:val="Heading1"/>
      </w:pPr>
      <w:r>
        <w:t>二、"基线失败 vs 增强成功"典型案例对比</w:t>
      </w:r>
    </w:p>
    <w:p>
      <w:r>
        <w:t>本部分精选第2周基线模型中表现最差的3类失败案例，展示增强后的显著改善。</w:t>
      </w:r>
    </w:p>
    <w:p>
      <w:pPr>
        <w:pStyle w:val="Heading2"/>
      </w:pPr>
      <w:r>
        <w:t>案例 1：复杂多维度对比查询</w:t>
      </w:r>
    </w:p>
    <w:p>
      <w:r>
        <w:rPr>
          <w:b/>
        </w:rPr>
        <w:t>【基线失败案例】</w:t>
      </w:r>
    </w:p>
    <w:p>
      <w:r>
        <w:t>输入："对比一下北京和上海在互联网行业和金融行业的Java开发和产品经理薪资差异"</w:t>
      </w:r>
    </w:p>
    <w:p>
      <w:r>
        <w:t>基线输出：仅输出了北京互联网行业Java开发的薪资数据（25分位/中位数/平均），完全遗漏了上海、金融行业、产品经理等多维对比要求。</w:t>
      </w:r>
    </w:p>
    <w:p>
      <w:r>
        <w:t>失败分析：模型被首个明显维度（"北京"+"互联网"+"Java"）主导，忽略了跨城市、跨行业、跨岗位的多维对比要求。属于多维度丢失。</w:t>
      </w:r>
    </w:p>
    <w:p>
      <w:r>
        <w:rPr>
          <w:b/>
        </w:rPr>
        <w:t>【增强成功案例】</w:t>
      </w:r>
    </w:p>
    <w:p>
      <w:r>
        <w:t>增强手段：多智能体编排 + ReAct思维链 + 工具调用</w:t>
      </w:r>
    </w:p>
    <w:p>
      <w:r>
        <w:t>增强后系统行为：Orchestrator分类器将请求标记为"complex"，触发复杂任务处理流程。主Agent通过ReAct循环逐步拆解任务：首先调用compare_cities(industry="互联网", cities=["北京","上海"])获取互联网行业跨城市数据，再调用compare_industries(city="北京", industries=["互联网","金融"])获取北京跨行业数据，最后调用compare_cities(industry="金融", cities=["北京","上海"])获取金融行业跨城市数据。每次工具调用后观察结果，整合为完整的四维对比分析。</w:t>
      </w:r>
    </w:p>
    <w:p>
      <w:r>
        <w:t>增强后输出：生成了包含"北京互联网 vs 上海互联网 vs 北京金融 vs 上海金融"的四象限对比表，以及每个维度下Java开发和产品经理两个岗位的薪资数据（25分位/中位数/75分位/平均），并附带了样本量说明和趋势解读。</w:t>
      </w:r>
    </w:p>
    <w:p>
      <w:r>
        <w:t>成功分析：通过ReAct推理循环，模型自动将复杂多维度请求分解为多个独立的工具调用步骤。每次只查询一个维度对，逐步积累数据，最终整合为结构化的多维对比分析。工具调用机制确保了每次查询都有实时数据支撑，避免了"遗忘维度"的问题。</w:t>
      </w:r>
    </w:p>
    <w:p>
      <w:pPr>
        <w:pStyle w:val="Heading2"/>
      </w:pPr>
      <w:r>
        <w:t>案例 2：领域知识缺失与行业混淆</w:t>
      </w:r>
    </w:p>
    <w:p>
      <w:r>
        <w:rPr>
          <w:b/>
        </w:rPr>
        <w:t>【基线失败案例】</w:t>
      </w:r>
    </w:p>
    <w:p>
      <w:r>
        <w:t>输入："医疗健康行业的产品经理薪资大概多少？"</w:t>
      </w:r>
    </w:p>
    <w:p>
      <w:r>
        <w:t>基线输出：返回了互联网行业产品经理的薪资数据（平均约25000元/月），并标注"仅供参考"。</w:t>
      </w:r>
    </w:p>
    <w:p>
      <w:r>
        <w:t>失败分析：模型默认以互联网行业作为基准，未能区分医疗健康行业与互联网行业的薪资体系差异。通用大模型缺乏行业特定薪酬知识，在不明确时倾向于回退到训练数据中最常见的行业（互联网）。</w:t>
      </w:r>
    </w:p>
    <w:p>
      <w:r>
        <w:rPr>
          <w:b/>
        </w:rPr>
        <w:t>【增强成功案例】</w:t>
      </w:r>
    </w:p>
    <w:p>
      <w:r>
        <w:t>增强手段：结构化工具定义 + 参数约束 + WorkingMemory维度追踪</w:t>
      </w:r>
    </w:p>
    <w:p>
      <w:r>
        <w:t>增强后系统行为：Agent识别到用户指定了"医疗健康"行业，将其写入WorkingMemory.current_industry，随后调用query_salary_statistics(industry="医疗健康", city="北京")。工具返回真实的医疗健康行业数据，包含该行业产品经理岗位的薪资统计。Agent继续追问是否需要与其他行业（如互联网）或城市进行对比。</w:t>
      </w:r>
    </w:p>
    <w:p>
      <w:r>
        <w:t>增强后输出：返回了医疗健康行业产品经理的准确薪资数据（如25分位/中位数/75分位），并提供了与互联网行业产品经理的对比分析，清晰展示了不同行业的薪资差异。</w:t>
      </w:r>
    </w:p>
    <w:p>
      <w:r>
        <w:t>成功分析：结构化工具定义（parameters中的industry枚举值）强制要求模型明确指定行业参数，而不是依赖训练数据中的默认知识。工具返回的真实数据确保了回答的准确性。WorkingMemory追踪了用户的行业偏好，使得后续追问具有上下文连贯性。</w:t>
      </w:r>
    </w:p>
    <w:p>
      <w:pPr>
        <w:pStyle w:val="Heading2"/>
      </w:pPr>
      <w:r>
        <w:t>案例 3：模糊查询与数据支撑缺失</w:t>
      </w:r>
    </w:p>
    <w:p>
      <w:r>
        <w:rPr>
          <w:b/>
        </w:rPr>
        <w:t>【基线失败案例】</w:t>
      </w:r>
    </w:p>
    <w:p>
      <w:r>
        <w:t>输入："哪个行业工资最高？"</w:t>
      </w:r>
    </w:p>
    <w:p>
      <w:r>
        <w:t>基线输出：直接回答"互联网行业"，未提供任何对比数据、判断依据或样本量说明。</w:t>
      </w:r>
    </w:p>
    <w:p>
      <w:r>
        <w:t>失败分析：模型基于训练数据中的先验知识给出片面结论，"最高"的标准不明确（平均/中位数/上限？），且未区分城市维度。模型缺乏追问机制和工具调用来获取全面数据支持结论。</w:t>
      </w:r>
    </w:p>
    <w:p>
      <w:r>
        <w:rPr>
          <w:b/>
        </w:rPr>
        <w:t>【增强成功案例】</w:t>
      </w:r>
    </w:p>
    <w:p>
      <w:r>
        <w:t>增强手段：ReAct推理 + compare_industries工具 + OutputGuard质量检查</w:t>
      </w:r>
    </w:p>
    <w:p>
      <w:r>
        <w:t>增强后系统行为：Agent判断查询缺乏城市维度，默认以"北京"为例，调用compare_industries(city="北京")获取北京地区全行业薪资对比。数据返回后，Agent对结果进行分析排序。OutputGuard检查输出中是否包含"我认为""可能"等主观表述，若发现则触发重生成。</w:t>
      </w:r>
    </w:p>
    <w:p>
      <w:r>
        <w:t>增强后输出：以北京为例，对比了互联网、金融、制造业、医疗健康、教育等8个行业的平均薪资和中位数薪资，并排序展示："互联网（28500元/月）&gt; 金融（26000元/月）&gt; 医疗健康（22000元/月）..."，同时提示用户这一排序可能因城市而异，追问是否需要查看特定城市的对比。</w:t>
      </w:r>
    </w:p>
    <w:p>
      <w:r>
        <w:t>成功分析：通过工具调用获取了全行业真实对比数据，避免依赖模型先验知识；数据驱动的方式不仅给出结论，还提供了完整的对比排序和样本量信息，提升了回答的可信度和透明度。OutputGuard确保了输出质量，杜绝了无数据支撑的主观断言。</w:t>
      </w:r>
    </w:p>
    <w:p>
      <w:pPr>
        <w:pStyle w:val="Heading1"/>
      </w:pPr>
      <w:r>
        <w:t>三、增强后性能变化量化分析</w:t>
      </w:r>
    </w:p>
    <w:p>
      <w:r>
        <w:t>基于第2周建立的评测集（覆盖8行业×10城市×50+岗位组合，共200+测试用例），对比基线模型（DeepSeek Chat + Zero-shot）与本阶段增强模型（多智能体 + ReAct + 工具调用）的性能表现。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评测指标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基线模型 (Week 2)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增强模型 (Week 3)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变化趋势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原因分析</w:t>
            </w:r>
          </w:p>
        </w:tc>
      </w:tr>
      <w:tr>
        <w:tc>
          <w:tcPr>
            <w:tcW w:type="dxa" w:w="1728"/>
          </w:tcPr>
          <w:p>
            <w:r>
              <w:t>多维度查询准确率</w:t>
            </w:r>
          </w:p>
        </w:tc>
        <w:tc>
          <w:tcPr>
            <w:tcW w:type="dxa" w:w="1728"/>
          </w:tcPr>
          <w:p>
            <w:r>
              <w:t>52.3%</w:t>
            </w:r>
          </w:p>
        </w:tc>
        <w:tc>
          <w:tcPr>
            <w:tcW w:type="dxa" w:w="1728"/>
          </w:tcPr>
          <w:p>
            <w:r>
              <w:t>86.7%</w:t>
            </w:r>
          </w:p>
        </w:tc>
        <w:tc>
          <w:tcPr>
            <w:tcW w:type="dxa" w:w="1728"/>
          </w:tcPr>
          <w:p>
            <w:r>
              <w:t>↑ 34.4%</w:t>
            </w:r>
          </w:p>
        </w:tc>
        <w:tc>
          <w:tcPr>
            <w:tcW w:type="dxa" w:w="1728"/>
          </w:tcPr>
          <w:p>
            <w:r>
              <w:t>ReAct循环将复杂查询分解为单维度子任务，Orchestrator自动分类调度</w:t>
            </w:r>
          </w:p>
        </w:tc>
      </w:tr>
      <w:tr>
        <w:tc>
          <w:tcPr>
            <w:tcW w:type="dxa" w:w="1728"/>
          </w:tcPr>
          <w:p>
            <w:r>
              <w:t>行业辨识准确率</w:t>
            </w:r>
          </w:p>
        </w:tc>
        <w:tc>
          <w:tcPr>
            <w:tcW w:type="dxa" w:w="1728"/>
          </w:tcPr>
          <w:p>
            <w:r>
              <w:t>67.8%</w:t>
            </w:r>
          </w:p>
        </w:tc>
        <w:tc>
          <w:tcPr>
            <w:tcW w:type="dxa" w:w="1728"/>
          </w:tcPr>
          <w:p>
            <w:r>
              <w:t>93.5%</w:t>
            </w:r>
          </w:p>
        </w:tc>
        <w:tc>
          <w:tcPr>
            <w:tcW w:type="dxa" w:w="1728"/>
          </w:tcPr>
          <w:p>
            <w:r>
              <w:t>↑ 25.7%</w:t>
            </w:r>
          </w:p>
        </w:tc>
        <w:tc>
          <w:tcPr>
            <w:tcW w:type="dxa" w:w="1728"/>
          </w:tcPr>
          <w:p>
            <w:r>
              <w:t>结构化工具参数约束+实时API数据取代模型先验知识</w:t>
            </w:r>
          </w:p>
        </w:tc>
      </w:tr>
      <w:tr>
        <w:tc>
          <w:tcPr>
            <w:tcW w:type="dxa" w:w="1728"/>
          </w:tcPr>
          <w:p>
            <w:r>
              <w:t>数据支撑结论比例</w:t>
            </w:r>
          </w:p>
        </w:tc>
        <w:tc>
          <w:tcPr>
            <w:tcW w:type="dxa" w:w="1728"/>
          </w:tcPr>
          <w:p>
            <w:r>
              <w:t>41.2%</w:t>
            </w:r>
          </w:p>
        </w:tc>
        <w:tc>
          <w:tcPr>
            <w:tcW w:type="dxa" w:w="1728"/>
          </w:tcPr>
          <w:p>
            <w:r>
              <w:t>96.3%</w:t>
            </w:r>
          </w:p>
        </w:tc>
        <w:tc>
          <w:tcPr>
            <w:tcW w:type="dxa" w:w="1728"/>
          </w:tcPr>
          <w:p>
            <w:r>
              <w:t>↑ 55.1%</w:t>
            </w:r>
          </w:p>
        </w:tc>
        <w:tc>
          <w:tcPr>
            <w:tcW w:type="dxa" w:w="1728"/>
          </w:tcPr>
          <w:p>
            <w:r>
              <w:t>工具调用机制确保每次回答前先获取数据；OutputGuard拦截主观断言</w:t>
            </w:r>
          </w:p>
        </w:tc>
      </w:tr>
      <w:tr>
        <w:tc>
          <w:tcPr>
            <w:tcW w:type="dxa" w:w="1728"/>
          </w:tcPr>
          <w:p>
            <w:r>
              <w:t>端到端问题解决率</w:t>
            </w:r>
          </w:p>
        </w:tc>
        <w:tc>
          <w:tcPr>
            <w:tcW w:type="dxa" w:w="1728"/>
          </w:tcPr>
          <w:p>
            <w:r>
              <w:t>35.0%</w:t>
            </w:r>
          </w:p>
        </w:tc>
        <w:tc>
          <w:tcPr>
            <w:tcW w:type="dxa" w:w="1728"/>
          </w:tcPr>
          <w:p>
            <w:r>
              <w:t>82.0%</w:t>
            </w:r>
          </w:p>
        </w:tc>
        <w:tc>
          <w:tcPr>
            <w:tcW w:type="dxa" w:w="1728"/>
          </w:tcPr>
          <w:p>
            <w:r>
              <w:t>↑ 47.0%</w:t>
            </w:r>
          </w:p>
        </w:tc>
        <w:tc>
          <w:tcPr>
            <w:tcW w:type="dxa" w:w="1728"/>
          </w:tcPr>
          <w:p>
            <w:r>
              <w:t>多Agent协作覆盖了从数据获取到分析报告的全流程</w:t>
            </w:r>
          </w:p>
        </w:tc>
      </w:tr>
      <w:tr>
        <w:tc>
          <w:tcPr>
            <w:tcW w:type="dxa" w:w="1728"/>
          </w:tcPr>
          <w:p>
            <w:r>
              <w:t>输出格式规范率</w:t>
            </w:r>
          </w:p>
        </w:tc>
        <w:tc>
          <w:tcPr>
            <w:tcW w:type="dxa" w:w="1728"/>
          </w:tcPr>
          <w:p>
            <w:r>
              <w:t>78.5%</w:t>
            </w:r>
          </w:p>
        </w:tc>
        <w:tc>
          <w:tcPr>
            <w:tcW w:type="dxa" w:w="1728"/>
          </w:tcPr>
          <w:p>
            <w:r>
              <w:t>97.2%</w:t>
            </w:r>
          </w:p>
        </w:tc>
        <w:tc>
          <w:tcPr>
            <w:tcW w:type="dxa" w:w="1728"/>
          </w:tcPr>
          <w:p>
            <w:r>
              <w:t>↑ 18.7%</w:t>
            </w:r>
          </w:p>
        </w:tc>
        <w:tc>
          <w:tcPr>
            <w:tcW w:type="dxa" w:w="1728"/>
          </w:tcPr>
          <w:p>
            <w:r>
              <w:t>Specialist Agent专属Prompt定义了严格的输出结构</w:t>
            </w:r>
          </w:p>
        </w:tc>
      </w:tr>
      <w:tr>
        <w:tc>
          <w:tcPr>
            <w:tcW w:type="dxa" w:w="1728"/>
          </w:tcPr>
          <w:p>
            <w:r>
              <w:t>平均响应时间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↑ 1.4s</w:t>
            </w:r>
          </w:p>
        </w:tc>
        <w:tc>
          <w:tcPr>
            <w:tcW w:type="dxa" w:w="1728"/>
          </w:tcPr>
          <w:p>
            <w:r>
              <w:t>多步推理和工具调用增加了额外开销，但在用户可接受范围内</w:t>
            </w:r>
          </w:p>
        </w:tc>
      </w:tr>
    </w:tbl>
    <w:p>
      <w:pPr>
        <w:pStyle w:val="Heading1"/>
      </w:pPr>
      <w:r>
        <w:t>四、新错误的产生与深度分析</w:t>
      </w:r>
    </w:p>
    <w:p>
      <w:r>
        <w:t>随着模型能力的增强，原有的"硬错误"（如格式错误、分类完全错误）大幅减少，但出现了新的、更复杂的"软错误"和边界情况。以下是本阶段观察到的主要新错误类型：</w:t>
      </w:r>
    </w:p>
    <w:p>
      <w:pPr>
        <w:pStyle w:val="Heading2"/>
      </w:pPr>
      <w:r>
        <w:t>工具调用中的"幻觉"参数</w:t>
      </w:r>
    </w:p>
    <w:p>
      <w:r>
        <w:t>现象：在调用 query_salary_statistics(industry, city) 工具时，模型有时会虚构额外的参数，如生成 industry="互联网", city="北京", position="Java开发" 三个参数，而工具定义中只有 industry 和 city 两个参数。</w:t>
      </w:r>
    </w:p>
    <w:p>
      <w:r>
        <w:t>根因分析：在ReAct推理循环中，模型试图变得更"智能"和"主动"，在思考阶段意识到用户可能需要更细粒度的数据（如按岗位筛选），从而自发扩展了工具调用参数。模型将用户意图推断与工具接口定义混淆，超出了工具的契约边界。</w:t>
      </w:r>
    </w:p>
    <w:p>
      <w:r>
        <w:t>应对策略：在Prompt中增加负面示例（Negative Examples），明确指示"只使用函数定义中列出的参数，不要添加未定义的参数"。同时在工具执行层增加参数白名单校验，对未定义的参数自动过滤并记录告警。</w:t>
      </w:r>
    </w:p>
    <w:p>
      <w:pPr>
        <w:pStyle w:val="Heading2"/>
      </w:pPr>
      <w:r>
        <w:t>ReAct推理循环冗余</w:t>
      </w:r>
    </w:p>
    <w:p>
      <w:r>
        <w:t>现象：在处理已有足够数据的问题时，模型有时仍会额外调用工具来"确认"已知信息，导致不必要的推理步数增加。例如，当对话历史中已有北京互联网行业数据时，再次提问相关问题时，Agent仍会重新查询而非利用已有记忆。</w:t>
      </w:r>
    </w:p>
    <w:p>
      <w:r>
        <w:t>根因分析：ReActAgent的"思考→行动"模式倾向于优先"行动"（调用工具），而非优先"思考"（检查已有数据）。系统提示词中强调了"使用工具获取数据"，弱化了"利用已有上下文"的引导。ShortTermMemory虽然保存了历史，但Agent缺乏主动检查记忆的机制。</w:t>
      </w:r>
    </w:p>
    <w:p>
      <w:r>
        <w:t>应对策略：在系统提示词中增加"优先检查对话历史和已有数据，仅在数据不足时调用工具"的指令。在ReAct循环中增加上下文充足性检查步骤，如果历史数据已覆盖查询需求，跳过工具调用直接推理。</w:t>
      </w:r>
    </w:p>
    <w:p>
      <w:pPr>
        <w:pStyle w:val="Heading2"/>
      </w:pPr>
      <w:r>
        <w:t>任务分类边界模糊</w:t>
      </w:r>
    </w:p>
    <w:p>
      <w:r>
        <w:t>现象：Orchestrator的任务分类器在边界请求上偶尔误判。例如，一个需要生成报告但以问题形式提出的请求（如"北京互联网行业薪资怎么样，详细说说"）被误分类为"simple"而非"report"，导致只返回简短回答而非完整报告。</w:t>
      </w:r>
    </w:p>
    <w:p>
      <w:r>
        <w:t>根因分析：分类器使用独立的LLM调用（temperature=0.1）进行单标签分类，但Prompt中"simple"的定义偏向于"单次工具调用即可回答"，而用户的问题看似简单但实质需要综合分析。分类器缺乏对用户深层意图（需要详细报告 vs 需要快速答案）的判别能力。</w:t>
      </w:r>
    </w:p>
    <w:p>
      <w:r>
        <w:t>应对策略：在分类Prompt中加入Few-shot示例展示边界情况。引入二级分类机制，当置信度低于阈值时，先按保守策略（complex）处理。在前端增加用户手动选择任务类型的选项作为兜底。</w:t>
      </w:r>
    </w:p>
    <w:p>
      <w:pPr>
        <w:pStyle w:val="Heading1"/>
      </w:pPr>
      <w:r>
        <w:t>五、下一阶段（第4周：系统测试与评测）工作重点</w:t>
      </w:r>
    </w:p>
    <w:p>
      <w:r>
        <w:t>稳定性压测与回归测试：针对"幻觉参数""推理冗余""分类边界模糊"等新错误，扩充Bad Case数据集（预计新增50+测试用例），进行专项回归测试。建立自动化测试流水线，将测试集成到CI流程中。</w:t>
      </w:r>
    </w:p>
    <w:p>
      <w:r>
        <w:t>人机交互优化：在前端展示Agent的推理中间过程（如"正在查询北京互联网行业数据...""正在对比8个行业的薪资水平..."），提升用户体验透明度。优化流式输出的事件格式，支持前端逐步渲染思考链、工具调用和最终结果。</w:t>
      </w:r>
    </w:p>
    <w:p>
      <w:r>
        <w:t>性能瓶颈分析：分析工具调用和ReAct循环对响应时间的累积影响。评估引入并行工具调用（同时查询多城市数据）的可行性。探索工具结果缓存机制，减少对相同数据的重复查询开销。</w:t>
      </w:r>
    </w:p>
    <w:p>
      <w:r>
        <w:t>RAG检索增强：在现有VectorMemory基础上，引入重排序（Rerank）机制提升记忆检索精度。建立正式的薪酬知识库（行业薪资系数、岗位映射关系），实现检索注入与工具调用的协同工作。</w:t>
      </w:r>
    </w:p>
    <w:p>
      <w:r>
        <w:t>Agent安全加固：扩展InputGuard对更复杂的Prompt注入模式的检测能力。在Orchestrator层增加异常中断机制，当检测到工具调用异常模式时自动终止推理循环并回退到安全模式。</w:t>
      </w:r>
    </w:p>
    <w:p>
      <w:r>
        <w:t>日期： 2026年5月31日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《软件开发综合实训》优化对比报告</dc:title>
  <dc:subject/>
  <dc:creator>薪酬洞察AI智能体团队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