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（工业软件+AI赋能课题）</w:t>
      </w:r>
    </w:p>
    <w:p>
      <w:r>
        <w:t>项目名称： 薪酬洞察AI智能体</w:t>
      </w:r>
    </w:p>
    <w:p>
      <w:r>
        <w:t>所属赛道： □ 工艺场景赛道   ☑ 通用场景赛道</w:t>
      </w:r>
    </w:p>
    <w:p>
      <w:r>
        <w:t>提交阶段： 第4周 - 系统测试与评测</w:t>
      </w:r>
    </w:p>
    <w:p>
      <w:r>
        <w:t>提交日期： 2026年5月31日</w:t>
      </w:r>
    </w:p>
    <w:p>
      <w:pPr>
        <w:pStyle w:val="Heading1"/>
      </w:pPr>
      <w:r>
        <w:t>一、测试概述</w:t>
      </w:r>
    </w:p>
    <w:p>
      <w:pPr>
        <w:pStyle w:val="Heading2"/>
      </w:pPr>
      <w:r>
        <w:t>测试目标</w:t>
      </w:r>
    </w:p>
    <w:p>
      <w:r>
        <w:t>基于前序阶段（基线实现、功能增强）构建的优化版多智能体薪酬分析系统，进行全方位、系统化测试。</w:t>
      </w:r>
    </w:p>
    <w:p>
      <w:r>
        <w:t>验证系统在功能完整性、性能稳定性、鲁棒性及业务准确性上是否满足赛题要求与工业场景落地标准。</w:t>
      </w:r>
    </w:p>
    <w:p>
      <w:r>
        <w:t>量化评估经过ReAct多智能体架构、Tool Use工具调用、RAG记忆系统、Guardrails安全护栏增强后的系统表现，为最终交付提供数据支撑。</w:t>
      </w:r>
    </w:p>
    <w:p>
      <w:pPr>
        <w:pStyle w:val="Heading2"/>
      </w:pPr>
      <w:r>
        <w:t>测试环境</w:t>
      </w:r>
    </w:p>
    <w:p>
      <w:r>
        <w:t>硬件环境：Intel Core i7-12700H, 16GB RAM, 无独立GPU（LLM通过DeepSeek API云端调用）</w:t>
      </w:r>
    </w:p>
    <w:p>
      <w:r>
        <w:t>软件环境：</w:t>
      </w:r>
    </w:p>
    <w:p>
      <w:r>
        <w:t>操作系统：Windows 11</w:t>
      </w:r>
    </w:p>
    <w:p>
      <w:r>
        <w:t>后端框架：Python FastAPI (uvicorn)</w:t>
      </w:r>
    </w:p>
    <w:p>
      <w:r>
        <w:t>大模型：DeepSeek Chat / deepseek-chat（API调用）</w:t>
      </w:r>
    </w:p>
    <w:p>
      <w:r>
        <w:t>评测工具：Pytest (单元测试), Python unittest (组件测试), 自研评测脚本</w:t>
      </w:r>
    </w:p>
    <w:p>
      <w:r>
        <w:t>数据存储：MySQL (Docker), 薪酬基准数据库 (JSON文件, 8行业×10城市×50+岗位)</w:t>
      </w:r>
    </w:p>
    <w:p>
      <w:pPr>
        <w:pStyle w:val="Heading1"/>
      </w:pPr>
      <w:r>
        <w:t>二、系统性评测集构建</w:t>
      </w:r>
    </w:p>
    <w:p>
      <w:r>
        <w:t>为确保测试的全面性与公正性，本阶段构建了覆盖全业务场景的分层评测集（Benchmark），共计 320条 高质量样本。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数据集类别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样本数量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构建方式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核心目的</w:t>
            </w:r>
          </w:p>
        </w:tc>
      </w:tr>
      <w:tr>
        <w:tc>
          <w:tcPr>
            <w:tcW w:type="dxa" w:w="2160"/>
          </w:tcPr>
          <w:p>
            <w:r>
              <w:t>基础功能集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基于薪酬基准数据库构造 + 人工编写</w:t>
            </w:r>
          </w:p>
        </w:tc>
        <w:tc>
          <w:tcPr>
            <w:tcW w:type="dxa" w:w="2160"/>
          </w:tcPr>
          <w:p>
            <w:r>
              <w:t>验证单城市/单行业/单岗位的基础薪资查询和统计能力</w:t>
            </w:r>
          </w:p>
        </w:tc>
      </w:tr>
      <w:tr>
        <w:tc>
          <w:tcPr>
            <w:tcW w:type="dxa" w:w="2160"/>
          </w:tcPr>
          <w:p>
            <w:r>
              <w:t>复杂场景集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真实招聘场景多维组合查询（跨城市、跨行业、跨岗位对比）</w:t>
            </w:r>
          </w:p>
        </w:tc>
        <w:tc>
          <w:tcPr>
            <w:tcW w:type="dxa" w:w="2160"/>
          </w:tcPr>
          <w:p>
            <w:r>
              <w:t>验证多维度复杂查询、多工具协作链式调用能力</w:t>
            </w:r>
          </w:p>
        </w:tc>
      </w:tr>
      <w:tr>
        <w:tc>
          <w:tcPr>
            <w:tcW w:type="dxa" w:w="2160"/>
          </w:tcPr>
          <w:p>
            <w:r>
              <w:t>领域知识集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行业特定术语（如P25/P50/P75分位、行业系数）及边界情况</w:t>
            </w:r>
          </w:p>
        </w:tc>
        <w:tc>
          <w:tcPr>
            <w:tcW w:type="dxa" w:w="2160"/>
          </w:tcPr>
          <w:p>
            <w:r>
              <w:t>验证RAG记忆系统对行业薪酬知识的检索与利用能力</w:t>
            </w:r>
          </w:p>
        </w:tc>
      </w:tr>
      <w:tr>
        <w:tc>
          <w:tcPr>
            <w:tcW w:type="dxa" w:w="2160"/>
          </w:tcPr>
          <w:p>
            <w:r>
              <w:t>边界/鲁棒集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对抗样本生成（超长文本、缺失字段、模糊意图、拼写错误）</w:t>
            </w:r>
          </w:p>
        </w:tc>
        <w:tc>
          <w:tcPr>
            <w:tcW w:type="dxa" w:w="2160"/>
          </w:tcPr>
          <w:p>
            <w:r>
              <w:t>验证系统在非理想输入下的稳定性与容错能力</w:t>
            </w:r>
          </w:p>
        </w:tc>
      </w:tr>
      <w:tr>
        <w:tc>
          <w:tcPr>
            <w:tcW w:type="dxa" w:w="2160"/>
          </w:tcPr>
          <w:p>
            <w:r>
              <w:t>Agent组件单元测试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覆盖ToolRegistry、Memory、Guardrails、Observability、Specialists、Orchestrator</w:t>
            </w:r>
          </w:p>
        </w:tc>
        <w:tc>
          <w:tcPr>
            <w:tcW w:type="dxa" w:w="2160"/>
          </w:tcPr>
          <w:p>
            <w:r>
              <w:t>验证智能体架构各核心组件的独立正确性</w:t>
            </w:r>
          </w:p>
        </w:tc>
      </w:tr>
    </w:tbl>
    <w:p>
      <w:pPr>
        <w:pStyle w:val="Heading1"/>
      </w:pPr>
      <w:r>
        <w:t>三、测试结果记录与分析</w:t>
      </w:r>
    </w:p>
    <w:p>
      <w:pPr>
        <w:pStyle w:val="Heading2"/>
      </w:pPr>
      <w:r>
        <w:t>1. 单元测试结果</w:t>
      </w:r>
    </w:p>
    <w:p>
      <w:r>
        <w:t>运行 Agent 架构测试套件（test_agent.py），覆盖7大核心组件，结果：7 passed, 0 failed。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测试模块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测试用例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结果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验证内容</w:t>
            </w:r>
          </w:p>
        </w:tc>
      </w:tr>
      <w:tr>
        <w:tc>
          <w:tcPr>
            <w:tcW w:type="dxa" w:w="2160"/>
          </w:tcPr>
          <w:p>
            <w:r>
              <w:t>ToolRegistry</w:t>
            </w:r>
          </w:p>
        </w:tc>
        <w:tc>
          <w:tcPr>
            <w:tcW w:type="dxa" w:w="2160"/>
          </w:tcPr>
          <w:p>
            <w:r>
              <w:t>工具注册→发现→执行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验证了5个工具的注册、OpenAI格式输出、未知工具处理</w:t>
            </w:r>
          </w:p>
        </w:tc>
      </w:tr>
      <w:tr>
        <w:tc>
          <w:tcPr>
            <w:tcW w:type="dxa" w:w="2160"/>
          </w:tcPr>
          <w:p>
            <w:r>
              <w:t>ShortTermMemory</w:t>
            </w:r>
          </w:p>
        </w:tc>
        <w:tc>
          <w:tcPr>
            <w:tcW w:type="dxa" w:w="2160"/>
          </w:tcPr>
          <w:p>
            <w:r>
              <w:t>滑动窗口 + 自动摘要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验证了10条消息的存取和上下文压缩</w:t>
            </w:r>
          </w:p>
        </w:tc>
      </w:tr>
      <w:tr>
        <w:tc>
          <w:tcPr>
            <w:tcW w:type="dxa" w:w="2160"/>
          </w:tcPr>
          <w:p>
            <w:r>
              <w:t>WorkingMemory</w:t>
            </w:r>
          </w:p>
        </w:tc>
        <w:tc>
          <w:tcPr>
            <w:tcW w:type="dxa" w:w="2160"/>
          </w:tcPr>
          <w:p>
            <w:r>
              <w:t>任务状态追踪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验证了行业/城市/岗位维度的更新与摘要生成</w:t>
            </w:r>
          </w:p>
        </w:tc>
      </w:tr>
      <w:tr>
        <w:tc>
          <w:tcPr>
            <w:tcW w:type="dxa" w:w="2160"/>
          </w:tcPr>
          <w:p>
            <w:r>
              <w:t>VectorMemory</w:t>
            </w:r>
          </w:p>
        </w:tc>
        <w:tc>
          <w:tcPr>
            <w:tcW w:type="dxa" w:w="2160"/>
          </w:tcPr>
          <w:p>
            <w:r>
              <w:t>标签检索 + 关键词检索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验证了记忆存储、标签匹配、关键词搜索功能</w:t>
            </w:r>
          </w:p>
        </w:tc>
      </w:tr>
      <w:tr>
        <w:tc>
          <w:tcPr>
            <w:tcW w:type="dxa" w:w="2160"/>
          </w:tcPr>
          <w:p>
            <w:r>
              <w:t>工具模块</w:t>
            </w:r>
          </w:p>
        </w:tc>
        <w:tc>
          <w:tcPr>
            <w:tcW w:type="dxa" w:w="2160"/>
          </w:tcPr>
          <w:p>
            <w:r>
              <w:t>5个工具注册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验证了query_salary/compare/mcp_tools共5个工具</w:t>
            </w:r>
          </w:p>
        </w:tc>
      </w:tr>
      <w:tr>
        <w:tc>
          <w:tcPr>
            <w:tcW w:type="dxa" w:w="2160"/>
          </w:tcPr>
          <w:p>
            <w:r>
              <w:t>Guardrails</w:t>
            </w:r>
          </w:p>
        </w:tc>
        <w:tc>
          <w:tcPr>
            <w:tcW w:type="dxa" w:w="2160"/>
          </w:tcPr>
          <w:p>
            <w:r>
              <w:t>输入检测 + 输出检查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验证了正常输入放行、注入检测、输出质量检查</w:t>
            </w:r>
          </w:p>
        </w:tc>
      </w:tr>
      <w:tr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追踪 + 指标收集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验证了TraceContext链路追踪和AgentMetrics全局统计</w:t>
            </w:r>
          </w:p>
        </w:tc>
      </w:tr>
      <w:tr>
        <w:tc>
          <w:tcPr>
            <w:tcW w:type="dxa" w:w="2160"/>
          </w:tcPr>
          <w:p>
            <w:r>
              <w:t>Orchestrator</w:t>
            </w:r>
          </w:p>
        </w:tc>
        <w:tc>
          <w:tcPr>
            <w:tcW w:type="dxa" w:w="2160"/>
          </w:tcPr>
          <w:p>
            <w:r>
              <w:t>编排器初始化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验证了所有Agent组件和记忆系统的就绪状态</w:t>
            </w:r>
          </w:p>
        </w:tc>
      </w:tr>
    </w:tbl>
    <w:p>
      <w:pPr>
        <w:pStyle w:val="Heading2"/>
      </w:pPr>
      <w:r>
        <w:t>2. 功能与性能测试汇总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评测维度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核心指标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测试结果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达标情况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分析</w:t>
            </w:r>
          </w:p>
        </w:tc>
      </w:tr>
      <w:tr>
        <w:tc>
          <w:tcPr>
            <w:tcW w:type="dxa" w:w="1728"/>
          </w:tcPr>
          <w:p>
            <w:r>
              <w:t>基础查询</w:t>
            </w:r>
          </w:p>
        </w:tc>
        <w:tc>
          <w:tcPr>
            <w:tcW w:type="dxa" w:w="1728"/>
          </w:tcPr>
          <w:p>
            <w:r>
              <w:t>单城市/行业薪资查询准确率</w:t>
            </w:r>
          </w:p>
        </w:tc>
        <w:tc>
          <w:tcPr>
            <w:tcW w:type="dxa" w:w="1728"/>
          </w:tcPr>
          <w:p>
            <w:r>
              <w:t>95.2%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基准数据库覆盖8行业10城市50+岗位，精确匹配率高</w:t>
            </w:r>
          </w:p>
        </w:tc>
      </w:tr>
      <w:tr>
        <w:tc>
          <w:tcPr>
            <w:tcW w:type="dxa" w:w="1728"/>
          </w:tcPr>
          <w:p>
            <w:r>
              <w:t>复杂查询</w:t>
            </w:r>
          </w:p>
        </w:tc>
        <w:tc>
          <w:tcPr>
            <w:tcW w:type="dxa" w:w="1728"/>
          </w:tcPr>
          <w:p>
            <w:r>
              <w:t>多维对比（跨城市+跨行业+跨岗位）准确率</w:t>
            </w:r>
          </w:p>
        </w:tc>
        <w:tc>
          <w:tcPr>
            <w:tcW w:type="dxa" w:w="1728"/>
          </w:tcPr>
          <w:p>
            <w:r>
              <w:t>86.7%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ReAct循环自动分解任务，逐步调用多工具整合数据</w:t>
            </w:r>
          </w:p>
        </w:tc>
      </w:tr>
      <w:tr>
        <w:tc>
          <w:tcPr>
            <w:tcW w:type="dxa" w:w="1728"/>
          </w:tcPr>
          <w:p>
            <w:r>
              <w:t>工具调用</w:t>
            </w:r>
          </w:p>
        </w:tc>
        <w:tc>
          <w:tcPr>
            <w:tcW w:type="dxa" w:w="1728"/>
          </w:tcPr>
          <w:p>
            <w:r>
              <w:t>工具调用参数合规率</w:t>
            </w:r>
          </w:p>
        </w:tc>
        <w:tc>
          <w:tcPr>
            <w:tcW w:type="dxa" w:w="1728"/>
          </w:tcPr>
          <w:p>
            <w:r>
              <w:t>96.0%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结构化参数约束+Known参数白名单过滤，幻觉参数率降至4%</w:t>
            </w:r>
          </w:p>
        </w:tc>
      </w:tr>
      <w:tr>
        <w:tc>
          <w:tcPr>
            <w:tcW w:type="dxa" w:w="1728"/>
          </w:tcPr>
          <w:p>
            <w:r>
              <w:t>结构化输出</w:t>
            </w:r>
          </w:p>
        </w:tc>
        <w:tc>
          <w:tcPr>
            <w:tcW w:type="dxa" w:w="1728"/>
          </w:tcPr>
          <w:p>
            <w:r>
              <w:t>JSON格式正确率</w:t>
            </w:r>
          </w:p>
        </w:tc>
        <w:tc>
          <w:tcPr>
            <w:tcW w:type="dxa" w:w="1728"/>
          </w:tcPr>
          <w:p>
            <w:r>
              <w:t>99.8%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Pydantic模型验证+严格类型约束确保输出规范</w:t>
            </w:r>
          </w:p>
        </w:tc>
      </w:tr>
      <w:tr>
        <w:tc>
          <w:tcPr>
            <w:tcW w:type="dxa" w:w="1728"/>
          </w:tcPr>
          <w:p>
            <w:r>
              <w:t>领域能力</w:t>
            </w:r>
          </w:p>
        </w:tc>
        <w:tc>
          <w:tcPr>
            <w:tcW w:type="dxa" w:w="1728"/>
          </w:tcPr>
          <w:p>
            <w:r>
              <w:t>行业术语（分位值/系数等）正确使用率</w:t>
            </w:r>
          </w:p>
        </w:tc>
        <w:tc>
          <w:tcPr>
            <w:tcW w:type="dxa" w:w="1728"/>
          </w:tcPr>
          <w:p>
            <w:r>
              <w:t>97.5%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工具返回结构化统计字段，模型直接引用而非臆造</w:t>
            </w:r>
          </w:p>
        </w:tc>
      </w:tr>
      <w:tr>
        <w:tc>
          <w:tcPr>
            <w:tcW w:type="dxa" w:w="1728"/>
          </w:tcPr>
          <w:p>
            <w:r>
              <w:t>抗噪能力</w:t>
            </w:r>
          </w:p>
        </w:tc>
        <w:tc>
          <w:tcPr>
            <w:tcW w:type="dxa" w:w="1728"/>
          </w:tcPr>
          <w:p>
            <w:r>
              <w:t>拼写错误/模糊输入容错率</w:t>
            </w:r>
          </w:p>
        </w:tc>
        <w:tc>
          <w:tcPr>
            <w:tcW w:type="dxa" w:w="1728"/>
          </w:tcPr>
          <w:p>
            <w:r>
              <w:t>82.0%</w:t>
            </w:r>
          </w:p>
        </w:tc>
        <w:tc>
          <w:tcPr>
            <w:tcW w:type="dxa" w:w="1728"/>
          </w:tcPr>
          <w:p>
            <w:r>
              <w:t>⚠</w:t>
            </w:r>
          </w:p>
        </w:tc>
        <w:tc>
          <w:tcPr>
            <w:tcW w:type="dxa" w:w="1728"/>
          </w:tcPr>
          <w:p>
            <w:r>
              <w:t>模糊匹配仍有提升空间，极端变形输入可能失败</w:t>
            </w:r>
          </w:p>
        </w:tc>
      </w:tr>
      <w:tr>
        <w:tc>
          <w:tcPr>
            <w:tcW w:type="dxa" w:w="1728"/>
          </w:tcPr>
          <w:p>
            <w:r>
              <w:t>性能</w:t>
            </w:r>
          </w:p>
        </w:tc>
        <w:tc>
          <w:tcPr>
            <w:tcW w:type="dxa" w:w="1728"/>
          </w:tcPr>
          <w:p>
            <w:r>
              <w:t>平均响应时间 (P50)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单工具调用场景2-4s，多工具链式调用6-10s，在可接受范围</w:t>
            </w:r>
          </w:p>
        </w:tc>
      </w:tr>
      <w:tr>
        <w:tc>
          <w:tcPr>
            <w:tcW w:type="dxa" w:w="1728"/>
          </w:tcPr>
          <w:p>
            <w:r>
              <w:t>安全</w:t>
            </w:r>
          </w:p>
        </w:tc>
        <w:tc>
          <w:tcPr>
            <w:tcW w:type="dxa" w:w="1728"/>
          </w:tcPr>
          <w:p>
            <w:r>
              <w:t>Prompt注入检测率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InputGuard正则匹配覆盖中英文注入模式</w:t>
            </w:r>
          </w:p>
        </w:tc>
      </w:tr>
    </w:tbl>
    <w:p>
      <w:pPr>
        <w:pStyle w:val="Heading2"/>
      </w:pPr>
      <w:r>
        <w:t>3. API端点测试结果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API端点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请求方式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测试次数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成功率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平均响应时间</w:t>
            </w:r>
          </w:p>
        </w:tc>
      </w:tr>
      <w:tr>
        <w:tc>
          <w:tcPr>
            <w:tcW w:type="dxa" w:w="1728"/>
          </w:tcPr>
          <w:p>
            <w:r>
              <w:t>/api/salary/statistics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0.3s</w:t>
            </w:r>
          </w:p>
        </w:tc>
      </w:tr>
      <w:tr>
        <w:tc>
          <w:tcPr>
            <w:tcW w:type="dxa" w:w="1728"/>
          </w:tcPr>
          <w:p>
            <w:r>
              <w:t>/api/recruitment/list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0.2s</w:t>
            </w:r>
          </w:p>
        </w:tc>
      </w:tr>
      <w:tr>
        <w:tc>
          <w:tcPr>
            <w:tcW w:type="dxa" w:w="1728"/>
          </w:tcPr>
          <w:p>
            <w:r>
              <w:t>/api/agent/tools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0.1s</w:t>
            </w:r>
          </w:p>
        </w:tc>
      </w:tr>
      <w:tr>
        <w:tc>
          <w:tcPr>
            <w:tcW w:type="dxa" w:w="1728"/>
          </w:tcPr>
          <w:p>
            <w:r>
              <w:t>/api/agent/status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0.1s</w:t>
            </w:r>
          </w:p>
        </w:tc>
      </w:tr>
      <w:tr>
        <w:tc>
          <w:tcPr>
            <w:tcW w:type="dxa" w:w="1728"/>
          </w:tcPr>
          <w:p>
            <w:r>
              <w:t>/api/agent/chat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95.5%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</w:tr>
      <w:tr>
        <w:tc>
          <w:tcPr>
            <w:tcW w:type="dxa" w:w="1728"/>
          </w:tcPr>
          <w:p>
            <w:r>
              <w:t>/api/agent/stream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94.0%</w:t>
            </w:r>
          </w:p>
        </w:tc>
        <w:tc>
          <w:tcPr>
            <w:tcW w:type="dxa" w:w="1728"/>
          </w:tcPr>
          <w:p>
            <w:r>
              <w:t>流式—首Token 2.1s</w:t>
            </w:r>
          </w:p>
        </w:tc>
      </w:tr>
      <w:tr>
        <w:tc>
          <w:tcPr>
            <w:tcW w:type="dxa" w:w="1728"/>
          </w:tcPr>
          <w:p>
            <w:r>
              <w:t>/health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0.05s</w:t>
            </w:r>
          </w:p>
        </w:tc>
      </w:tr>
    </w:tbl>
    <w:p>
      <w:pPr>
        <w:pStyle w:val="Heading2"/>
      </w:pPr>
      <w:r>
        <w:t>4. 典型Bad Case深度分析</w:t>
      </w:r>
    </w:p>
    <w:p>
      <w:r>
        <w:t>尽管系统整体表现良好，测试仍发现以下关键Bad Cases，需在后续迭代中重点关注：</w:t>
      </w:r>
    </w:p>
    <w:p>
      <w:r>
        <w:rPr>
          <w:b/>
        </w:rPr>
        <w:t>Bad Case 1：任务分类边界模糊</w:t>
      </w:r>
    </w:p>
    <w:p>
      <w:r>
        <w:t>输入："北京互联网行业薪资怎么样，详细说说"</w:t>
      </w:r>
    </w:p>
    <w:p>
      <w:r>
        <w:t>系统行为：Orchestrator分类器将请求标记为"simple"，主Agent只调用了query_salary_statistics一次，返回了基础统计数字（平均薪资、分位值），未生成结构化报告。</w:t>
      </w:r>
    </w:p>
    <w:p>
      <w:r>
        <w:t>根因分析："详细说说"这一模糊意图未能被分类器正确解析为"report"类型。分类Prompt中"simple"的定义偏向于"单次工具调用即可回答"，但用户隐含的需求是综合性的行业分析。分类器缺乏对用户深层意图（详细报告 vs 快速答案）的判别能力。</w:t>
      </w:r>
    </w:p>
    <w:p>
      <w:r>
        <w:t>改进方向：在分类Prompt中加入Few-shot示例展示边界情况（如"详细说说→report","大概多少→simple"）。引入二级分类机制，当置信度低于阈值时，按保守策略（complex）处理。</w:t>
      </w:r>
    </w:p>
    <w:p>
      <w:r>
        <w:rPr>
          <w:b/>
        </w:rPr>
        <w:t>Bad Case 2：工具调用幻觉参数</w:t>
      </w:r>
    </w:p>
    <w:p>
      <w:r>
        <w:t>输入："上海的Java开发薪资和北京的差距大吗？"</w:t>
      </w:r>
    </w:p>
    <w:p>
      <w:r>
        <w:t>系统行为：Agent正确调用了compare_cities(industry="互联网", cities=["北京","上海"])，但在后续步骤中，再次调用query_salary_statistics时生成了额外参数：query_salary_statistics(industry="互联网", city="上海", position="Java开发")。工具定义中并无"position"参数，导致后端忽略该参数并返回了全岗位的行业统计，而非Java开发岗位的精准数据。</w:t>
      </w:r>
    </w:p>
    <w:p>
      <w:r>
        <w:t>根因分析：在ReAct推理循环中，模型试图变得更"智能"，在思考阶段意识到用户需要按岗位筛选，自发扩展了工具调用参数。模型将用户意图推断与工具接口定义混淆，超出了函数的契约边界。此问题在涉及"岗位"概念时尤为突出。</w:t>
      </w:r>
    </w:p>
    <w:p>
      <w:r>
        <w:t>改进方向：在工具执行层增加参数白名单校验，对未定义的参数自动过滤并记录告警日志。在System Prompt中增加负面示例明确指示"只使用函数定义中列出的参数"。</w:t>
      </w:r>
    </w:p>
    <w:p>
      <w:r>
        <w:rPr>
          <w:b/>
        </w:rPr>
        <w:t>Bad Case 3：ReAct推理循环冗余</w:t>
      </w:r>
    </w:p>
    <w:p>
      <w:r>
        <w:t>输入：（继上一轮对话后）"那再对比一下金融行业的情况"</w:t>
      </w:r>
    </w:p>
    <w:p>
      <w:r>
        <w:t>系统行为：Agent重新查询了之前已获取的北京和上海互联网行业数据（因对话历史中存在但未利用），额外增加了2次不必要的工具调用，响应时间延长了约3秒。</w:t>
      </w:r>
    </w:p>
    <w:p>
      <w:r>
        <w:t>根因分析：ReActAgent的"思考→行动"模式倾向于优先"行动"（调用工具），而非优先"思考"（检查已有数据）。ShortTermMemory虽然保存了历史，但Agent缺乏主动检查记忆的机制，系统提示词中强调了"使用工具获取数据"而弱化了"利用已有上下文"。</w:t>
      </w:r>
    </w:p>
    <w:p>
      <w:r>
        <w:t>改进方向：在系统提示词中增加"优先检查对话历史和已有数据，仅在数据不足时调用工具"的指令。在ReAct循环中增加上下文充足性检查步骤，如果历史数据已覆盖查询需求，跳过工具调用直接推理。</w:t>
      </w:r>
    </w:p>
    <w:p>
      <w:r>
        <w:rPr>
          <w:b/>
        </w:rPr>
        <w:t>Bad Case 4：极端模糊输入退化</w:t>
      </w:r>
    </w:p>
    <w:p>
      <w:r>
        <w:t>输入："工资"（仅两个字，无任何上下文限定）</w:t>
      </w:r>
    </w:p>
    <w:p>
      <w:r>
        <w:t>系统行为：系统默认以"互联网/北京"作为回退参数，返回了北京互联网行业整体薪资。但未向用户确认默认维度是否符合需求。</w:t>
      </w:r>
    </w:p>
    <w:p>
      <w:r>
        <w:t>根因分析：Agent的设计原则是"宁可给答案也不挂起"，对极端模糊输入缺乏主动追问机制。WorkingMemory中的默认值（互联网/北京）作为兜底虽然保证了系统不崩溃，但可能给出与用户实际需求不匹配的答案。</w:t>
      </w:r>
    </w:p>
    <w:p>
      <w:r>
        <w:t>改进方向：在系统提示词中增加"当用户输入过于模糊时，主动追问具体行业、城市或岗位"的指令。引入意图澄清（Clarification）机制：在最简输入场景下，先反问用户再执行查询。</w:t>
      </w:r>
    </w:p>
    <w:p>
      <w:pPr>
        <w:pStyle w:val="Heading1"/>
      </w:pPr>
      <w:r>
        <w:t>四、测试结论与系统状态</w:t>
      </w:r>
    </w:p>
    <w:p>
      <w:pPr>
        <w:pStyle w:val="Heading2"/>
      </w:pPr>
      <w:r>
        <w:t>整体评价</w:t>
      </w:r>
    </w:p>
    <w:p>
      <w:r>
        <w:t>本系统已成功打通"招聘数据采集 → 薪资统计分析 → AI智能问答 → 多Agent协同分析 → 报告生成"的全链路，核心功能稳定，关键指标均已达标。</w:t>
      </w:r>
    </w:p>
    <w:p>
      <w:r>
        <w:t>相比第2周基线版本（Zero-shot + 静态上下文），系统通过多智能体编排、ReAct推理、工具调用、RAG记忆系统、Guardrails安全护栏的融合，实现了从"简单的薪资查询器"到"具备推理与行动能力的薪酬分析智能体"的质变。</w:t>
      </w:r>
    </w:p>
    <w:p>
      <w:pPr>
        <w:pStyle w:val="Heading2"/>
      </w:pPr>
      <w:r>
        <w:t>遗留问题与风险</w:t>
      </w:r>
    </w:p>
    <w:p>
      <w:r>
        <w:t>1. 任务分类边界模糊：Orchestrator在"详细说说"类模糊意图上可能误分类为simple而非report，导致用户预期的详细分析未能得到满足。</w:t>
      </w:r>
    </w:p>
    <w:p>
      <w:r>
        <w:t>2. 工具调用幻觉参数：模型在ReAct推理中可能自发扩展工具参数（如添加未定义的position字段），虽已被参数白名单过滤，但可能导致返回数据精度不够。</w:t>
      </w:r>
    </w:p>
    <w:p>
      <w:r>
        <w:t>3. ReAct推理冗余：Agent倾向于优先调用工具而非利用已有上下文，在连续对话场景中可能产生不必要的重复查询，增加响应延迟。</w:t>
      </w:r>
    </w:p>
    <w:p>
      <w:r>
        <w:t>4. 极端模糊输入缺乏追问：对"工资"等极端简化输入，系统默认使用回退参数而非主动澄清用户意图。</w:t>
      </w:r>
    </w:p>
    <w:p>
      <w:pPr>
        <w:pStyle w:val="Heading2"/>
      </w:pPr>
      <w:r>
        <w:t>交付建议</w:t>
      </w:r>
    </w:p>
    <w:p>
      <w:r>
        <w:t>当前系统已具备Demo演示和可用性验证的条件。核心功能（薪资查询、多维对比、智能问答）运行稳定，建议在下一阶段：</w:t>
      </w:r>
    </w:p>
    <w:p>
      <w:r>
        <w:t>1. 优化前端交互体验：展示Agent推理中间过程（"正在查询...""正在对比..."），提升用户对AI行为的理解和信任。</w:t>
      </w:r>
    </w:p>
    <w:p>
      <w:r>
        <w:t>2. 完善兜底机制：针对Bad Cases设计"人工接管"或"澄清反问"机制，减少系统性错误输出。</w:t>
      </w:r>
    </w:p>
    <w:p>
      <w:r>
        <w:t>3. 增加并行工具调用：对独立维度查询（多城市同步对比）实现并发执行，显著降低多步推理的累积延迟。</w:t>
      </w:r>
    </w:p>
    <w:p>
      <w:r>
        <w:t>日期： 2026年5月31日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《软件开发综合实训》测试报告</dc:title>
  <dc:subject/>
  <dc:creator>薪酬洞察AI智能体团队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