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D2B44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本地知识库 README 说明文档</w:t>
      </w:r>
    </w:p>
    <w:p w14:paraId="0EF94A8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一、要解决的问题</w:t>
      </w:r>
      <w:bookmarkEnd w:id="0"/>
    </w:p>
    <w:p w14:paraId="17D38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当前AI辅助教学工具虽然层出不穷，但存在两个核心问题：</w:t>
      </w:r>
    </w:p>
    <w:p w14:paraId="5C1AF05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功能碎片化：</w:t>
      </w:r>
      <w:r>
        <w:rPr>
          <w:rFonts w:ascii="Arial" w:hAnsi="Arial" w:eastAsia="等线" w:cs="Arial"/>
          <w:sz w:val="22"/>
        </w:rPr>
        <w:t xml:space="preserve"> 教师需要分别使用多个工具完成教学设计、PPT制作、讲义撰写等工作，流程割裂，操作繁琐；</w:t>
      </w:r>
    </w:p>
    <w:p w14:paraId="5BFA38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意图理解浅层化：</w:t>
      </w:r>
      <w:r>
        <w:rPr>
          <w:rFonts w:ascii="Arial" w:hAnsi="Arial" w:eastAsia="等线" w:cs="Arial"/>
          <w:sz w:val="22"/>
        </w:rPr>
        <w:t xml:space="preserve"> 现有工具通常只能执行单次、简单的指令，无法与教师进行多轮、深入的对话，难以精准把握复杂的教学思路和个性化要求；</w:t>
      </w:r>
    </w:p>
    <w:p w14:paraId="1CAD73C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重复劳动多：</w:t>
      </w:r>
      <w:r>
        <w:rPr>
          <w:rFonts w:ascii="Arial" w:hAnsi="Arial" w:eastAsia="等线" w:cs="Arial"/>
          <w:sz w:val="22"/>
        </w:rPr>
        <w:t xml:space="preserve"> 教师仍需耗费大量时间在课件的内容组织、格式调整、资源搜寻等机械性工作上，无法专注于教学逻辑与创意的构思。</w:t>
      </w:r>
    </w:p>
    <w:p w14:paraId="104B6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知识库作为"多模态AI互动式教学智能体"的本地知识库RAG数据源（对应赛题任务1），目标是为智能体提供系统、规范、可检索的一元一次方程教学资料，支撑智能体完成课件生成、教案编写等功能，将教师从繁琐的课件制作中解放出来。</w:t>
      </w:r>
    </w:p>
    <w:p w14:paraId="3BAEE79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二、项目概述</w:t>
      </w:r>
      <w:bookmarkEnd w:id="1"/>
    </w:p>
    <w:p w14:paraId="64082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本文档为C组本地知识库配套说明。围绕七年级上册数学《一元一次方程》专题，搜集整理官方公开教学资料，经人工筛选、去重和结构化分类，搭建了这套专项教学知识库，用于竞赛项目支撑与展示。</w:t>
      </w:r>
    </w:p>
    <w:p w14:paraId="745D7A4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📋 项目基础信息</w:t>
      </w:r>
      <w:bookmarkEnd w:id="2"/>
    </w:p>
    <w:p w14:paraId="1C6242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资源主题：</w:t>
      </w:r>
      <w:r>
        <w:rPr>
          <w:rFonts w:ascii="Arial" w:hAnsi="Arial" w:eastAsia="等线" w:cs="Arial"/>
          <w:sz w:val="22"/>
        </w:rPr>
        <w:t xml:space="preserve"> 七年级上册数学 · 一元一次方程专项知识库</w:t>
      </w:r>
    </w:p>
    <w:p w14:paraId="7A1D765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对应赛题：</w:t>
      </w:r>
      <w:r>
        <w:rPr>
          <w:rFonts w:ascii="Arial" w:hAnsi="Arial" w:eastAsia="等线" w:cs="Arial"/>
          <w:sz w:val="22"/>
        </w:rPr>
        <w:t xml:space="preserve"> 【A12】多模态AI互动式教学智能体</w:t>
      </w:r>
    </w:p>
    <w:p w14:paraId="0CF2461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建设组别：</w:t>
      </w:r>
      <w:r>
        <w:rPr>
          <w:rFonts w:ascii="Arial" w:hAnsi="Arial" w:eastAsia="等线" w:cs="Arial"/>
          <w:sz w:val="22"/>
        </w:rPr>
        <w:t xml:space="preserve"> C组（本地知识库构建专项组）</w:t>
      </w:r>
    </w:p>
    <w:p w14:paraId="4A7033F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资源体量：</w:t>
      </w:r>
      <w:r>
        <w:rPr>
          <w:rFonts w:ascii="Arial" w:hAnsi="Arial" w:eastAsia="等线" w:cs="Arial"/>
          <w:sz w:val="22"/>
        </w:rPr>
        <w:t xml:space="preserve"> 约50000字结构化教学内容</w:t>
      </w:r>
    </w:p>
    <w:p w14:paraId="5166FB3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建设时间：</w:t>
      </w:r>
      <w:r>
        <w:rPr>
          <w:rFonts w:ascii="Arial" w:hAnsi="Arial" w:eastAsia="等线" w:cs="Arial"/>
          <w:sz w:val="22"/>
        </w:rPr>
        <w:t xml:space="preserve"> 2026-09-12</w:t>
      </w:r>
    </w:p>
    <w:p w14:paraId="3450B69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资源构成：</w:t>
      </w:r>
      <w:r>
        <w:rPr>
          <w:rFonts w:ascii="Arial" w:hAnsi="Arial" w:eastAsia="等线" w:cs="Arial"/>
          <w:sz w:val="22"/>
        </w:rPr>
        <w:t xml:space="preserve"> 30份教学文档、2份教学配图、说明文档及来源记录表</w:t>
      </w:r>
    </w:p>
    <w:p w14:paraId="5A16DD0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知识范围：</w:t>
      </w:r>
      <w:r>
        <w:rPr>
          <w:rFonts w:ascii="Arial" w:hAnsi="Arial" w:eastAsia="等线" w:cs="Arial"/>
          <w:sz w:val="22"/>
        </w:rPr>
        <w:t xml:space="preserve"> 一元一次方程概念、解法、应用、复习全流程</w:t>
      </w:r>
    </w:p>
    <w:p w14:paraId="3D6E730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三、知识库建设特点</w:t>
      </w:r>
      <w:bookmarkEnd w:id="3"/>
    </w:p>
    <w:p w14:paraId="36B8C45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专题聚焦：</w:t>
      </w:r>
      <w:r>
        <w:rPr>
          <w:rFonts w:ascii="Arial" w:hAnsi="Arial" w:eastAsia="等线" w:cs="Arial"/>
          <w:sz w:val="22"/>
        </w:rPr>
        <w:t xml:space="preserve"> 严格限定范围，只保留七年级一元一次方程内容，筛除拔高题、竞赛题和无关章节；</w:t>
      </w:r>
    </w:p>
    <w:p w14:paraId="0CABBC3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来源正规：</w:t>
      </w:r>
      <w:r>
        <w:rPr>
          <w:rFonts w:ascii="Arial" w:hAnsi="Arial" w:eastAsia="等线" w:cs="Arial"/>
          <w:sz w:val="22"/>
        </w:rPr>
        <w:t xml:space="preserve"> 素材来自国家课程标准、国家中小学智慧教育平台、人教社等公开渠道，来源清晰；</w:t>
      </w:r>
    </w:p>
    <w:p w14:paraId="6278428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格式统一：</w:t>
      </w:r>
      <w:r>
        <w:rPr>
          <w:rFonts w:ascii="Arial" w:hAnsi="Arial" w:eastAsia="等线" w:cs="Arial"/>
          <w:sz w:val="22"/>
        </w:rPr>
        <w:t xml:space="preserve"> 全部为可编辑文本格式，结构规范，便于向量化和检索；</w:t>
      </w:r>
    </w:p>
    <w:p w14:paraId="5453AF3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覆盖全面：</w:t>
      </w:r>
      <w:r>
        <w:rPr>
          <w:rFonts w:ascii="Arial" w:hAnsi="Arial" w:eastAsia="等线" w:cs="Arial"/>
          <w:sz w:val="22"/>
        </w:rPr>
        <w:t xml:space="preserve"> 从课标、备课、授课、练习、易错点到情境教学、单元复习，形成完整教学资源链；</w:t>
      </w:r>
    </w:p>
    <w:p w14:paraId="690F5F5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人工整理：</w:t>
      </w:r>
      <w:r>
        <w:rPr>
          <w:rFonts w:ascii="Arial" w:hAnsi="Arial" w:eastAsia="等线" w:cs="Arial"/>
          <w:sz w:val="22"/>
        </w:rPr>
        <w:t xml:space="preserve"> 每份素材均经人工校对、去重、精简和格式统一，逻辑通顺；</w:t>
      </w:r>
    </w:p>
    <w:p w14:paraId="4317BCB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多版本对比：</w:t>
      </w:r>
      <w:r>
        <w:rPr>
          <w:rFonts w:ascii="Arial" w:hAnsi="Arial" w:eastAsia="等线" w:cs="Arial"/>
          <w:sz w:val="22"/>
        </w:rPr>
        <w:t xml:space="preserve"> 收录人教版、北师大版、苏科版、浙教版、沪科版五套教材内容，供不同地区教师参考。</w:t>
      </w:r>
    </w:p>
    <w:p w14:paraId="4B251CB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四、核心教学模块</w:t>
      </w:r>
      <w:bookmarkEnd w:id="4"/>
    </w:p>
    <w:p w14:paraId="287B0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结合2022版数学课程标准和七年级学生特点，资源归纳为三大模块：</w:t>
      </w:r>
    </w:p>
    <w:p w14:paraId="714DEF5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概念认知模块：</w:t>
      </w:r>
      <w:r>
        <w:rPr>
          <w:rFonts w:ascii="Arial" w:hAnsi="Arial" w:eastAsia="等线" w:cs="Arial"/>
          <w:sz w:val="22"/>
        </w:rPr>
        <w:t xml:space="preserve"> 一元一次方程的定义、特征、等式性质、概念辨析与易错误区；</w:t>
      </w:r>
    </w:p>
    <w:p w14:paraId="67CD050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解题技法模块：</w:t>
      </w:r>
      <w:r>
        <w:rPr>
          <w:rFonts w:ascii="Arial" w:hAnsi="Arial" w:eastAsia="等线" w:cs="Arial"/>
          <w:sz w:val="22"/>
        </w:rPr>
        <w:t xml:space="preserve"> 去分母、去括号、移项、合并同类项、系数化为1完整步骤，高频错误整理；</w:t>
      </w:r>
    </w:p>
    <w:p w14:paraId="05403B2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应用实践模块：</w:t>
      </w:r>
      <w:r>
        <w:rPr>
          <w:rFonts w:ascii="Arial" w:hAnsi="Arial" w:eastAsia="等线" w:cs="Arial"/>
          <w:sz w:val="22"/>
        </w:rPr>
        <w:t xml:space="preserve"> 行程问题、工程问题、配套问题、生活情境，配套课堂互动与分层练习。</w:t>
      </w:r>
    </w:p>
    <w:p w14:paraId="343F148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五、目录结构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4A7D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E5F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knowledge_base/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01_教案案例/          # 8份完整教学设计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02_教材讲义/          # 5份教师备课讲义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03_课标教学要求/      # 4份课标与教材对比资料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04_习题与课堂案例/    # 习题+互动+分层+文化+真题+检测卷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05_图片素材/          # 流程图+思维导图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README.docx           # 知识库说明文档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知识库使用说明.docx   # RAG使用说明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资料来源记录表.docx   # 知识产权明晰记录表</w:t>
            </w:r>
          </w:p>
        </w:tc>
      </w:tr>
    </w:tbl>
    <w:p w14:paraId="1C5B10C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六、资源明细清单</w:t>
      </w:r>
      <w:bookmarkEnd w:id="6"/>
    </w:p>
    <w:p w14:paraId="5822F25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01_教案案例（8份）</w:t>
      </w:r>
      <w:bookmarkEnd w:id="7"/>
    </w:p>
    <w:p w14:paraId="63242CD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一元一次方程概念认识公开课教学设计</w:t>
      </w:r>
    </w:p>
    <w:p w14:paraId="532AB87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一元一次方程移项法则教学设计</w:t>
      </w:r>
    </w:p>
    <w:p w14:paraId="4000E7E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一元一次方程标准解法教学设计</w:t>
      </w:r>
    </w:p>
    <w:p w14:paraId="716D498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一元一次方程行程问题应用题教学设计</w:t>
      </w:r>
    </w:p>
    <w:p w14:paraId="23E9464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一元一次方程易错点专项教学案例</w:t>
      </w:r>
    </w:p>
    <w:p w14:paraId="27BB913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一元一次方程单元复习教学设计</w:t>
      </w:r>
    </w:p>
    <w:p w14:paraId="494C552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一元一次方程工程问题项目式教学设计</w:t>
      </w:r>
    </w:p>
    <w:p w14:paraId="47880A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一元一次方程情境导入公开课教学设计</w:t>
      </w:r>
    </w:p>
    <w:p w14:paraId="10DC572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02_教材讲义（5份）</w:t>
      </w:r>
      <w:bookmarkEnd w:id="8"/>
    </w:p>
    <w:p w14:paraId="3C3EDB0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一元一次方程教师备课讲义</w:t>
      </w:r>
    </w:p>
    <w:p w14:paraId="2822ABC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一元一次方程解题步骤归纳讲义</w:t>
      </w:r>
    </w:p>
    <w:p w14:paraId="4B030E4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一元一次方程常见陷阱易错点总结讲义</w:t>
      </w:r>
    </w:p>
    <w:p w14:paraId="225F118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一元一次方程课本例题汇编（超详细版）</w:t>
      </w:r>
    </w:p>
    <w:p w14:paraId="0FDB07B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一元一次方程多版本教材对比汇编</w:t>
      </w:r>
    </w:p>
    <w:p w14:paraId="72CDBB0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03_课标教学要求（4份）</w:t>
      </w:r>
      <w:bookmarkEnd w:id="9"/>
    </w:p>
    <w:p w14:paraId="26C8188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义务教育数学课程标准（2022年版）方程模块原文</w:t>
      </w:r>
    </w:p>
    <w:p w14:paraId="5E55E97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义务教育数学课程标准（2022年版）详细解读</w:t>
      </w:r>
    </w:p>
    <w:p w14:paraId="7234966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不同版本教材教学要求对比</w:t>
      </w:r>
    </w:p>
    <w:p w14:paraId="398921D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各地区一元一次方程教材原文选编</w:t>
      </w:r>
    </w:p>
    <w:p w14:paraId="6CB5F86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04_习题与课堂案例（11份）</w:t>
      </w:r>
      <w:bookmarkEnd w:id="10"/>
    </w:p>
    <w:p w14:paraId="33BB326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一元一次方程基础计算题专项练习</w:t>
      </w:r>
    </w:p>
    <w:p w14:paraId="4A0CD13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一元一次方程生活应用题专项集</w:t>
      </w:r>
    </w:p>
    <w:p w14:paraId="113C8BC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一元一次方程课堂互动小游戏教学案例</w:t>
      </w:r>
    </w:p>
    <w:p w14:paraId="18465B0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一元一次方程跨学科生活化教学案例</w:t>
      </w:r>
    </w:p>
    <w:p w14:paraId="169C15D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一元一次方程分层作业课堂设计</w:t>
      </w:r>
    </w:p>
    <w:p w14:paraId="249663B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一元一次方程趣味情境导入素材集</w:t>
      </w:r>
    </w:p>
    <w:p w14:paraId="4BAF594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一元一次方程数学文化资料汇编（九章算术+丢番图+天平历史）</w:t>
      </w:r>
    </w:p>
    <w:p w14:paraId="2D61E19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一元一次方程中考真题精选</w:t>
      </w:r>
    </w:p>
    <w:p w14:paraId="3442637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一元一次方程课堂实录文字稿</w:t>
      </w:r>
    </w:p>
    <w:p w14:paraId="05CAEF3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一元一次方程跨学科素材汇编</w:t>
      </w:r>
    </w:p>
    <w:p w14:paraId="32DAF6E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一元一次方程单元检测卷（选择+填空+解答+答案）</w:t>
      </w:r>
    </w:p>
    <w:p w14:paraId="167D148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05_图片素材（2份）</w:t>
      </w:r>
      <w:bookmarkEnd w:id="11"/>
    </w:p>
    <w:p w14:paraId="74A8F1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一元一次方程解题步骤流程图</w:t>
      </w:r>
    </w:p>
    <w:p w14:paraId="66F8BD2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一元一次方程单元思维导图</w:t>
      </w:r>
    </w:p>
    <w:p w14:paraId="7140648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七、资源合规性说明</w:t>
      </w:r>
      <w:bookmarkEnd w:id="12"/>
    </w:p>
    <w:p w14:paraId="11E98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全部资源均取自国家官方公开教育平台及公开教学资料，无版权侵权风险。本套资源仅用于本次学科竞赛的项目研发与作品展示，不用于商业用途，符合竞赛提交规范。</w:t>
      </w:r>
    </w:p>
    <w:p w14:paraId="0B3612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每份资源的具体来源平台、链接和获取日期详见《资料来源记录表.docx》，确保知识产权明晰可追溯。</w:t>
      </w:r>
    </w:p>
    <w:p w14:paraId="697CAE9C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5E17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C075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77ECEA79"/>
    <w:multiLevelType w:val="singleLevel"/>
    <w:tmpl w:val="77ECEA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6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7C246926"/>
    <w:multiLevelType w:val="singleLevel"/>
    <w:tmpl w:val="7C2469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7"/>
  </w:num>
  <w:num w:numId="26">
    <w:abstractNumId w:val="45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8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6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9D1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1164</Words>
  <Characters>1249</Characters>
  <TotalTime>0</TotalTime>
  <ScaleCrop>false</ScaleCrop>
  <LinksUpToDate>false</LinksUpToDate>
  <CharactersWithSpaces>1346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2026-09-18T16:53:00Z</dcterms:created>
  <dc:creator>Apache POI</dc:creator>
  <cp:lastModifiedBy>尘</cp:lastModifiedBy>
  <dcterms:modified xsi:type="dcterms:W3CDTF">2026-09-18T16:55:48Z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295D843CD885472E97D4F568BFB64C0E_12</vt:lpwstr>
  </property>
</Properties>
</file>