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07217">
      <w:pPr>
        <w:spacing w:before="480" w:after="480" w:line="288" w:lineRule="auto"/>
        <w:ind w:left="0"/>
        <w:jc w:val="left"/>
      </w:pPr>
      <w:r>
        <w:rPr>
          <w:rFonts w:ascii="Arial" w:hAnsi="Arial" w:eastAsia="等线" w:cs="Arial"/>
          <w:b/>
          <w:sz w:val="52"/>
        </w:rPr>
        <w:t>义务教育数学课程标准（2022年版）方程模块原文摘编</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0445E4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6F887ED">
            <w:pPr>
              <w:spacing w:before="120" w:after="120" w:line="288" w:lineRule="auto"/>
              <w:ind w:left="0"/>
              <w:jc w:val="left"/>
            </w:pPr>
            <w:r>
              <w:rPr>
                <w:rFonts w:ascii="Arial" w:hAnsi="Arial" w:eastAsia="等线" w:cs="Arial"/>
                <w:color w:val="646A73"/>
                <w:sz w:val="22"/>
              </w:rPr>
              <w:t>来源：中华人民共和国教育部《义务教育数学课程标准（2022年版）》</w:t>
            </w:r>
            <w:r>
              <w:rPr>
                <w:rFonts w:ascii="Arial" w:hAnsi="Arial" w:eastAsia="等线" w:cs="Arial"/>
                <w:color w:val="646A73"/>
                <w:sz w:val="22"/>
              </w:rPr>
              <w:br w:type="textWrapping"/>
            </w:r>
            <w:r>
              <w:rPr>
                <w:rFonts w:ascii="Arial" w:hAnsi="Arial" w:eastAsia="等线" w:cs="Arial"/>
                <w:color w:val="646A73"/>
                <w:sz w:val="22"/>
              </w:rPr>
              <w:t>摘录范围：第四学段（7~9年级）"数与代数"领域"方程与不等式"主题</w:t>
            </w:r>
          </w:p>
        </w:tc>
      </w:tr>
    </w:tbl>
    <w:p w14:paraId="2C1C8025">
      <w:pPr>
        <w:pBdr>
          <w:bottom w:val="single" w:color="DEE0E3" w:sz="2" w:space="0"/>
          <w:between w:val="single" w:color="DEE0E3" w:sz="2" w:space="0"/>
        </w:pBdr>
        <w:spacing w:before="120" w:after="120" w:line="288" w:lineRule="auto"/>
        <w:ind w:left="0"/>
      </w:pPr>
    </w:p>
    <w:p w14:paraId="45BE10C6">
      <w:pPr>
        <w:spacing w:before="320" w:after="120" w:line="288" w:lineRule="auto"/>
        <w:ind w:left="0"/>
        <w:jc w:val="left"/>
        <w:outlineLvl w:val="1"/>
      </w:pPr>
      <w:bookmarkStart w:id="0" w:name="heading_0"/>
      <w:r>
        <w:rPr>
          <w:rFonts w:ascii="Arial" w:hAnsi="Arial" w:eastAsia="等线" w:cs="Arial"/>
          <w:b/>
          <w:sz w:val="32"/>
        </w:rPr>
        <w:t>一、数与代数领域总体要求（官方原文）</w:t>
      </w:r>
      <w:bookmarkEnd w:id="0"/>
    </w:p>
    <w:p w14:paraId="70DA8FB9">
      <w:pPr>
        <w:spacing w:before="120" w:after="120" w:line="288" w:lineRule="auto"/>
        <w:ind w:left="0"/>
        <w:jc w:val="left"/>
      </w:pPr>
      <w:r>
        <w:rPr>
          <w:rFonts w:ascii="Arial" w:hAnsi="Arial" w:eastAsia="等线" w:cs="Arial"/>
          <w:sz w:val="22"/>
        </w:rPr>
        <w:t>数与代数是数学知识体系的基础之一，是学生认知数量关系、探索数学规律、建立数学模型的基石，可以帮助学生从数量的角度清晰准确地认识、理解和表达现实世界。</w:t>
      </w:r>
    </w:p>
    <w:p w14:paraId="71CF7D31">
      <w:pPr>
        <w:spacing w:before="120" w:after="120" w:line="288" w:lineRule="auto"/>
        <w:ind w:left="0"/>
        <w:jc w:val="left"/>
      </w:pPr>
      <w:r>
        <w:rPr>
          <w:rFonts w:ascii="Arial" w:hAnsi="Arial" w:eastAsia="等线" w:cs="Arial"/>
          <w:sz w:val="22"/>
        </w:rPr>
        <w:t>在初中阶段，学生将认识负数、无理数，学习它们的四则运算，还将学习代数式、方程、不等式、函数等内容。这些内容构成了初中阶段数与代数领域"数与式""方程与不等式"和"函数"三个主题。</w:t>
      </w:r>
    </w:p>
    <w:p w14:paraId="7B223194">
      <w:pPr>
        <w:spacing w:before="120" w:after="120" w:line="288" w:lineRule="auto"/>
        <w:ind w:left="0"/>
        <w:jc w:val="left"/>
      </w:pPr>
      <w:r>
        <w:rPr>
          <w:rFonts w:ascii="Arial" w:hAnsi="Arial" w:eastAsia="等线" w:cs="Arial"/>
          <w:sz w:val="22"/>
        </w:rPr>
        <w:t>"数与式"是代数的基本语言；"方程与不等式"揭示了数学中最基本的数量关系（</w:t>
      </w:r>
      <w:r>
        <w:rPr>
          <w:rFonts w:ascii="Arial" w:hAnsi="Arial" w:eastAsia="等线" w:cs="Arial"/>
          <w:b/>
          <w:sz w:val="22"/>
        </w:rPr>
        <w:t>相等关系和不等关系</w:t>
      </w:r>
      <w:r>
        <w:rPr>
          <w:rFonts w:ascii="Arial" w:hAnsi="Arial" w:eastAsia="等线" w:cs="Arial"/>
          <w:sz w:val="22"/>
        </w:rPr>
        <w:t>），是一类应用广泛的数学工具；"函数"主要研究变量之间的关系，探索事物变化的规律。</w:t>
      </w:r>
    </w:p>
    <w:p w14:paraId="4850EAB9">
      <w:pPr>
        <w:spacing w:before="120" w:after="120" w:line="288" w:lineRule="auto"/>
        <w:ind w:left="0"/>
        <w:jc w:val="left"/>
      </w:pPr>
      <w:r>
        <w:rPr>
          <w:rFonts w:ascii="Arial" w:hAnsi="Arial" w:eastAsia="等线" w:cs="Arial"/>
          <w:sz w:val="22"/>
        </w:rPr>
        <w:t>数与代数领域的学习，有助于学生形成抽象能力、推理能力和模型观念，发展几何直观和运算能力。</w:t>
      </w:r>
    </w:p>
    <w:p w14:paraId="7980277F">
      <w:pPr>
        <w:pBdr>
          <w:bottom w:val="single" w:color="DEE0E3" w:sz="2" w:space="0"/>
          <w:between w:val="single" w:color="DEE0E3" w:sz="2" w:space="0"/>
        </w:pBdr>
        <w:spacing w:before="120" w:after="120" w:line="288" w:lineRule="auto"/>
        <w:ind w:left="0"/>
      </w:pPr>
    </w:p>
    <w:p w14:paraId="430690E8">
      <w:pPr>
        <w:spacing w:before="320" w:after="120" w:line="288" w:lineRule="auto"/>
        <w:ind w:left="0"/>
        <w:jc w:val="left"/>
        <w:outlineLvl w:val="1"/>
      </w:pPr>
      <w:bookmarkStart w:id="1" w:name="heading_1"/>
      <w:r>
        <w:rPr>
          <w:rFonts w:ascii="Arial" w:hAnsi="Arial" w:eastAsia="等线" w:cs="Arial"/>
          <w:b/>
          <w:sz w:val="32"/>
        </w:rPr>
        <w:t>二、内容要求（官方原文）</w:t>
      </w:r>
      <w:bookmarkEnd w:id="1"/>
    </w:p>
    <w:p w14:paraId="75C7E3F5">
      <w:pPr>
        <w:spacing w:before="300" w:after="120" w:line="288" w:lineRule="auto"/>
        <w:ind w:left="0"/>
        <w:jc w:val="left"/>
        <w:outlineLvl w:val="2"/>
      </w:pPr>
      <w:bookmarkStart w:id="2" w:name="heading_2"/>
      <w:r>
        <w:rPr>
          <w:rFonts w:ascii="Arial" w:hAnsi="Arial" w:eastAsia="等线" w:cs="Arial"/>
          <w:b/>
          <w:sz w:val="30"/>
        </w:rPr>
        <w:t>2. 方程与不等式</w:t>
      </w:r>
      <w:bookmarkEnd w:id="2"/>
    </w:p>
    <w:p w14:paraId="51DA556D">
      <w:pPr>
        <w:spacing w:before="260" w:after="120" w:line="288" w:lineRule="auto"/>
        <w:ind w:left="0"/>
        <w:jc w:val="left"/>
        <w:outlineLvl w:val="3"/>
      </w:pPr>
      <w:bookmarkStart w:id="3" w:name="heading_3"/>
      <w:r>
        <w:rPr>
          <w:rFonts w:ascii="Arial" w:hAnsi="Arial" w:eastAsia="等线" w:cs="Arial"/>
          <w:b/>
          <w:sz w:val="28"/>
        </w:rPr>
        <w:t>(1) 方程与方程组</w:t>
      </w:r>
      <w:bookmarkEnd w:id="3"/>
    </w:p>
    <w:p w14:paraId="302EEC18">
      <w:pPr>
        <w:spacing w:before="120" w:after="120" w:line="288" w:lineRule="auto"/>
        <w:ind w:left="0"/>
        <w:jc w:val="left"/>
      </w:pPr>
      <w:r>
        <w:rPr>
          <w:rFonts w:ascii="Arial" w:hAnsi="Arial" w:eastAsia="等线" w:cs="Arial"/>
          <w:sz w:val="22"/>
        </w:rPr>
        <w:t xml:space="preserve">① </w:t>
      </w:r>
      <w:r>
        <w:rPr>
          <w:rFonts w:ascii="Arial" w:hAnsi="Arial" w:eastAsia="等线" w:cs="Arial"/>
          <w:b/>
          <w:sz w:val="22"/>
        </w:rPr>
        <w:t>能根据现实情境理解方程的意义，能针对具体问题列出方程；理解方程解的意义，经历估计方程解的过程。</w:t>
      </w:r>
    </w:p>
    <w:p w14:paraId="107A0B0A">
      <w:pPr>
        <w:spacing w:before="120" w:after="120" w:line="288" w:lineRule="auto"/>
        <w:ind w:left="0"/>
        <w:jc w:val="left"/>
      </w:pPr>
      <w:r>
        <w:rPr>
          <w:rFonts w:ascii="Arial" w:hAnsi="Arial" w:eastAsia="等线" w:cs="Arial"/>
          <w:sz w:val="22"/>
        </w:rPr>
        <w:t xml:space="preserve">② </w:t>
      </w:r>
      <w:r>
        <w:rPr>
          <w:rFonts w:ascii="Arial" w:hAnsi="Arial" w:eastAsia="等线" w:cs="Arial"/>
          <w:b/>
          <w:sz w:val="22"/>
        </w:rPr>
        <w:t>掌握等式的基本性质；能解一元一次方程和可化为一元一次方程的分式方程。</w:t>
      </w:r>
    </w:p>
    <w:p w14:paraId="0C42F2DE">
      <w:pPr>
        <w:spacing w:before="120" w:after="120" w:line="288" w:lineRule="auto"/>
        <w:ind w:left="0"/>
        <w:jc w:val="left"/>
      </w:pPr>
      <w:r>
        <w:rPr>
          <w:rFonts w:ascii="Arial" w:hAnsi="Arial" w:eastAsia="等线" w:cs="Arial"/>
          <w:sz w:val="22"/>
        </w:rPr>
        <w:t>③ 掌握消元法，能解二元一次方程组。</w:t>
      </w:r>
    </w:p>
    <w:p w14:paraId="26F5E57F">
      <w:pPr>
        <w:spacing w:before="120" w:after="120" w:line="288" w:lineRule="auto"/>
        <w:ind w:left="0"/>
        <w:jc w:val="left"/>
      </w:pPr>
      <w:r>
        <w:rPr>
          <w:rFonts w:ascii="Arial" w:hAnsi="Arial" w:eastAsia="等线" w:cs="Arial"/>
          <w:sz w:val="22"/>
        </w:rPr>
        <w:t>④ * 能解简单的三元一次方程组。</w:t>
      </w:r>
    </w:p>
    <w:p w14:paraId="1024BCDC">
      <w:pPr>
        <w:spacing w:before="120" w:after="120" w:line="288" w:lineRule="auto"/>
        <w:ind w:left="0"/>
        <w:jc w:val="left"/>
      </w:pPr>
      <w:r>
        <w:rPr>
          <w:rFonts w:ascii="Arial" w:hAnsi="Arial" w:eastAsia="等线" w:cs="Arial"/>
          <w:sz w:val="22"/>
        </w:rPr>
        <w:t>⑤ 理解配方法，能用配方法、公式法、因式分解法解数字系数的一元二次方程。</w:t>
      </w:r>
    </w:p>
    <w:p w14:paraId="421140C6">
      <w:pPr>
        <w:spacing w:before="120" w:after="120" w:line="288" w:lineRule="auto"/>
        <w:ind w:left="0"/>
        <w:jc w:val="left"/>
      </w:pPr>
      <w:r>
        <w:rPr>
          <w:rFonts w:ascii="Arial" w:hAnsi="Arial" w:eastAsia="等线" w:cs="Arial"/>
          <w:sz w:val="22"/>
        </w:rPr>
        <w:t>⑥ 会用一元二次方程根的判别式判别方程是否有实根及两个实根是否相等。</w:t>
      </w:r>
    </w:p>
    <w:p w14:paraId="5B2002E5">
      <w:pPr>
        <w:spacing w:before="120" w:after="120" w:line="288" w:lineRule="auto"/>
        <w:ind w:left="0"/>
        <w:jc w:val="left"/>
      </w:pPr>
      <w:r>
        <w:rPr>
          <w:rFonts w:ascii="Arial" w:hAnsi="Arial" w:eastAsia="等线" w:cs="Arial"/>
          <w:sz w:val="22"/>
        </w:rPr>
        <w:t>⑦ 了解一元二次方程的根与系数的关系。</w:t>
      </w:r>
    </w:p>
    <w:p w14:paraId="0A35A77B">
      <w:pPr>
        <w:spacing w:before="120" w:after="120" w:line="288" w:lineRule="auto"/>
        <w:ind w:left="0"/>
        <w:jc w:val="left"/>
      </w:pPr>
      <w:r>
        <w:rPr>
          <w:rFonts w:ascii="Arial" w:hAnsi="Arial" w:eastAsia="等线" w:cs="Arial"/>
          <w:sz w:val="22"/>
        </w:rPr>
        <w:t xml:space="preserve">⑧ </w:t>
      </w:r>
      <w:r>
        <w:rPr>
          <w:rFonts w:ascii="Arial" w:hAnsi="Arial" w:eastAsia="等线" w:cs="Arial"/>
          <w:b/>
          <w:sz w:val="22"/>
        </w:rPr>
        <w:t>能根据具体问题的实际意义，检验方程解的合理性。</w:t>
      </w:r>
    </w:p>
    <w:p w14:paraId="4AAAB994">
      <w:pPr>
        <w:spacing w:before="260" w:after="120" w:line="288" w:lineRule="auto"/>
        <w:ind w:left="0"/>
        <w:jc w:val="left"/>
        <w:outlineLvl w:val="3"/>
      </w:pPr>
      <w:bookmarkStart w:id="4" w:name="heading_4"/>
      <w:r>
        <w:rPr>
          <w:rFonts w:ascii="Arial" w:hAnsi="Arial" w:eastAsia="等线" w:cs="Arial"/>
          <w:b/>
          <w:sz w:val="28"/>
        </w:rPr>
        <w:t>(2) 不等式与不等式组</w:t>
      </w:r>
      <w:bookmarkEnd w:id="4"/>
    </w:p>
    <w:p w14:paraId="0551F0D4">
      <w:pPr>
        <w:spacing w:before="120" w:after="120" w:line="288" w:lineRule="auto"/>
        <w:ind w:left="0"/>
        <w:jc w:val="left"/>
      </w:pPr>
      <w:r>
        <w:rPr>
          <w:rFonts w:ascii="Arial" w:hAnsi="Arial" w:eastAsia="等线" w:cs="Arial"/>
          <w:sz w:val="22"/>
        </w:rPr>
        <w:t>① 结合具体问题，了解不等式的意义，探索不等式的基本性质。</w:t>
      </w:r>
    </w:p>
    <w:p w14:paraId="144A587C">
      <w:pPr>
        <w:spacing w:before="120" w:after="120" w:line="288" w:lineRule="auto"/>
        <w:ind w:left="0"/>
        <w:jc w:val="left"/>
      </w:pPr>
      <w:r>
        <w:rPr>
          <w:rFonts w:ascii="Arial" w:hAnsi="Arial" w:eastAsia="等线" w:cs="Arial"/>
          <w:sz w:val="22"/>
        </w:rPr>
        <w:t>② 能解数字系数的一元一次不等式，并能在数轴上表示出解集；会用数轴确定两个一元一次不等式组成的不等式组的解集。</w:t>
      </w:r>
    </w:p>
    <w:p w14:paraId="5AAA7768">
      <w:pPr>
        <w:spacing w:before="120" w:after="120" w:line="288" w:lineRule="auto"/>
        <w:ind w:left="0"/>
        <w:jc w:val="left"/>
      </w:pPr>
      <w:r>
        <w:rPr>
          <w:rFonts w:ascii="Arial" w:hAnsi="Arial" w:eastAsia="等线" w:cs="Arial"/>
          <w:sz w:val="22"/>
        </w:rPr>
        <w:t>③ 能根据具体问题中的数量关系，列出一元一次不等式，解决简单的问题。</w:t>
      </w:r>
    </w:p>
    <w:p w14:paraId="639214AC">
      <w:pPr>
        <w:pBdr>
          <w:bottom w:val="single" w:color="DEE0E3" w:sz="2" w:space="0"/>
          <w:between w:val="single" w:color="DEE0E3" w:sz="2" w:space="0"/>
        </w:pBdr>
        <w:spacing w:before="120" w:after="120" w:line="288" w:lineRule="auto"/>
        <w:ind w:left="0"/>
      </w:pPr>
    </w:p>
    <w:p w14:paraId="07C6EBC1">
      <w:pPr>
        <w:spacing w:before="320" w:after="120" w:line="288" w:lineRule="auto"/>
        <w:ind w:left="0"/>
        <w:jc w:val="left"/>
        <w:outlineLvl w:val="1"/>
      </w:pPr>
      <w:bookmarkStart w:id="5" w:name="heading_5"/>
      <w:r>
        <w:rPr>
          <w:rFonts w:ascii="Arial" w:hAnsi="Arial" w:eastAsia="等线" w:cs="Arial"/>
          <w:b/>
          <w:sz w:val="32"/>
        </w:rPr>
        <w:t>三、学业要求（官方原文）</w:t>
      </w:r>
      <w:bookmarkEnd w:id="5"/>
    </w:p>
    <w:p w14:paraId="30ED0F4C">
      <w:pPr>
        <w:spacing w:before="300" w:after="120" w:line="288" w:lineRule="auto"/>
        <w:ind w:left="0"/>
        <w:jc w:val="left"/>
        <w:outlineLvl w:val="2"/>
      </w:pPr>
      <w:bookmarkStart w:id="6" w:name="heading_6"/>
      <w:r>
        <w:rPr>
          <w:rFonts w:ascii="Arial" w:hAnsi="Arial" w:eastAsia="等线" w:cs="Arial"/>
          <w:b/>
          <w:sz w:val="30"/>
        </w:rPr>
        <w:t>2. 方程与不等式</w:t>
      </w:r>
      <w:bookmarkEnd w:id="6"/>
    </w:p>
    <w:p w14:paraId="58C92969">
      <w:pPr>
        <w:spacing w:before="260" w:after="120" w:line="288" w:lineRule="auto"/>
        <w:ind w:left="0"/>
        <w:jc w:val="left"/>
        <w:outlineLvl w:val="3"/>
      </w:pPr>
      <w:bookmarkStart w:id="7" w:name="heading_7"/>
      <w:r>
        <w:rPr>
          <w:rFonts w:ascii="Arial" w:hAnsi="Arial" w:eastAsia="等线" w:cs="Arial"/>
          <w:b/>
          <w:sz w:val="28"/>
        </w:rPr>
        <w:t>(1) 方程与方程组</w:t>
      </w:r>
      <w:bookmarkEnd w:id="7"/>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C841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4C557B0">
            <w:pPr>
              <w:spacing w:before="120" w:after="120" w:line="288" w:lineRule="auto"/>
              <w:ind w:left="0"/>
              <w:jc w:val="left"/>
            </w:pPr>
            <w:r>
              <w:rPr>
                <w:rFonts w:ascii="Arial" w:hAnsi="Arial" w:eastAsia="等线" w:cs="Arial"/>
                <w:color w:val="646A73"/>
                <w:sz w:val="22"/>
              </w:rPr>
              <w:t>能根据具体问题中的数量关系列出方程，理解方程的意义；认识方程解的意义，经历估计方程解的过程；掌握等式的基本性质，能运用等式的基本性质进行等式的变形；能根据等式的基本性质解一元一次方程和可化为一元一次方程的分式方程；能根据二元一次方程组的特征，选择代入消元法或加减消元法解二元一次方程组；*能解简单的三元一次方程组；能根据一元二次方程的特征，选择配方法、公式法、因式分解法解数字系数的一元二次方程；会用一元二次方程根的判别式判别方程是否有实根及两个实根是否相等，会将一元二次方程根的情况与一元二次方程根的判别式相联系；知道利用一元二次方程的根与系数的关系可以解决一些简单的问题；</w:t>
            </w:r>
            <w:r>
              <w:rPr>
                <w:rFonts w:ascii="Arial" w:hAnsi="Arial" w:eastAsia="等线" w:cs="Arial"/>
                <w:b/>
                <w:color w:val="646A73"/>
                <w:sz w:val="22"/>
              </w:rPr>
              <w:t>能根据具体问题的实际意义，检验方程的解是否合理。建立模型观念。</w:t>
            </w:r>
          </w:p>
        </w:tc>
      </w:tr>
    </w:tbl>
    <w:p w14:paraId="625175A8">
      <w:pPr>
        <w:pBdr>
          <w:bottom w:val="single" w:color="DEE0E3" w:sz="2" w:space="0"/>
          <w:between w:val="single" w:color="DEE0E3" w:sz="2" w:space="0"/>
        </w:pBdr>
        <w:spacing w:before="120" w:after="120" w:line="288" w:lineRule="auto"/>
        <w:ind w:left="0"/>
      </w:pPr>
    </w:p>
    <w:p w14:paraId="280955DC">
      <w:pPr>
        <w:spacing w:before="320" w:after="120" w:line="288" w:lineRule="auto"/>
        <w:ind w:left="0"/>
        <w:jc w:val="left"/>
        <w:outlineLvl w:val="1"/>
      </w:pPr>
      <w:bookmarkStart w:id="8" w:name="heading_8"/>
      <w:r>
        <w:rPr>
          <w:rFonts w:ascii="Arial" w:hAnsi="Arial" w:eastAsia="等线" w:cs="Arial"/>
          <w:b/>
          <w:sz w:val="32"/>
        </w:rPr>
        <w:t>四、教学提示（官方原文）</w:t>
      </w:r>
      <w:bookmarkEnd w:id="8"/>
    </w:p>
    <w:p w14:paraId="48BBC7D1">
      <w:pPr>
        <w:spacing w:before="120" w:after="120" w:line="288" w:lineRule="auto"/>
        <w:ind w:left="0"/>
        <w:jc w:val="left"/>
      </w:pPr>
      <w:r>
        <w:rPr>
          <w:rFonts w:ascii="Arial" w:hAnsi="Arial" w:eastAsia="等线" w:cs="Arial"/>
          <w:sz w:val="22"/>
        </w:rPr>
        <w:t>初中阶段数与代数领域包括"数与式""方程与不等式"和"函数"三个主题，是学生理解数学符号，以及感悟用数学符号表达事物的性质、关系和规律的关键内容，是学生初步形成抽象能力和推理能力、感悟用数学的语言表达现实世界的重要载体。</w:t>
      </w:r>
    </w:p>
    <w:p w14:paraId="2B36B847">
      <w:pPr>
        <w:spacing w:before="120" w:after="120" w:line="288" w:lineRule="auto"/>
        <w:ind w:left="0"/>
        <w:jc w:val="left"/>
      </w:pPr>
      <w:r>
        <w:rPr>
          <w:rFonts w:ascii="Arial" w:hAnsi="Arial" w:eastAsia="等线" w:cs="Arial"/>
          <w:b/>
          <w:sz w:val="22"/>
        </w:rPr>
        <w:t>方程与不等式的教学。</w:t>
      </w:r>
      <w:r>
        <w:rPr>
          <w:rFonts w:ascii="Arial" w:hAnsi="Arial" w:eastAsia="等线" w:cs="Arial"/>
          <w:sz w:val="22"/>
        </w:rPr>
        <w:t xml:space="preserve"> 应当让学生经历对现实问题中量的分析，借助用字母表达的未知数，建立两个量之间关系的过程，知道方程或不等式是现实问题中含有未知数的等量关系或不等关系的数学表达；引导学生关注用字母表示一元二次方程的系数，感悟用字母表示的求根公式的意义，体会算术与代数的差异。</w:t>
      </w:r>
    </w:p>
    <w:p w14:paraId="72152B23">
      <w:pPr>
        <w:spacing w:before="120" w:after="120" w:line="288" w:lineRule="auto"/>
        <w:ind w:left="0"/>
        <w:jc w:val="left"/>
      </w:pPr>
      <w:r>
        <w:rPr>
          <w:rFonts w:ascii="Arial" w:hAnsi="Arial" w:eastAsia="等线" w:cs="Arial"/>
          <w:sz w:val="22"/>
        </w:rPr>
        <w:t>在教学过程中，要关注数学知识与实际的结合，让学生在实际背景中理解数量关系和变化规律，</w:t>
      </w:r>
      <w:r>
        <w:rPr>
          <w:rFonts w:ascii="Arial" w:hAnsi="Arial" w:eastAsia="等线" w:cs="Arial"/>
          <w:b/>
          <w:sz w:val="22"/>
        </w:rPr>
        <w:t>经历从实际问题中建立数学模型、求解模型、验证反思的过程，形成模型观念</w:t>
      </w:r>
      <w:r>
        <w:rPr>
          <w:rFonts w:ascii="Arial" w:hAnsi="Arial" w:eastAsia="等线" w:cs="Arial"/>
          <w:sz w:val="22"/>
        </w:rPr>
        <w:t>；要关注基于代数的逻辑推理；能在比较复杂的情境中，提升学生发现问题和提出问题、分析问题和解决问题的能力，以及有逻辑地表达与交流的能力。</w:t>
      </w:r>
    </w:p>
    <w:p w14:paraId="169F542F">
      <w:pPr>
        <w:pBdr>
          <w:bottom w:val="single" w:color="DEE0E3" w:sz="2" w:space="0"/>
          <w:between w:val="single" w:color="DEE0E3" w:sz="2" w:space="0"/>
        </w:pBdr>
        <w:spacing w:before="120" w:after="120" w:line="288" w:lineRule="auto"/>
        <w:ind w:left="0"/>
      </w:pPr>
    </w:p>
    <w:p w14:paraId="5B6B189E">
      <w:pPr>
        <w:spacing w:before="320" w:after="120" w:line="288" w:lineRule="auto"/>
        <w:ind w:left="0"/>
        <w:jc w:val="left"/>
        <w:outlineLvl w:val="1"/>
      </w:pPr>
      <w:bookmarkStart w:id="9" w:name="heading_9"/>
      <w:r>
        <w:rPr>
          <w:rFonts w:ascii="Arial" w:hAnsi="Arial" w:eastAsia="等线" w:cs="Arial"/>
          <w:b/>
          <w:sz w:val="32"/>
        </w:rPr>
        <w:t>五、课标示例（官方原文）</w:t>
      </w:r>
      <w:bookmarkEnd w:id="9"/>
    </w:p>
    <w:p w14:paraId="2AE564B0">
      <w:pPr>
        <w:spacing w:before="300" w:after="120" w:line="288" w:lineRule="auto"/>
        <w:ind w:left="0"/>
        <w:jc w:val="left"/>
        <w:outlineLvl w:val="2"/>
      </w:pPr>
      <w:bookmarkStart w:id="10" w:name="heading_10"/>
      <w:r>
        <w:rPr>
          <w:rFonts w:ascii="Arial" w:hAnsi="Arial" w:eastAsia="等线" w:cs="Arial"/>
          <w:b/>
          <w:sz w:val="30"/>
        </w:rPr>
        <w:t>例17 等式的基本性质</w:t>
      </w:r>
      <w:bookmarkEnd w:id="10"/>
    </w:p>
    <w:p w14:paraId="3DC7364B">
      <w:pPr>
        <w:spacing w:before="120" w:after="120" w:line="288" w:lineRule="auto"/>
        <w:ind w:left="0"/>
        <w:jc w:val="left"/>
      </w:pPr>
      <w:r>
        <w:rPr>
          <w:rFonts w:ascii="Arial" w:hAnsi="Arial" w:eastAsia="等线" w:cs="Arial"/>
          <w:sz w:val="22"/>
        </w:rPr>
        <w:t>观察下面两组等式，你有什么发现？与同伴交流，尝试解释你的发现。</w:t>
      </w:r>
    </w:p>
    <w:p w14:paraId="54D91F6A">
      <w:pPr>
        <w:spacing w:before="120" w:after="120" w:line="288" w:lineRule="auto"/>
        <w:ind w:left="0"/>
        <w:jc w:val="left"/>
      </w:pPr>
      <w:r>
        <w:rPr>
          <w:rFonts w:ascii="Arial" w:hAnsi="Arial" w:eastAsia="等线" w:cs="Arial"/>
          <w:sz w:val="22"/>
        </w:rPr>
        <w:t>第一组：</w:t>
      </w:r>
    </w:p>
    <w:p w14:paraId="56EF6307">
      <w:pPr>
        <w:numPr>
          <w:ilvl w:val="0"/>
          <w:numId w:val="1"/>
        </w:numPr>
        <w:spacing w:before="120" w:after="120" w:line="288" w:lineRule="auto"/>
        <w:ind w:left="0"/>
        <w:jc w:val="left"/>
      </w:pPr>
      <w:r>
        <w:rPr>
          <w:rFonts w:ascii="Arial" w:hAnsi="Arial" w:eastAsia="等线" w:cs="Arial"/>
          <w:sz w:val="22"/>
        </w:rPr>
        <w:t>17 + 8 = 25</w:t>
      </w:r>
    </w:p>
    <w:p w14:paraId="6765CDC8">
      <w:pPr>
        <w:numPr>
          <w:ilvl w:val="0"/>
          <w:numId w:val="2"/>
        </w:numPr>
        <w:spacing w:before="120" w:after="120" w:line="288" w:lineRule="auto"/>
        <w:ind w:left="0"/>
        <w:jc w:val="left"/>
      </w:pPr>
      <w:r>
        <w:rPr>
          <w:rFonts w:ascii="Arial" w:hAnsi="Arial" w:eastAsia="等线" w:cs="Arial"/>
          <w:sz w:val="22"/>
        </w:rPr>
        <w:t>17 + 8 − 5 = 25 − 5</w:t>
      </w:r>
    </w:p>
    <w:p w14:paraId="0AFE3512">
      <w:pPr>
        <w:numPr>
          <w:ilvl w:val="0"/>
          <w:numId w:val="3"/>
        </w:numPr>
        <w:spacing w:before="120" w:after="120" w:line="288" w:lineRule="auto"/>
        <w:ind w:left="0"/>
        <w:jc w:val="left"/>
      </w:pPr>
      <w:r>
        <w:rPr>
          <w:rFonts w:ascii="Arial" w:hAnsi="Arial" w:eastAsia="等线" w:cs="Arial"/>
          <w:sz w:val="22"/>
        </w:rPr>
        <w:t>17 + 8 + 10 = 25 + 10</w:t>
      </w:r>
    </w:p>
    <w:p w14:paraId="33FFACFE">
      <w:pPr>
        <w:spacing w:before="120" w:after="120" w:line="288" w:lineRule="auto"/>
        <w:ind w:left="0"/>
        <w:jc w:val="left"/>
      </w:pPr>
      <w:r>
        <w:rPr>
          <w:rFonts w:ascii="Arial" w:hAnsi="Arial" w:eastAsia="等线" w:cs="Arial"/>
          <w:sz w:val="22"/>
        </w:rPr>
        <w:t>第二组：</w:t>
      </w:r>
    </w:p>
    <w:p w14:paraId="20CB638E">
      <w:pPr>
        <w:numPr>
          <w:ilvl w:val="0"/>
          <w:numId w:val="4"/>
        </w:numPr>
        <w:spacing w:before="120" w:after="120" w:line="288" w:lineRule="auto"/>
        <w:ind w:left="0"/>
        <w:jc w:val="left"/>
      </w:pPr>
      <w:r>
        <w:rPr>
          <w:rFonts w:ascii="Arial" w:hAnsi="Arial" w:eastAsia="等线" w:cs="Arial"/>
          <w:sz w:val="22"/>
        </w:rPr>
        <w:t>20 × 3 = 60</w:t>
      </w:r>
    </w:p>
    <w:p w14:paraId="28CCF6BB">
      <w:pPr>
        <w:numPr>
          <w:ilvl w:val="0"/>
          <w:numId w:val="5"/>
        </w:numPr>
        <w:spacing w:before="120" w:after="120" w:line="288" w:lineRule="auto"/>
        <w:ind w:left="0"/>
        <w:jc w:val="left"/>
      </w:pPr>
      <w:r>
        <w:rPr>
          <w:rFonts w:ascii="Arial" w:hAnsi="Arial" w:eastAsia="等线" w:cs="Arial"/>
          <w:sz w:val="22"/>
        </w:rPr>
        <w:t>20 × 3 × 2 = 60 × 2</w:t>
      </w:r>
    </w:p>
    <w:p w14:paraId="316B6032">
      <w:pPr>
        <w:numPr>
          <w:ilvl w:val="0"/>
          <w:numId w:val="6"/>
        </w:numPr>
        <w:spacing w:before="120" w:after="120" w:line="288" w:lineRule="auto"/>
        <w:ind w:left="0"/>
        <w:jc w:val="left"/>
      </w:pPr>
      <w:r>
        <w:rPr>
          <w:rFonts w:ascii="Arial" w:hAnsi="Arial" w:eastAsia="等线" w:cs="Arial"/>
          <w:sz w:val="22"/>
        </w:rPr>
        <w:t>20 × 3 ÷ 4 = 60 ÷ 4</w:t>
      </w:r>
    </w:p>
    <w:p w14:paraId="1E1A3095">
      <w:pPr>
        <w:spacing w:before="120" w:after="120" w:line="288" w:lineRule="auto"/>
        <w:ind w:left="0"/>
        <w:jc w:val="left"/>
      </w:pPr>
      <w:r>
        <w:rPr>
          <w:rFonts w:ascii="Arial" w:hAnsi="Arial" w:eastAsia="等线" w:cs="Arial"/>
          <w:b/>
          <w:sz w:val="22"/>
        </w:rPr>
        <w:t>【说明】</w:t>
      </w:r>
      <w:r>
        <w:rPr>
          <w:rFonts w:ascii="Arial" w:hAnsi="Arial" w:eastAsia="等线" w:cs="Arial"/>
          <w:sz w:val="22"/>
        </w:rPr>
        <w:t xml:space="preserve"> 这两组等式表达了等式的两个基本性质。第一组是等式的基本性质Ⅰ，即"等式两边同时加或减同一个数，等式两边仍然相等"。第二组是等式的基本性质Ⅱ，即"等式两边乘同一个数，或除以同一个不为0的数，等式两边仍然相等"。这两个基本性质同样适用于含有未知数的等式，在后续学习方程时会用到。</w:t>
      </w:r>
    </w:p>
    <w:p w14:paraId="650B0038">
      <w:pPr>
        <w:pBdr>
          <w:bottom w:val="single" w:color="DEE0E3" w:sz="2" w:space="0"/>
          <w:between w:val="single" w:color="DEE0E3" w:sz="2" w:space="0"/>
        </w:pBdr>
        <w:spacing w:before="120" w:after="120" w:line="288" w:lineRule="auto"/>
        <w:ind w:left="0"/>
      </w:pPr>
    </w:p>
    <w:p w14:paraId="718BF379">
      <w:pPr>
        <w:spacing w:before="320" w:after="120" w:line="288" w:lineRule="auto"/>
        <w:ind w:left="0"/>
        <w:jc w:val="left"/>
        <w:outlineLvl w:val="1"/>
      </w:pPr>
      <w:bookmarkStart w:id="11" w:name="heading_11"/>
      <w:r>
        <w:rPr>
          <w:rFonts w:ascii="Arial" w:hAnsi="Arial" w:eastAsia="等线" w:cs="Arial"/>
          <w:b/>
          <w:sz w:val="32"/>
        </w:rPr>
        <w:t>六、行为动词说明（官方原文）</w:t>
      </w:r>
      <w:bookmarkEnd w:id="11"/>
    </w:p>
    <w:p w14:paraId="1A671AE6">
      <w:pPr>
        <w:spacing w:before="120" w:after="120" w:line="288" w:lineRule="auto"/>
        <w:ind w:left="0"/>
        <w:jc w:val="left"/>
      </w:pPr>
      <w:r>
        <w:rPr>
          <w:rFonts w:ascii="Arial" w:hAnsi="Arial" w:eastAsia="等线" w:cs="Arial"/>
          <w:sz w:val="22"/>
        </w:rPr>
        <w:t>本标准中有两类行为动词：一类是描述结果目标的行为动词，包括"了解""理解""掌握""运用"等；另一类是描述过程目标的行为动词，包括"经历""体验""感悟""探索"等。</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75"/>
        <w:gridCol w:w="7005"/>
      </w:tblGrid>
      <w:tr w14:paraId="63E248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AFEEFDC">
            <w:pPr>
              <w:spacing w:before="120" w:after="120" w:line="288" w:lineRule="auto"/>
              <w:ind w:left="0"/>
              <w:jc w:val="left"/>
            </w:pPr>
            <w:r>
              <w:rPr>
                <w:rFonts w:ascii="Arial" w:hAnsi="Arial" w:eastAsia="等线" w:cs="Arial"/>
                <w:sz w:val="22"/>
              </w:rPr>
              <w:t>行为动词</w:t>
            </w:r>
          </w:p>
        </w:tc>
        <w:tc>
          <w:tcPr>
            <w:tcW w:w="7005" w:type="dxa"/>
            <w:tcMar>
              <w:top w:w="60" w:type="dxa"/>
              <w:left w:w="120" w:type="dxa"/>
              <w:bottom w:w="30" w:type="dxa"/>
              <w:right w:w="120" w:type="dxa"/>
            </w:tcMar>
          </w:tcPr>
          <w:p w14:paraId="17C68D91">
            <w:pPr>
              <w:spacing w:before="120" w:after="120" w:line="288" w:lineRule="auto"/>
              <w:ind w:left="0"/>
              <w:jc w:val="left"/>
            </w:pPr>
            <w:r>
              <w:rPr>
                <w:rFonts w:ascii="Arial" w:hAnsi="Arial" w:eastAsia="等线" w:cs="Arial"/>
                <w:sz w:val="22"/>
              </w:rPr>
              <w:t>含义</w:t>
            </w:r>
          </w:p>
        </w:tc>
      </w:tr>
      <w:tr w14:paraId="41ED1C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3AC3F9CF">
            <w:pPr>
              <w:spacing w:before="120" w:after="120" w:line="288" w:lineRule="auto"/>
              <w:ind w:left="0"/>
              <w:jc w:val="left"/>
            </w:pPr>
            <w:r>
              <w:rPr>
                <w:rFonts w:ascii="Arial" w:hAnsi="Arial" w:eastAsia="等线" w:cs="Arial"/>
                <w:sz w:val="22"/>
              </w:rPr>
              <w:t>了解</w:t>
            </w:r>
          </w:p>
        </w:tc>
        <w:tc>
          <w:tcPr>
            <w:tcW w:w="7005" w:type="dxa"/>
            <w:tcMar>
              <w:top w:w="60" w:type="dxa"/>
              <w:left w:w="120" w:type="dxa"/>
              <w:bottom w:w="30" w:type="dxa"/>
              <w:right w:w="120" w:type="dxa"/>
            </w:tcMar>
          </w:tcPr>
          <w:p w14:paraId="7E10FED7">
            <w:pPr>
              <w:spacing w:before="120" w:after="120" w:line="288" w:lineRule="auto"/>
              <w:ind w:left="0"/>
              <w:jc w:val="left"/>
            </w:pPr>
            <w:r>
              <w:rPr>
                <w:rFonts w:ascii="Arial" w:hAnsi="Arial" w:eastAsia="等线" w:cs="Arial"/>
                <w:sz w:val="22"/>
              </w:rPr>
              <w:t>从具体实例中知道或举例说明对象的有关特征；根据对象的特征，从具体情境中辨认或举例说明对象</w:t>
            </w:r>
          </w:p>
        </w:tc>
      </w:tr>
      <w:tr w14:paraId="04B46A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5DFD119">
            <w:pPr>
              <w:spacing w:before="120" w:after="120" w:line="288" w:lineRule="auto"/>
              <w:ind w:left="0"/>
              <w:jc w:val="left"/>
            </w:pPr>
            <w:r>
              <w:rPr>
                <w:rFonts w:ascii="Arial" w:hAnsi="Arial" w:eastAsia="等线" w:cs="Arial"/>
                <w:sz w:val="22"/>
              </w:rPr>
              <w:t>理解</w:t>
            </w:r>
          </w:p>
        </w:tc>
        <w:tc>
          <w:tcPr>
            <w:tcW w:w="7005" w:type="dxa"/>
            <w:tcMar>
              <w:top w:w="60" w:type="dxa"/>
              <w:left w:w="120" w:type="dxa"/>
              <w:bottom w:w="30" w:type="dxa"/>
              <w:right w:w="120" w:type="dxa"/>
            </w:tcMar>
          </w:tcPr>
          <w:p w14:paraId="724A3F3B">
            <w:pPr>
              <w:spacing w:before="120" w:after="120" w:line="288" w:lineRule="auto"/>
              <w:ind w:left="0"/>
              <w:jc w:val="left"/>
            </w:pPr>
            <w:r>
              <w:rPr>
                <w:rFonts w:ascii="Arial" w:hAnsi="Arial" w:eastAsia="等线" w:cs="Arial"/>
                <w:sz w:val="22"/>
              </w:rPr>
              <w:t>描述对象的由来、内涵和特征，阐述此对象与相关对象之间的区别和联系</w:t>
            </w:r>
          </w:p>
        </w:tc>
      </w:tr>
      <w:tr w14:paraId="089FAA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62B1CB80">
            <w:pPr>
              <w:spacing w:before="120" w:after="120" w:line="288" w:lineRule="auto"/>
              <w:ind w:left="0"/>
              <w:jc w:val="left"/>
            </w:pPr>
            <w:r>
              <w:rPr>
                <w:rFonts w:ascii="Arial" w:hAnsi="Arial" w:eastAsia="等线" w:cs="Arial"/>
                <w:sz w:val="22"/>
              </w:rPr>
              <w:t>掌握</w:t>
            </w:r>
          </w:p>
        </w:tc>
        <w:tc>
          <w:tcPr>
            <w:tcW w:w="7005" w:type="dxa"/>
            <w:tcMar>
              <w:top w:w="60" w:type="dxa"/>
              <w:left w:w="120" w:type="dxa"/>
              <w:bottom w:w="30" w:type="dxa"/>
              <w:right w:w="120" w:type="dxa"/>
            </w:tcMar>
          </w:tcPr>
          <w:p w14:paraId="3FCF1BA0">
            <w:pPr>
              <w:spacing w:before="120" w:after="120" w:line="288" w:lineRule="auto"/>
              <w:ind w:left="0"/>
              <w:jc w:val="left"/>
            </w:pPr>
            <w:r>
              <w:rPr>
                <w:rFonts w:ascii="Arial" w:hAnsi="Arial" w:eastAsia="等线" w:cs="Arial"/>
                <w:sz w:val="22"/>
              </w:rPr>
              <w:t>多角度理解和表征数学对象的本质，把对象用于新的情境</w:t>
            </w:r>
          </w:p>
        </w:tc>
      </w:tr>
      <w:tr w14:paraId="52D4C2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1C804F8B">
            <w:pPr>
              <w:spacing w:before="120" w:after="120" w:line="288" w:lineRule="auto"/>
              <w:ind w:left="0"/>
              <w:jc w:val="left"/>
            </w:pPr>
            <w:r>
              <w:rPr>
                <w:rFonts w:ascii="Arial" w:hAnsi="Arial" w:eastAsia="等线" w:cs="Arial"/>
                <w:sz w:val="22"/>
              </w:rPr>
              <w:t>运用</w:t>
            </w:r>
          </w:p>
        </w:tc>
        <w:tc>
          <w:tcPr>
            <w:tcW w:w="7005" w:type="dxa"/>
            <w:tcMar>
              <w:top w:w="60" w:type="dxa"/>
              <w:left w:w="120" w:type="dxa"/>
              <w:bottom w:w="30" w:type="dxa"/>
              <w:right w:w="120" w:type="dxa"/>
            </w:tcMar>
          </w:tcPr>
          <w:p w14:paraId="3E77B419">
            <w:pPr>
              <w:spacing w:before="120" w:after="120" w:line="288" w:lineRule="auto"/>
              <w:ind w:left="0"/>
              <w:jc w:val="left"/>
            </w:pPr>
            <w:r>
              <w:rPr>
                <w:rFonts w:ascii="Arial" w:hAnsi="Arial" w:eastAsia="等线" w:cs="Arial"/>
                <w:sz w:val="22"/>
              </w:rPr>
              <w:t>基于数学对象和对象之间的关系，选择或创造适当的方法解决问题</w:t>
            </w:r>
          </w:p>
        </w:tc>
      </w:tr>
      <w:tr w14:paraId="577EF0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74C49CC9">
            <w:pPr>
              <w:spacing w:before="120" w:after="120" w:line="288" w:lineRule="auto"/>
              <w:ind w:left="0"/>
              <w:jc w:val="left"/>
            </w:pPr>
            <w:r>
              <w:rPr>
                <w:rFonts w:ascii="Arial" w:hAnsi="Arial" w:eastAsia="等线" w:cs="Arial"/>
                <w:sz w:val="22"/>
              </w:rPr>
              <w:t>经历</w:t>
            </w:r>
          </w:p>
        </w:tc>
        <w:tc>
          <w:tcPr>
            <w:tcW w:w="7005" w:type="dxa"/>
            <w:tcMar>
              <w:top w:w="60" w:type="dxa"/>
              <w:left w:w="120" w:type="dxa"/>
              <w:bottom w:w="30" w:type="dxa"/>
              <w:right w:w="120" w:type="dxa"/>
            </w:tcMar>
          </w:tcPr>
          <w:p w14:paraId="00064176">
            <w:pPr>
              <w:spacing w:before="120" w:after="120" w:line="288" w:lineRule="auto"/>
              <w:ind w:left="0"/>
              <w:jc w:val="left"/>
            </w:pPr>
            <w:r>
              <w:rPr>
                <w:rFonts w:ascii="Arial" w:hAnsi="Arial" w:eastAsia="等线" w:cs="Arial"/>
                <w:sz w:val="22"/>
              </w:rPr>
              <w:t>有意识地参与特定的数学活动，感受数学知识的发生发展过程，获得一些感性认识</w:t>
            </w:r>
          </w:p>
        </w:tc>
      </w:tr>
      <w:tr w14:paraId="6ABDB2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3A29DD92">
            <w:pPr>
              <w:spacing w:before="120" w:after="120" w:line="288" w:lineRule="auto"/>
              <w:ind w:left="0"/>
              <w:jc w:val="left"/>
            </w:pPr>
            <w:r>
              <w:rPr>
                <w:rFonts w:ascii="Arial" w:hAnsi="Arial" w:eastAsia="等线" w:cs="Arial"/>
                <w:sz w:val="22"/>
              </w:rPr>
              <w:t>体验</w:t>
            </w:r>
          </w:p>
        </w:tc>
        <w:tc>
          <w:tcPr>
            <w:tcW w:w="7005" w:type="dxa"/>
            <w:tcMar>
              <w:top w:w="60" w:type="dxa"/>
              <w:left w:w="120" w:type="dxa"/>
              <w:bottom w:w="30" w:type="dxa"/>
              <w:right w:w="120" w:type="dxa"/>
            </w:tcMar>
          </w:tcPr>
          <w:p w14:paraId="1A03105A">
            <w:pPr>
              <w:spacing w:before="120" w:after="120" w:line="288" w:lineRule="auto"/>
              <w:ind w:left="0"/>
              <w:jc w:val="left"/>
            </w:pPr>
            <w:r>
              <w:rPr>
                <w:rFonts w:ascii="Arial" w:hAnsi="Arial" w:eastAsia="等线" w:cs="Arial"/>
                <w:sz w:val="22"/>
              </w:rPr>
              <w:t>有目的地参与特定的数学活动，验证对象的特征，获得一些具体经验</w:t>
            </w:r>
          </w:p>
        </w:tc>
      </w:tr>
      <w:tr w14:paraId="252703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EA92D9E">
            <w:pPr>
              <w:spacing w:before="120" w:after="120" w:line="288" w:lineRule="auto"/>
              <w:ind w:left="0"/>
              <w:jc w:val="left"/>
            </w:pPr>
            <w:r>
              <w:rPr>
                <w:rFonts w:ascii="Arial" w:hAnsi="Arial" w:eastAsia="等线" w:cs="Arial"/>
                <w:sz w:val="22"/>
              </w:rPr>
              <w:t>感悟</w:t>
            </w:r>
          </w:p>
        </w:tc>
        <w:tc>
          <w:tcPr>
            <w:tcW w:w="7005" w:type="dxa"/>
            <w:tcMar>
              <w:top w:w="60" w:type="dxa"/>
              <w:left w:w="120" w:type="dxa"/>
              <w:bottom w:w="30" w:type="dxa"/>
              <w:right w:w="120" w:type="dxa"/>
            </w:tcMar>
          </w:tcPr>
          <w:p w14:paraId="1778A9E2">
            <w:pPr>
              <w:spacing w:before="120" w:after="120" w:line="288" w:lineRule="auto"/>
              <w:ind w:left="0"/>
              <w:jc w:val="left"/>
            </w:pPr>
            <w:r>
              <w:rPr>
                <w:rFonts w:ascii="Arial" w:hAnsi="Arial" w:eastAsia="等线" w:cs="Arial"/>
                <w:sz w:val="22"/>
              </w:rPr>
              <w:t>在数学活动中，通过独立思考或合作交流，获得初步的理性认识</w:t>
            </w:r>
          </w:p>
        </w:tc>
      </w:tr>
      <w:tr w14:paraId="18E493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45FA656C">
            <w:pPr>
              <w:spacing w:before="120" w:after="120" w:line="288" w:lineRule="auto"/>
              <w:ind w:left="0"/>
              <w:jc w:val="left"/>
            </w:pPr>
            <w:r>
              <w:rPr>
                <w:rFonts w:ascii="Arial" w:hAnsi="Arial" w:eastAsia="等线" w:cs="Arial"/>
                <w:sz w:val="22"/>
              </w:rPr>
              <w:t>探索</w:t>
            </w:r>
          </w:p>
        </w:tc>
        <w:tc>
          <w:tcPr>
            <w:tcW w:w="7005" w:type="dxa"/>
            <w:tcMar>
              <w:top w:w="60" w:type="dxa"/>
              <w:left w:w="120" w:type="dxa"/>
              <w:bottom w:w="30" w:type="dxa"/>
              <w:right w:w="120" w:type="dxa"/>
            </w:tcMar>
          </w:tcPr>
          <w:p w14:paraId="753DAE7E">
            <w:pPr>
              <w:spacing w:before="120" w:after="120" w:line="288" w:lineRule="auto"/>
              <w:ind w:left="0"/>
              <w:jc w:val="left"/>
            </w:pPr>
            <w:r>
              <w:rPr>
                <w:rFonts w:ascii="Arial" w:hAnsi="Arial" w:eastAsia="等线" w:cs="Arial"/>
                <w:sz w:val="22"/>
              </w:rPr>
              <w:t>在特定的问题情境下，独立或合作参与数学活动，理解或提出数学问题，寻求解决问题的思路，获得确定结论</w:t>
            </w:r>
          </w:p>
        </w:tc>
      </w:tr>
    </w:tbl>
    <w:p w14:paraId="2F062222">
      <w:pPr>
        <w:pBdr>
          <w:bottom w:val="single" w:color="DEE0E3" w:sz="2" w:space="0"/>
          <w:between w:val="single" w:color="DEE0E3" w:sz="2" w:space="0"/>
        </w:pBdr>
        <w:spacing w:before="120" w:after="120" w:line="288" w:lineRule="auto"/>
        <w:ind w:left="0"/>
      </w:pPr>
    </w:p>
    <w:p w14:paraId="25A40E45">
      <w:pPr>
        <w:spacing w:before="320" w:after="120" w:line="288" w:lineRule="auto"/>
        <w:ind w:left="0"/>
        <w:jc w:val="left"/>
        <w:outlineLvl w:val="1"/>
      </w:pPr>
      <w:bookmarkStart w:id="12" w:name="heading_12"/>
      <w:r>
        <w:rPr>
          <w:rFonts w:ascii="Arial" w:hAnsi="Arial" w:eastAsia="等线" w:cs="Arial"/>
          <w:b/>
          <w:sz w:val="32"/>
        </w:rPr>
        <w:t>七、学业质量标准（第四学段相关原文）</w:t>
      </w:r>
      <w:bookmarkEnd w:id="12"/>
    </w:p>
    <w:p w14:paraId="6867F0C8">
      <w:pPr>
        <w:spacing w:before="120" w:after="120" w:line="288" w:lineRule="auto"/>
        <w:ind w:left="0"/>
        <w:jc w:val="left"/>
      </w:pPr>
      <w:r>
        <w:rPr>
          <w:rFonts w:ascii="Arial" w:hAnsi="Arial" w:eastAsia="等线" w:cs="Arial"/>
          <w:sz w:val="22"/>
        </w:rPr>
        <w:t>能从生活情境、数学情境中抽象概括出数与式、方程与不等式、函数的概念和规则，掌握相关的运算求解方法，合理解释运算结果，形成一定的运算能力、推理能力和抽象能力。</w:t>
      </w:r>
    </w:p>
    <w:p w14:paraId="5B81E18E">
      <w:pPr>
        <w:spacing w:before="120" w:after="120" w:line="288" w:lineRule="auto"/>
        <w:ind w:left="0"/>
        <w:jc w:val="left"/>
      </w:pPr>
      <w:r>
        <w:rPr>
          <w:rFonts w:ascii="Arial" w:hAnsi="Arial" w:eastAsia="等线" w:cs="Arial"/>
          <w:sz w:val="22"/>
        </w:rPr>
        <w:t>能从具体的生活与科技情境中，抽象出函数、方程、不等式等数学表达形式，用数学的眼光发现问题并提出（或转化为）数学问题，用数学的思维探索、分析和解决具体情境中的现实生活问题，给出数学描述和解释，运用数学的语言与思想方法，综合运用多个领域的知识，提出设计思路，制订解决方案。能够在解决问题的过程中选择合适的方法进行评估，并对结果的实际意义作出解释。</w:t>
      </w:r>
    </w:p>
    <w:p w14:paraId="5167AA42">
      <w:pPr>
        <w:pBdr>
          <w:bottom w:val="single" w:color="DEE0E3" w:sz="2" w:space="0"/>
          <w:between w:val="single" w:color="DEE0E3" w:sz="2" w:space="0"/>
        </w:pBdr>
        <w:spacing w:before="120" w:after="120" w:line="288" w:lineRule="auto"/>
        <w:ind w:left="0"/>
      </w:pPr>
    </w:p>
    <w:p w14:paraId="1D2C473A">
      <w:pPr>
        <w:spacing w:before="120" w:after="120" w:line="288" w:lineRule="auto"/>
        <w:ind w:left="0"/>
        <w:jc w:val="left"/>
      </w:pPr>
      <w:r>
        <w:rPr>
          <w:rFonts w:ascii="Arial" w:hAnsi="Arial" w:eastAsia="等线" w:cs="Arial"/>
          <w:i/>
          <w:sz w:val="22"/>
        </w:rPr>
        <w:t>本文件为《义务教育数学课程标准（2022年版）》中与一元一次方程相关内容的原文摘录，供备课与竞赛参考使用。</w:t>
      </w:r>
    </w:p>
    <w:p w14:paraId="48E1EE9D">
      <w:pPr>
        <w:spacing w:before="120" w:after="120" w:line="288" w:lineRule="auto"/>
        <w:ind w:left="0"/>
        <w:jc w:val="left"/>
      </w:pPr>
      <w:bookmarkStart w:id="13" w:name="_GoBack"/>
      <w:bookmarkEnd w:id="1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52FD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8C1E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0053208E"/>
    <w:multiLevelType w:val="singleLevel"/>
    <w:tmpl w:val="0053208E"/>
    <w:lvl w:ilvl="0" w:tentative="0">
      <w:start w:val="0"/>
      <w:numFmt w:val="bullet"/>
      <w:lvlText w:val="•"/>
      <w:lvlJc w:val="left"/>
      <w:rPr>
        <w:color w:val="3370FF"/>
      </w:rPr>
    </w:lvl>
  </w:abstractNum>
  <w:abstractNum w:abstractNumId="4">
    <w:nsid w:val="03D62ECE"/>
    <w:multiLevelType w:val="singleLevel"/>
    <w:tmpl w:val="03D62ECE"/>
    <w:lvl w:ilvl="0" w:tentative="0">
      <w:start w:val="0"/>
      <w:numFmt w:val="bullet"/>
      <w:lvlText w:val="•"/>
      <w:lvlJc w:val="left"/>
      <w:rPr>
        <w:color w:val="3370FF"/>
      </w:rPr>
    </w:lvl>
  </w:abstractNum>
  <w:abstractNum w:abstractNumId="5">
    <w:nsid w:val="59ADCABA"/>
    <w:multiLevelType w:val="singleLevel"/>
    <w:tmpl w:val="59ADCABA"/>
    <w:lvl w:ilvl="0" w:tentative="0">
      <w:start w:val="0"/>
      <w:numFmt w:val="bullet"/>
      <w:lvlText w:val="•"/>
      <w:lvlJc w:val="left"/>
      <w:rPr>
        <w:color w:val="3370FF"/>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61639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1373</Words>
  <Characters>1391</Characters>
  <TotalTime>0</TotalTime>
  <ScaleCrop>false</ScaleCrop>
  <LinksUpToDate>false</LinksUpToDate>
  <CharactersWithSpaces>1409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2026-09-12T03:51:00Z</dcterms:created>
  <dc:creator>Apache POI</dc:creator>
  <cp:lastModifiedBy>尘</cp:lastModifiedBy>
  <dcterms:modified xsi:type="dcterms:W3CDTF">2026-09-18T16:16:02Z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eyJoZGlkIjoiMGNlNWE2ZjIxNmY4MDBiNTg1ZDMwYzE0MDNjYWY5MWYiLCJ1c2VySWQiOiIxODU3MjIyMjM3In0=</vt:lpwstr>
  </property>
  <property fmtid="{D5CDD505-2E9C-101B-9397-08002B2CF9AE}" pid="3" name="KSOProductBuildVer">
    <vt:lpwstr>2052-12.1.0.28505</vt:lpwstr>
  </property>
  <property fmtid="{D5CDD505-2E9C-101B-9397-08002B2CF9AE}" pid="4" name="ICV">
    <vt:lpwstr>413A9F1824694AF4B5BBB5AA21C6D970_12</vt:lpwstr>
  </property>
</Properties>
</file>