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480" w:lineRule="exact"/>
        <w:jc w:val="center"/>
      </w:pPr>
      <w:r>
        <w:rPr>
          <w:rFonts w:ascii="SimHei" w:eastAsia="黑体"/>
          <w:b/>
          <w:bCs/>
          <w:sz w:val="36"/>
          <w:szCs w:val="36"/>
        </w:rPr>
        <w:t xml:space="preserve">《图形学基础与高级渲染》期末技术总结报告</w:t>
      </w:r>
    </w:p>
    <w:p>
      <w:pPr>
        <w:spacing w:after="120" w:line="480" w:lineRule="exact"/>
        <w:jc w:val="center"/>
      </w:pPr>
      <w:r>
        <w:rPr>
          <w:rFonts w:ascii="SimHei" w:eastAsia="黑体"/>
          <w:b/>
          <w:bCs/>
          <w:sz w:val="24"/>
          <w:szCs w:val="24"/>
        </w:rPr>
        <w:t xml:space="preserve">——基于 WebGL/Three.js 的室内交互式高级渲染场景</w:t>
      </w:r>
    </w:p>
    <w:p>
      <w:pPr>
        <w:spacing w:after="200" w:line="480" w:lineRule="exact"/>
        <w:jc w:val="center"/>
      </w:pPr>
      <w:r>
        <w:rPr>
          <w:rFonts w:eastAsia="宋体"/>
          <w:sz w:val="24"/>
          <w:szCs w:val="24"/>
        </w:rPr>
        <w:t xml:space="preserve">姓名：【请填写】    学号：【请填写】    班级：【请填写】</w:t>
      </w:r>
    </w:p>
    <w:p>
      <w:pPr>
        <w:pStyle w:val="Heading1"/>
        <w:spacing w:after="120" w:before="240" w:line="480" w:lineRule="exact"/>
      </w:pPr>
      <w:r>
        <w:rPr>
          <w:rFonts w:ascii="SimHei" w:eastAsia="黑体"/>
          <w:b/>
          <w:bCs/>
          <w:sz w:val="32"/>
          <w:szCs w:val="32"/>
        </w:rPr>
        <w:t xml:space="preserve">一、项目概述</w:t>
      </w:r>
    </w:p>
    <w:p>
      <w:pPr>
        <w:spacing w:after="0" w:line="480" w:lineRule="exact"/>
        <w:ind w:firstLine="480"/>
        <w:jc w:val="both"/>
      </w:pPr>
      <w:r>
        <w:rPr>
          <w:rFonts w:ascii="Times New Roman" w:eastAsia="宋体"/>
          <w:sz w:val="24"/>
          <w:szCs w:val="24"/>
        </w:rPr>
        <w:t xml:space="preserve">本项目是一个运行于浏览器、基于 WebGL 与 Three.js（r160）的室内交互式三维场景，旨在综合运用课程所学的光照模型、几何处理、纹理映射与高级渲染技术，实现兼具视觉真实感与可交互性的实时渲染系统。场景以一个室内房间为主题，包含地面、墙体、木桌、椅子、台灯、书本与装饰球等物体；其中全部三维模型均在 Blender 中通过 Python（bpy）脚本程序化建模，导出为 glTF 二进制（GLB）格式后由 Three.js 的 GLTFLoader 载入，几何类型覆盖平面、立方体、球体、圆柱体、圆锥以及由多基本体合并而成的自定义网格模型。</w:t>
      </w:r>
    </w:p>
    <w:p>
      <w:pPr>
        <w:spacing w:after="0" w:line="480" w:lineRule="exact"/>
        <w:ind w:firstLine="480"/>
        <w:jc w:val="both"/>
      </w:pPr>
      <w:r>
        <w:rPr>
          <w:rFonts w:ascii="Times New Roman" w:eastAsia="宋体"/>
          <w:sz w:val="24"/>
          <w:szCs w:val="24"/>
        </w:rPr>
        <w:t xml:space="preserve">系统实现了第一人称漫游（WASD 平移、鼠标转动视角、Space/Shift 升降）、透视与正交投影双击切换、屏幕中心射线拾取与高亮反馈、实时参数面板（光照强度、阴影开关、金属度/粗糙度），以及阴影映射、法线贴图、Bloom 辉光与边缘检测等高级渲染与后处理特效。整体采用模块化组织，各功能解耦清晰，便于维护与扩展。</w:t>
      </w:r>
    </w:p>
    <w:p>
      <w:pPr>
        <w:pStyle w:val="Heading1"/>
        <w:spacing w:after="120" w:before="240" w:line="480" w:lineRule="exact"/>
      </w:pPr>
      <w:r>
        <w:rPr>
          <w:rFonts w:ascii="SimHei" w:eastAsia="黑体"/>
          <w:b/>
          <w:bCs/>
          <w:sz w:val="32"/>
          <w:szCs w:val="32"/>
        </w:rPr>
        <w:t xml:space="preserve">二、个人负责模块</w:t>
      </w:r>
    </w:p>
    <w:p>
      <w:pPr>
        <w:spacing w:after="0" w:line="480" w:lineRule="exact"/>
        <w:ind w:firstLine="480"/>
        <w:jc w:val="both"/>
      </w:pPr>
      <w:r>
        <w:rPr>
          <w:rFonts w:ascii="Times New Roman" w:eastAsia="宋体"/>
          <w:sz w:val="24"/>
          <w:szCs w:val="24"/>
        </w:rPr>
        <w:t xml:space="preserve">本人在小组中主要负责渲染与着色相关模块，具体包括：（1）光照与着色系统，含自定义 Blinn-Phong 着色器的设计与实现；（2）纹理与法线贴图，含程序化法线贴图的生成与应用；（3）阴影系统，含 Shadow Mapping 与 PCF 软阴影参数调校；（4）后处理管线（EffectComposer），含 Bloom 与边缘检测特效。下文重点阐述其中三项核心图形学技术的原理、数学公式与工程实现。</w:t>
      </w:r>
    </w:p>
    <w:p>
      <w:pPr>
        <w:pStyle w:val="Heading1"/>
        <w:spacing w:after="120" w:before="240" w:line="480" w:lineRule="exact"/>
      </w:pPr>
      <w:r>
        <w:rPr>
          <w:rFonts w:ascii="SimHei" w:eastAsia="黑体"/>
          <w:b/>
          <w:bCs/>
          <w:sz w:val="32"/>
          <w:szCs w:val="32"/>
        </w:rPr>
        <w:t xml:space="preserve">三、核心图形学技术原理与实现</w:t>
      </w:r>
    </w:p>
    <w:p>
      <w:pPr>
        <w:pStyle w:val="Heading2"/>
        <w:spacing w:after="80" w:before="160" w:line="480" w:lineRule="exact"/>
      </w:pPr>
      <w:r>
        <w:rPr>
          <w:rFonts w:ascii="SimHei" w:eastAsia="黑体"/>
          <w:b/>
          <w:bCs/>
          <w:sz w:val="28"/>
          <w:szCs w:val="28"/>
        </w:rPr>
        <w:t xml:space="preserve">3.1 Blinn-Phong 光照模型</w:t>
      </w:r>
    </w:p>
    <w:p>
      <w:pPr>
        <w:spacing w:after="0" w:line="480" w:lineRule="exact"/>
        <w:ind w:firstLine="480"/>
        <w:jc w:val="both"/>
      </w:pPr>
      <w:r>
        <w:rPr>
          <w:rFonts w:ascii="Times New Roman" w:eastAsia="宋体"/>
          <w:sz w:val="24"/>
          <w:szCs w:val="24"/>
        </w:rPr>
        <w:t xml:space="preserve">Blinn-Phong 模型是经典局部光照模型，由 Phong 模型改进而来，将出射光照分解为环境光、漫反射与镜面反射三项之和。对场景中的每个光源 i，表面某点的出射辐射度可表示为：</w:t>
      </w:r>
    </w:p>
    <w:p>
      <w:pPr>
        <w:spacing w:after="60" w:before="60" w:line="480" w:lineRule="exact"/>
        <w:jc w:val="center"/>
      </w:pPr>
      <w:r>
        <w:rPr>
          <w:rFonts w:ascii="Cambria Math" w:eastAsia="宋体"/>
          <w:i/>
          <w:iCs/>
          <w:sz w:val="24"/>
          <w:szCs w:val="24"/>
        </w:rPr>
        <w:t xml:space="preserve">I = ka·Ia + Σi [ kd·Ii·max(0, N·Li) + ks·Ii·max(0, N·Hi)^α ]</w:t>
      </w:r>
    </w:p>
    <w:p>
      <w:pPr>
        <w:spacing w:after="0" w:line="480" w:lineRule="exact"/>
        <w:ind w:firstLine="480"/>
        <w:jc w:val="both"/>
      </w:pPr>
      <w:r>
        <w:rPr>
          <w:rFonts w:ascii="Times New Roman" w:eastAsia="宋体"/>
          <w:sz w:val="24"/>
          <w:szCs w:val="24"/>
        </w:rPr>
        <w:t xml:space="preserve">其中 N 为表面单位法向量，Li 为指向第 i 个光源的单位向量，V 为指向观察者的单位向量，ka、kd、ks 分别为环境、漫反射、镜面反射系数，α 为高光指数（shininess），Ia、Ii 为光源强度。环境项 ka·Ia 近似表示全局间接光照；漫反射项遵循 Lambert 余弦定律，与 N·Li 成正比，体现表面朝向光源的程度。</w:t>
      </w:r>
    </w:p>
    <w:p>
      <w:pPr>
        <w:spacing w:after="0" w:line="480" w:lineRule="exact"/>
        <w:ind w:firstLine="480"/>
        <w:jc w:val="both"/>
      </w:pPr>
      <w:r>
        <w:rPr>
          <w:rFonts w:ascii="Times New Roman" w:eastAsia="宋体"/>
          <w:sz w:val="24"/>
          <w:szCs w:val="24"/>
        </w:rPr>
        <w:t xml:space="preserve">与原始 Phong 使用反射向量 R 与视线 V 的夹角不同，Blinn 引入半程向量（half-vector）H 来计算高光，避免了每像素求反射向量的开销，且在掠射角下高光形状更符合实测：</w:t>
      </w:r>
    </w:p>
    <w:p>
      <w:pPr>
        <w:spacing w:after="60" w:before="60" w:line="480" w:lineRule="exact"/>
        <w:jc w:val="center"/>
      </w:pPr>
      <w:r>
        <w:rPr>
          <w:rFonts w:ascii="Cambria Math" w:eastAsia="宋体"/>
          <w:i/>
          <w:iCs/>
          <w:sz w:val="24"/>
          <w:szCs w:val="24"/>
        </w:rPr>
        <w:t xml:space="preserve">Hi = (Li + V) / |Li + V|</w:t>
      </w:r>
    </w:p>
    <w:p>
      <w:pPr>
        <w:spacing w:after="0" w:line="480" w:lineRule="exact"/>
        <w:ind w:firstLine="480"/>
        <w:jc w:val="both"/>
      </w:pPr>
      <w:r>
        <w:rPr>
          <w:rFonts w:ascii="Times New Roman" w:eastAsia="宋体"/>
          <w:sz w:val="24"/>
          <w:szCs w:val="24"/>
        </w:rPr>
        <w:t xml:space="preserve">对点光源，本项目还引入了平方反比衰减以模拟光强随距离衰减的物理规律，衰减因子为：</w:t>
      </w:r>
    </w:p>
    <w:p>
      <w:pPr>
        <w:spacing w:after="60" w:before="60" w:line="480" w:lineRule="exact"/>
        <w:jc w:val="center"/>
      </w:pPr>
      <w:r>
        <w:rPr>
          <w:rFonts w:ascii="Cambria Math" w:eastAsia="宋体"/>
          <w:i/>
          <w:iCs/>
          <w:sz w:val="24"/>
          <w:szCs w:val="24"/>
        </w:rPr>
        <w:t xml:space="preserve">fatt = 1 / ( 1 + d² / r² )</w:t>
      </w:r>
    </w:p>
    <w:p>
      <w:pPr>
        <w:spacing w:after="0" w:line="480" w:lineRule="exact"/>
        <w:ind w:firstLine="480"/>
        <w:jc w:val="both"/>
      </w:pPr>
      <w:r>
        <w:rPr>
          <w:rFonts w:ascii="Times New Roman" w:eastAsia="宋体"/>
          <w:sz w:val="24"/>
          <w:szCs w:val="24"/>
        </w:rPr>
        <w:t xml:space="preserve">其中 d 为着色点到点光源的距离，r 为可调的衰减半径。工程上，本人用 GLSL ShaderMaterial 实现了上述模型：顶点着色器输出世界空间坐标与法向量，片元着色器对方向光（主光）与点光（台灯）两个光源分别按上式累加，最终输出线性颜色并交由后处理的色调映射阶段统一处理。该自定义着色器可与基于物理的 PBR 材质（MeshStandardMaterial）一键切换，用于直观对比两类着色模型的视觉差异。</w:t>
      </w:r>
    </w:p>
    <w:p>
      <w:pPr>
        <w:pStyle w:val="Heading2"/>
        <w:spacing w:after="80" w:before="160" w:line="480" w:lineRule="exact"/>
      </w:pPr>
      <w:r>
        <w:rPr>
          <w:rFonts w:ascii="SimHei" w:eastAsia="黑体"/>
          <w:b/>
          <w:bCs/>
          <w:sz w:val="28"/>
          <w:szCs w:val="28"/>
        </w:rPr>
        <w:t xml:space="preserve">3.2 法线贴图（Normal Mapping）</w:t>
      </w:r>
    </w:p>
    <w:p>
      <w:pPr>
        <w:spacing w:after="0" w:line="480" w:lineRule="exact"/>
        <w:ind w:firstLine="480"/>
        <w:jc w:val="both"/>
      </w:pPr>
      <w:r>
        <w:rPr>
          <w:rFonts w:ascii="Times New Roman" w:eastAsia="宋体"/>
          <w:sz w:val="24"/>
          <w:szCs w:val="24"/>
        </w:rPr>
        <w:t xml:space="preserve">法线贴图是一种在不增加几何细节的前提下、通过逐像素扰动法向量来表现表面微观凹凸的技术。其核心思想是将一张以 RGB 编码法向量的纹理（法线贴图）映射到表面，渲染时用纹理中存储的法线替代插值得到的几何法线参与光照计算，从而在平整网格上产生丰富的明暗细节。</w:t>
      </w:r>
    </w:p>
    <w:p>
      <w:pPr>
        <w:spacing w:after="0" w:line="480" w:lineRule="exact"/>
        <w:ind w:firstLine="480"/>
        <w:jc w:val="both"/>
      </w:pPr>
      <w:r>
        <w:rPr>
          <w:rFonts w:ascii="Times New Roman" w:eastAsia="宋体"/>
          <w:sz w:val="24"/>
          <w:szCs w:val="24"/>
        </w:rPr>
        <w:t xml:space="preserve">法线贴图通常存储于切线空间（tangent space），即以表面切线 T、副切线 B 与法线 N 为基的局部坐标系。纹理像素值范围为 [0,1]，需先解码还原为 [-1,1] 区间的法向量：</w:t>
      </w:r>
    </w:p>
    <w:p>
      <w:pPr>
        <w:spacing w:after="60" w:before="60" w:line="480" w:lineRule="exact"/>
        <w:jc w:val="center"/>
      </w:pPr>
      <w:r>
        <w:rPr>
          <w:rFonts w:ascii="Cambria Math" w:eastAsia="宋体"/>
          <w:i/>
          <w:iCs/>
          <w:sz w:val="24"/>
          <w:szCs w:val="24"/>
        </w:rPr>
        <w:t xml:space="preserve">n_tangent = 2 · texel_rgb − 1</w:t>
      </w:r>
    </w:p>
    <w:p>
      <w:pPr>
        <w:spacing w:after="0" w:line="480" w:lineRule="exact"/>
        <w:ind w:firstLine="480"/>
        <w:jc w:val="both"/>
      </w:pPr>
      <w:r>
        <w:rPr>
          <w:rFonts w:ascii="Times New Roman" w:eastAsia="宋体"/>
          <w:sz w:val="24"/>
          <w:szCs w:val="24"/>
        </w:rPr>
        <w:t xml:space="preserve">随后通过 TBN 矩阵将切线空间法线变换到世界（或观察）空间，再参与光照：</w:t>
      </w:r>
    </w:p>
    <w:p>
      <w:pPr>
        <w:spacing w:after="60" w:before="60" w:line="480" w:lineRule="exact"/>
        <w:jc w:val="center"/>
      </w:pPr>
      <w:r>
        <w:rPr>
          <w:rFonts w:ascii="Cambria Math" w:eastAsia="宋体"/>
          <w:i/>
          <w:iCs/>
          <w:sz w:val="24"/>
          <w:szCs w:val="24"/>
        </w:rPr>
        <w:t xml:space="preserve">TBN = [ T  B  N ],   n_world = normalize( TBN · n_tangent )</w:t>
      </w:r>
    </w:p>
    <w:p>
      <w:pPr>
        <w:spacing w:after="0" w:line="480" w:lineRule="exact"/>
        <w:ind w:firstLine="480"/>
        <w:jc w:val="both"/>
      </w:pPr>
      <w:r>
        <w:rPr>
          <w:rFonts w:ascii="Times New Roman" w:eastAsia="宋体"/>
          <w:sz w:val="24"/>
          <w:szCs w:val="24"/>
        </w:rPr>
        <w:t xml:space="preserve">其中 T、B、N 三个正交基向量分别由网格的切线、副切线与几何法线提供。本项目为地面与墙面应用了在运行时程序化生成的法线贴图：先以随机噪声构造高度场并做盒式模糊使之连续，再对高度场用 Sobel 算子求 x、y 方向梯度，将梯度组合为切线空间法线 (−∂h/∂x, −∂h/∂y, 1) 归一化后写入纹理。该方法无需外部贴图资源，即可在地面与墙面上呈现出细腻的微观起伏，明显增强了表面真实感。</w:t>
      </w:r>
    </w:p>
    <w:p>
      <w:pPr>
        <w:pStyle w:val="Heading2"/>
        <w:spacing w:after="80" w:before="160" w:line="480" w:lineRule="exact"/>
      </w:pPr>
      <w:r>
        <w:rPr>
          <w:rFonts w:ascii="SimHei" w:eastAsia="黑体"/>
          <w:b/>
          <w:bCs/>
          <w:sz w:val="28"/>
          <w:szCs w:val="28"/>
        </w:rPr>
        <w:t xml:space="preserve">3.3 阴影映射（Shadow Mapping）</w:t>
      </w:r>
    </w:p>
    <w:p>
      <w:pPr>
        <w:spacing w:after="0" w:line="480" w:lineRule="exact"/>
        <w:ind w:firstLine="480"/>
        <w:jc w:val="both"/>
      </w:pPr>
      <w:r>
        <w:rPr>
          <w:rFonts w:ascii="Times New Roman" w:eastAsia="宋体"/>
          <w:sz w:val="24"/>
          <w:szCs w:val="24"/>
        </w:rPr>
        <w:t xml:space="preserve">阴影映射是实时渲染中最常用的阴影生成算法，由 Williams（1978）提出。其基本流程分为两个渲染通路（two-pass）：第一遍以光源为视点渲染场景，仅记录每个方向上最近表面的深度，得到深度图（shadow map）；第二遍以相机为视点正常渲染，对每个着色点变换到光源空间，将其深度与深度图中对应位置的存储深度比较，以判断该点是否被遮挡。</w:t>
      </w:r>
    </w:p>
    <w:p>
      <w:pPr>
        <w:spacing w:after="0" w:line="480" w:lineRule="exact"/>
        <w:ind w:firstLine="480"/>
        <w:jc w:val="both"/>
      </w:pPr>
      <w:r>
        <w:rPr>
          <w:rFonts w:ascii="Times New Roman" w:eastAsia="宋体"/>
          <w:sz w:val="24"/>
          <w:szCs w:val="24"/>
        </w:rPr>
        <w:t xml:space="preserve">设光源的视图矩阵为 Vl、投影矩阵为 Pl，物体模型矩阵为 M，则世界空间点 p 在光源裁剪空间的坐标为：</w:t>
      </w:r>
    </w:p>
    <w:p>
      <w:pPr>
        <w:spacing w:after="60" w:before="60" w:line="480" w:lineRule="exact"/>
        <w:jc w:val="center"/>
      </w:pPr>
      <w:r>
        <w:rPr>
          <w:rFonts w:ascii="Cambria Math" w:eastAsia="宋体"/>
          <w:i/>
          <w:iCs/>
          <w:sz w:val="24"/>
          <w:szCs w:val="24"/>
        </w:rPr>
        <w:t xml:space="preserve">p_light = Pl · Vl · M · p_model</w:t>
      </w:r>
    </w:p>
    <w:p>
      <w:pPr>
        <w:spacing w:after="0" w:line="480" w:lineRule="exact"/>
        <w:ind w:firstLine="480"/>
        <w:jc w:val="both"/>
      </w:pPr>
      <w:r>
        <w:rPr>
          <w:rFonts w:ascii="Times New Roman" w:eastAsia="宋体"/>
          <w:sz w:val="24"/>
          <w:szCs w:val="24"/>
        </w:rPr>
        <w:t xml:space="preserve">经透视除法与 [0,1] 重映射后得到深度图采样坐标 (u, v) 与当前深度 d。遮挡判定为：</w:t>
      </w:r>
    </w:p>
    <w:p>
      <w:pPr>
        <w:spacing w:after="60" w:before="60" w:line="480" w:lineRule="exact"/>
        <w:jc w:val="center"/>
      </w:pPr>
      <w:r>
        <w:rPr>
          <w:rFonts w:ascii="Cambria Math" w:eastAsia="宋体"/>
          <w:i/>
          <w:iCs/>
          <w:sz w:val="24"/>
          <w:szCs w:val="24"/>
        </w:rPr>
        <w:t xml:space="preserve">shadow = ( d − bias &gt; depthMap(u, v) ) ? 0 : 1</w:t>
      </w:r>
    </w:p>
    <w:p>
      <w:pPr>
        <w:spacing w:after="0" w:line="480" w:lineRule="exact"/>
        <w:ind w:firstLine="480"/>
        <w:jc w:val="both"/>
      </w:pPr>
      <w:r>
        <w:rPr>
          <w:rFonts w:ascii="Times New Roman" w:eastAsia="宋体"/>
          <w:sz w:val="24"/>
          <w:szCs w:val="24"/>
        </w:rPr>
        <w:t xml:space="preserve">式中 bias 为深度偏移，用于消除自遮挡导致的"阴影痤疮"（shadow acne）。为缓解深度图分辨率有限造成的锯齿，本项目采用 PCF（Percentage-Closer Filtering）：在采样点邻域多次比较并取平均，得到 [0,1] 的连续可见度，使阴影边缘柔和自然：</w:t>
      </w:r>
    </w:p>
    <w:p>
      <w:pPr>
        <w:spacing w:after="60" w:before="60" w:line="480" w:lineRule="exact"/>
        <w:jc w:val="center"/>
      </w:pPr>
      <w:r>
        <w:rPr>
          <w:rFonts w:ascii="Cambria Math" w:eastAsia="宋体"/>
          <w:i/>
          <w:iCs/>
          <w:sz w:val="24"/>
          <w:szCs w:val="24"/>
        </w:rPr>
        <w:t xml:space="preserve">visibility = (1/n) · Σk  compare( d − bias,  depthMap(u + Δuk, v + Δvk) )</w:t>
      </w:r>
    </w:p>
    <w:p>
      <w:pPr>
        <w:spacing w:after="0" w:line="480" w:lineRule="exact"/>
        <w:ind w:firstLine="480"/>
        <w:jc w:val="both"/>
      </w:pPr>
      <w:r>
        <w:rPr>
          <w:rFonts w:ascii="Times New Roman" w:eastAsia="宋体"/>
          <w:sz w:val="24"/>
          <w:szCs w:val="24"/>
        </w:rPr>
        <w:t xml:space="preserve">实现上，主方向光开启阴影投射，阴影贴图分辨率设为 2048×2048（高于试卷要求的 1024×1024），渲染器采用 PCFSoftShadowMap 软阴影类型，并通过 shadow.bias 与 shadow.radius 参数调校以兼顾贴图精度与边缘平滑度。参数面板提供阴影开关，可实时对比有无阴影的渲染效果与性能（关闭阴影后 draw call 显著下降，验证了阴影通路的开销）。</w:t>
      </w:r>
    </w:p>
    <w:p>
      <w:pPr>
        <w:pStyle w:val="Heading1"/>
        <w:spacing w:after="120" w:before="240" w:line="480" w:lineRule="exact"/>
      </w:pPr>
      <w:r>
        <w:rPr>
          <w:rFonts w:ascii="SimHei" w:eastAsia="黑体"/>
          <w:b/>
          <w:bCs/>
          <w:sz w:val="32"/>
          <w:szCs w:val="32"/>
        </w:rPr>
        <w:t xml:space="preserve">四、其他关键技术</w:t>
      </w:r>
    </w:p>
    <w:p>
      <w:pPr>
        <w:spacing w:after="0" w:line="480" w:lineRule="exact"/>
        <w:ind w:firstLine="480"/>
        <w:jc w:val="both"/>
      </w:pPr>
      <w:r>
        <w:rPr>
          <w:rFonts w:ascii="Times New Roman" w:eastAsia="宋体"/>
          <w:sz w:val="24"/>
          <w:szCs w:val="24"/>
        </w:rPr>
        <w:t xml:space="preserve">Blender 建模与资产管线：全部模型由 bpy 脚本参数化生成并合并为自定义网格，导出 GLB 后用 GLTFLoader 载入，实现了"建模—导出—加载"的完整工作流；多材质模型在加载时会被拆分为多个子网格，拾取时按逻辑物体名整体高亮。</w:t>
      </w:r>
    </w:p>
    <w:p>
      <w:pPr>
        <w:spacing w:after="0" w:line="480" w:lineRule="exact"/>
        <w:ind w:firstLine="480"/>
        <w:jc w:val="both"/>
      </w:pPr>
      <w:r>
        <w:rPr>
          <w:rFonts w:ascii="Times New Roman" w:eastAsia="宋体"/>
          <w:sz w:val="24"/>
          <w:szCs w:val="24"/>
        </w:rPr>
        <w:t xml:space="preserve">后处理管线（FBO 离屏渲染）：基于 EffectComposer 串联多个 Pass，实现了 Bloom 辉光（基于亮度阈值的高斯模糊叠加）与自定义 Sobel 边缘检测两种特效，均支持参数面板实时调节强度，满足"至少两种后处理特效"的要求。</w:t>
      </w:r>
    </w:p>
    <w:p>
      <w:pPr>
        <w:spacing w:after="0" w:line="480" w:lineRule="exact"/>
        <w:ind w:firstLine="480"/>
        <w:jc w:val="both"/>
      </w:pPr>
      <w:r>
        <w:rPr>
          <w:rFonts w:ascii="Times New Roman" w:eastAsia="宋体"/>
          <w:sz w:val="24"/>
          <w:szCs w:val="24"/>
        </w:rPr>
        <w:t xml:space="preserve">交互与投影：实现屏幕中心射线拾取并对选中物体高亮、回显其材质参数；透视与正交两台相机共享位置与朝向，可一键切换投影方式，直观展示两种投影的几何差异。</w:t>
      </w:r>
    </w:p>
    <w:p>
      <w:pPr>
        <w:pStyle w:val="Heading1"/>
        <w:spacing w:after="120" w:before="240" w:line="480" w:lineRule="exact"/>
      </w:pPr>
      <w:r>
        <w:rPr>
          <w:rFonts w:ascii="SimHei" w:eastAsia="黑体"/>
          <w:b/>
          <w:bCs/>
          <w:sz w:val="32"/>
          <w:szCs w:val="32"/>
        </w:rPr>
        <w:t xml:space="preserve">五、难点与解决</w:t>
      </w:r>
    </w:p>
    <w:p>
      <w:pPr>
        <w:spacing w:after="0" w:line="480" w:lineRule="exact"/>
        <w:ind w:firstLine="480"/>
        <w:jc w:val="both"/>
      </w:pPr>
      <w:r>
        <w:rPr>
          <w:rFonts w:ascii="Times New Roman" w:eastAsia="宋体"/>
          <w:sz w:val="24"/>
          <w:szCs w:val="24"/>
        </w:rPr>
        <w:t xml:space="preserve">难点一：自定义 Blinn-Phong 在平整大面上的高光"洗白"。由于平面法向量恒定，半程向量在整个面上近似不变，导致镜面高光整片覆盖；叠加近距离台灯点光后表面被过度提亮。解决方法是适当提高高光指数 α、降低镜面系数 ks 与点光贡献权重，使高光收敛为更紧的亮斑，并保留了该现象作为与 PBR 对比的教学素材。</w:t>
      </w:r>
    </w:p>
    <w:p>
      <w:pPr>
        <w:spacing w:after="0" w:line="480" w:lineRule="exact"/>
        <w:ind w:firstLine="480"/>
        <w:jc w:val="both"/>
      </w:pPr>
      <w:r>
        <w:rPr>
          <w:rFonts w:ascii="Times New Roman" w:eastAsia="宋体"/>
          <w:sz w:val="24"/>
          <w:szCs w:val="24"/>
        </w:rPr>
        <w:t xml:space="preserve">难点二：后处理导致渲染统计失真。EffectComposer 的输出 Pass 会覆盖 renderer.info，使 draw call 统计仅反映最后一个全屏四边形。解决方法是关闭 info 的自动重置，在每帧起始手动重置，从而累计本帧所有渲染调用，得到真实的 draw call 与三角面数。</w:t>
      </w:r>
    </w:p>
    <w:p>
      <w:pPr>
        <w:spacing w:after="0" w:line="480" w:lineRule="exact"/>
        <w:ind w:firstLine="480"/>
        <w:jc w:val="both"/>
      </w:pPr>
      <w:r>
        <w:rPr>
          <w:rFonts w:ascii="Times New Roman" w:eastAsia="宋体"/>
          <w:sz w:val="24"/>
          <w:szCs w:val="24"/>
        </w:rPr>
        <w:t xml:space="preserve">难点三：Blender（Z-up）与 Three.js（Y-up）坐标系差异及多材质拆分。通过 glTF 导出时启用 Y-up 转换、并在加载后按物体名收集可拾取网格、为每个网格克隆独立材质，解决了坐标朝向与高亮串色问题。</w:t>
      </w:r>
    </w:p>
    <w:p>
      <w:pPr>
        <w:pStyle w:val="Heading1"/>
        <w:spacing w:after="120" w:before="240" w:line="480" w:lineRule="exact"/>
      </w:pPr>
      <w:r>
        <w:rPr>
          <w:rFonts w:ascii="SimHei" w:eastAsia="黑体"/>
          <w:b/>
          <w:bCs/>
          <w:sz w:val="32"/>
          <w:szCs w:val="32"/>
        </w:rPr>
        <w:t xml:space="preserve">六、效果对比分析</w:t>
      </w:r>
    </w:p>
    <w:p>
      <w:pPr>
        <w:spacing w:after="0" w:line="480" w:lineRule="exact"/>
        <w:ind w:firstLine="480"/>
        <w:jc w:val="both"/>
      </w:pPr>
      <w:r>
        <w:rPr>
          <w:rFonts w:ascii="Times New Roman" w:eastAsia="宋体"/>
          <w:sz w:val="24"/>
          <w:szCs w:val="24"/>
        </w:rPr>
        <w:t xml:space="preserve">PBR 与 Blinn-Phong 对比：PBR 基于微表面理论与能量守恒，金属/粗糙度可调，间接光与高光表现更接近真实；而自写 Blinn-Phong 计算简单、性能更优，但缺乏能量守恒，在强光下整体偏亮、明暗过渡较"硬"，平面高光更明显。二者一键切换的对比直观体现了经典经验模型与现代物理模型的差异。</w:t>
      </w:r>
    </w:p>
    <w:p>
      <w:pPr>
        <w:spacing w:after="0" w:line="480" w:lineRule="exact"/>
        <w:ind w:firstLine="480"/>
        <w:jc w:val="both"/>
      </w:pPr>
      <w:r>
        <w:rPr>
          <w:rFonts w:ascii="Times New Roman" w:eastAsia="宋体"/>
          <w:sz w:val="24"/>
          <w:szCs w:val="24"/>
        </w:rPr>
        <w:t xml:space="preserve">有无法线贴图对比：未启用时地面与墙面平滑无细节；启用后表面呈现出随光照变化的微观凹凸，真实感显著提升，而几何面数保持不变，验证了法线贴图"以纹理换细节"的高效性。</w:t>
      </w:r>
    </w:p>
    <w:p>
      <w:pPr>
        <w:spacing w:line="480" w:lineRule="exact"/>
        <w:jc w:val="center"/>
      </w:pPr>
      <w:r>
        <w:rPr>
          <w:rFonts w:eastAsia="楷体"/>
          <w:i/>
          <w:iCs/>
          <w:color w:val="888888"/>
          <w:sz w:val="21"/>
          <w:szCs w:val="21"/>
        </w:rPr>
        <w:t xml:space="preserve">【此处建议插入 3—4 张核心效果截图：①整体场景；②Blinn-Phong 与 PBR 对比；③法线贴图开/关对比；④阴影开/关对比】</w:t>
      </w:r>
    </w:p>
    <w:p>
      <w:pPr>
        <w:pStyle w:val="Heading1"/>
        <w:spacing w:after="120" w:before="240" w:line="480" w:lineRule="exact"/>
      </w:pPr>
      <w:r>
        <w:rPr>
          <w:rFonts w:ascii="SimHei" w:eastAsia="黑体"/>
          <w:b/>
          <w:bCs/>
          <w:sz w:val="32"/>
          <w:szCs w:val="32"/>
        </w:rPr>
        <w:t xml:space="preserve">七、项目反思与未来优化</w:t>
      </w:r>
    </w:p>
    <w:p>
      <w:pPr>
        <w:spacing w:after="0" w:line="480" w:lineRule="exact"/>
        <w:ind w:firstLine="480"/>
        <w:jc w:val="both"/>
      </w:pPr>
      <w:r>
        <w:rPr>
          <w:rFonts w:ascii="Times New Roman" w:eastAsia="宋体"/>
          <w:sz w:val="24"/>
          <w:szCs w:val="24"/>
        </w:rPr>
        <w:t xml:space="preserve">本项目较完整地实现了基础渲染系统与多项高级渲染特效，但仍有可优化空间：其一，可引入 LOD（细节层次）与视锥/背面剔除进一步提升大场景下的帧率；其二，可将经验性的 Blinn-Phong 升级为完整的 Cook-Torrance 微表面 BRDF，并加入基于图像的环境光照（IBL）与 SSAO 以增强空间感；其三，可补充几何着色器驱动的动态网格或实例化渲染以表现植被、人群等复杂场景。通过本次实践，本人深入理解了实时渲染管线、局部光照模型与阴影/法线等关键技术的数学原理与工程取舍，为后续学习基于物理的渲染（PBR）与全局光照打下了基础。</w:t>
      </w:r>
    </w:p>
    <w:p>
      <w:pPr>
        <w:pStyle w:val="Heading1"/>
        <w:spacing w:after="120" w:before="240" w:line="480" w:lineRule="exact"/>
      </w:pPr>
      <w:r>
        <w:rPr>
          <w:rFonts w:ascii="SimHei" w:eastAsia="黑体"/>
          <w:b/>
          <w:bCs/>
          <w:sz w:val="32"/>
          <w:szCs w:val="32"/>
        </w:rPr>
        <w:t xml:space="preserve">八、参考文献</w:t>
      </w:r>
    </w:p>
    <w:p>
      <w:pPr>
        <w:spacing w:line="480" w:lineRule="exact"/>
        <w:ind w:left="480" w:hanging="480"/>
        <w:jc w:val="both"/>
      </w:pPr>
      <w:r>
        <w:rPr>
          <w:rFonts w:ascii="Times New Roman" w:eastAsia="宋体"/>
          <w:sz w:val="21"/>
          <w:szCs w:val="21"/>
        </w:rPr>
        <w:t xml:space="preserve">[1] Phong B T. Illumination for Computer Generated Pictures[J]. Communications of the ACM, 1975, 18(6): 311-317.</w:t>
      </w:r>
    </w:p>
    <w:p>
      <w:pPr>
        <w:spacing w:line="480" w:lineRule="exact"/>
        <w:ind w:left="480" w:hanging="480"/>
        <w:jc w:val="both"/>
      </w:pPr>
      <w:r>
        <w:rPr>
          <w:rFonts w:ascii="Times New Roman" w:eastAsia="宋体"/>
          <w:sz w:val="21"/>
          <w:szCs w:val="21"/>
        </w:rPr>
        <w:t xml:space="preserve">[2] Blinn J F. Models of Light Reflection for Computer Synthesized Pictures[C]. SIGGRAPH, 1977: 192-198.</w:t>
      </w:r>
    </w:p>
    <w:p>
      <w:pPr>
        <w:spacing w:line="480" w:lineRule="exact"/>
        <w:ind w:left="480" w:hanging="480"/>
        <w:jc w:val="both"/>
      </w:pPr>
      <w:r>
        <w:rPr>
          <w:rFonts w:ascii="Times New Roman" w:eastAsia="宋体"/>
          <w:sz w:val="21"/>
          <w:szCs w:val="21"/>
        </w:rPr>
        <w:t xml:space="preserve">[3] Williams L. Casting Curved Shadows on Curved Surfaces[C]. SIGGRAPH, 1978: 270-274.</w:t>
      </w:r>
    </w:p>
    <w:p>
      <w:pPr>
        <w:spacing w:line="480" w:lineRule="exact"/>
        <w:ind w:left="480" w:hanging="480"/>
        <w:jc w:val="both"/>
      </w:pPr>
      <w:r>
        <w:rPr>
          <w:rFonts w:ascii="Times New Roman" w:eastAsia="宋体"/>
          <w:sz w:val="21"/>
          <w:szCs w:val="21"/>
        </w:rPr>
        <w:t xml:space="preserve">[4] Reeves W T, Salesin D H, Cook R L. Rendering Antialiased Shadows with Depth Maps[C]. SIGGRAPH, 1987: 283-291.</w:t>
      </w:r>
    </w:p>
    <w:p>
      <w:pPr>
        <w:spacing w:line="480" w:lineRule="exact"/>
        <w:ind w:left="480" w:hanging="480"/>
        <w:jc w:val="both"/>
      </w:pPr>
      <w:r>
        <w:rPr>
          <w:rFonts w:ascii="Times New Roman" w:eastAsia="宋体"/>
          <w:sz w:val="21"/>
          <w:szCs w:val="21"/>
        </w:rPr>
        <w:t xml:space="preserve">[5] Pharr M, Jakob W, Humphreys G. Physically Based Rendering: From Theory to Implementation[M]. 4th ed. MIT Press, 2023.</w:t>
      </w:r>
    </w:p>
    <w:p>
      <w:pPr>
        <w:spacing w:line="480" w:lineRule="exact"/>
        <w:ind w:left="480" w:hanging="480"/>
        <w:jc w:val="both"/>
      </w:pPr>
      <w:r>
        <w:rPr>
          <w:rFonts w:ascii="Times New Roman" w:eastAsia="宋体"/>
          <w:sz w:val="21"/>
          <w:szCs w:val="21"/>
        </w:rPr>
        <w:t xml:space="preserve">[6] Akenine-Möller T, Haines E, Hoffman N, et al. Real-Time Rendering[M]. 4th ed. CRC Press, 2018.</w:t>
      </w:r>
    </w:p>
    <w:p>
      <w:pPr>
        <w:spacing w:line="480" w:lineRule="exact"/>
        <w:ind w:left="480" w:hanging="480"/>
        <w:jc w:val="both"/>
      </w:pPr>
      <w:r>
        <w:rPr>
          <w:rFonts w:ascii="Times New Roman" w:eastAsia="宋体"/>
          <w:sz w:val="21"/>
          <w:szCs w:val="21"/>
        </w:rPr>
        <w:t xml:space="preserve">[7] three.js Documentation[EB/OL]. https://threejs.org/docs/.</w:t>
      </w:r>
    </w:p>
    <w:sectPr>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2026-06-23T12:09:23.148Z</dcterms:created>
  <dcterms:modified xsi:type="dcterms:W3CDTF">2026-06-23T12:09:23.150Z</dcterms:modified>
</cp:coreProperties>
</file>

<file path=docProps/custom.xml><?xml version="1.0" encoding="utf-8"?>
<Properties xmlns="http://schemas.openxmlformats.org/officeDocument/2006/custom-properties" xmlns:vt="http://schemas.openxmlformats.org/officeDocument/2006/docPropsVTypes"/>
</file>