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A902" w14:textId="3E5DBC49" w:rsidR="00EC28EE" w:rsidRDefault="006C5B26" w:rsidP="006C5B26">
      <w:pPr>
        <w:jc w:val="center"/>
      </w:pPr>
      <w:r>
        <w:rPr>
          <w:rFonts w:hint="eastAsia"/>
        </w:rPr>
        <w:t>MAC539-HW</w:t>
      </w:r>
      <w:r w:rsidR="0039711D">
        <w:rPr>
          <w:rFonts w:hint="eastAsia"/>
        </w:rPr>
        <w:t>3</w:t>
      </w:r>
      <w:r>
        <w:rPr>
          <w:rFonts w:hint="eastAsia"/>
        </w:rPr>
        <w:t>-2025020399-송종빈</w:t>
      </w:r>
    </w:p>
    <w:p w14:paraId="49B440CD" w14:textId="61E11A9A" w:rsidR="006C5B26" w:rsidRDefault="006C5B26" w:rsidP="006C5B26">
      <w:pPr>
        <w:pStyle w:val="a3"/>
      </w:pPr>
      <w:r>
        <w:rPr>
          <w:rFonts w:hint="eastAsia"/>
        </w:rPr>
        <w:t xml:space="preserve">MAC539: </w:t>
      </w:r>
      <w:r w:rsidR="0039711D">
        <w:rPr>
          <w:rFonts w:hint="eastAsia"/>
        </w:rPr>
        <w:t>4</w:t>
      </w:r>
      <w:r>
        <w:rPr>
          <w:rFonts w:hint="eastAsia"/>
        </w:rPr>
        <w:t>주차 생각노트</w:t>
      </w:r>
    </w:p>
    <w:p w14:paraId="12341525" w14:textId="78499B95" w:rsidR="006C5B26" w:rsidRPr="00122F18" w:rsidRDefault="006C5B26" w:rsidP="006C5B26">
      <w:pPr>
        <w:rPr>
          <w:b/>
          <w:bCs/>
        </w:rPr>
      </w:pPr>
      <w:r w:rsidRPr="00122F18">
        <w:rPr>
          <w:rFonts w:hint="eastAsia"/>
          <w:b/>
          <w:bCs/>
        </w:rPr>
        <w:t>Synthesis</w:t>
      </w:r>
    </w:p>
    <w:p w14:paraId="5E530141" w14:textId="5A7863E6" w:rsidR="000300B6" w:rsidRDefault="00FA5C8E" w:rsidP="006C5B26">
      <w:r w:rsidRPr="00FA5C8E">
        <w:t xml:space="preserve">전통적 젠더 역할 규범은 정치 및 온라인 소통 환경에서 혐오와 양극화를 </w:t>
      </w:r>
      <w:proofErr w:type="spellStart"/>
      <w:r w:rsidRPr="00FA5C8E">
        <w:t>추동한다</w:t>
      </w:r>
      <w:proofErr w:type="spellEnd"/>
      <w:r w:rsidRPr="00FA5C8E">
        <w:t>. 사회적 역할 이론(SRT)에 따르면 남성은 주도적(agentic) 특성을, 여성은 공동체적(communal) 특성을 갖도록 사회화되며, 이는 남성 중심의 정치 영역에서 여성의 참여를 제한한다</w:t>
      </w:r>
      <w:r w:rsidR="000300B6">
        <w:rPr>
          <w:rFonts w:hint="eastAsia"/>
        </w:rPr>
        <w:t xml:space="preserve">. </w:t>
      </w:r>
      <w:r w:rsidRPr="00FA5C8E">
        <w:t>이때 젠더는 단일하게 작용하</w:t>
      </w:r>
      <w:r>
        <w:rPr>
          <w:rFonts w:hint="eastAsia"/>
        </w:rPr>
        <w:t xml:space="preserve">지 않고 </w:t>
      </w:r>
      <w:r w:rsidRPr="00FA5C8E">
        <w:t>인종, 민족, 계급 등 다른 정치적 정체성들과 교차하여 복합적인 편견을 형성한다</w:t>
      </w:r>
      <w:r>
        <w:rPr>
          <w:rFonts w:hint="eastAsia"/>
        </w:rPr>
        <w:t xml:space="preserve">. </w:t>
      </w:r>
      <w:r w:rsidR="000300B6" w:rsidRPr="000300B6">
        <w:t xml:space="preserve">특히 역할 </w:t>
      </w:r>
      <w:proofErr w:type="spellStart"/>
      <w:r w:rsidR="000300B6" w:rsidRPr="000300B6">
        <w:t>일치성</w:t>
      </w:r>
      <w:proofErr w:type="spellEnd"/>
      <w:r w:rsidR="000300B6" w:rsidRPr="000300B6">
        <w:t xml:space="preserve"> 이론(RCT)은 지도자에게 요구되는 주도적 특성과 여성에게 기대되는 공동체적 특성 간의 불일치가 발생할 때, 유권자와 엘리트들이 여성 정치인에게 편견과 반발(backlash)을 보임을 설명한다</w:t>
      </w:r>
      <w:r w:rsidR="000300B6">
        <w:rPr>
          <w:rFonts w:hint="eastAsia"/>
        </w:rPr>
        <w:t>.</w:t>
      </w:r>
    </w:p>
    <w:p w14:paraId="23CF3EC3" w14:textId="173686B8" w:rsidR="00FA5C8E" w:rsidRDefault="00FA5C8E" w:rsidP="006C5B26">
      <w:pPr>
        <w:rPr>
          <w:rFonts w:hint="eastAsia"/>
        </w:rPr>
      </w:pPr>
      <w:r w:rsidRPr="00FA5C8E">
        <w:t>이러한 고정관념이 전략적으로 동원된다. 2016</w:t>
      </w:r>
      <w:r>
        <w:rPr>
          <w:rFonts w:hint="eastAsia"/>
        </w:rPr>
        <w:t xml:space="preserve">년 </w:t>
      </w:r>
      <w:r w:rsidRPr="00FA5C8E">
        <w:t>트럼프가 "</w:t>
      </w:r>
      <w:proofErr w:type="spellStart"/>
      <w:r w:rsidRPr="00FA5C8E">
        <w:t>우먼</w:t>
      </w:r>
      <w:proofErr w:type="spellEnd"/>
      <w:r w:rsidRPr="00FA5C8E">
        <w:t xml:space="preserve"> 카드(woman card)"를 쓴다고 공격한 사례는 성차별주의가 지닌 </w:t>
      </w:r>
      <w:proofErr w:type="spellStart"/>
      <w:r w:rsidRPr="00FA5C8E">
        <w:t>양가성</w:t>
      </w:r>
      <w:proofErr w:type="spellEnd"/>
      <w:r w:rsidRPr="00FA5C8E">
        <w:t>(ambivalence)을 잘 보여준다</w:t>
      </w:r>
      <w:r>
        <w:rPr>
          <w:rFonts w:hint="eastAsia"/>
        </w:rPr>
        <w:t xml:space="preserve">. </w:t>
      </w:r>
      <w:r w:rsidRPr="00FA5C8E">
        <w:t xml:space="preserve">이 공격은 적대적 성차별주의 성향의 유권자들을 결집시킨 반면, 온정적 성차별주의 성향의 사람들에게는 여성을 보호해야 한다는 규범 위반으로 비쳐 오히려 </w:t>
      </w:r>
      <w:proofErr w:type="spellStart"/>
      <w:r w:rsidRPr="00FA5C8E">
        <w:t>클린턴에</w:t>
      </w:r>
      <w:proofErr w:type="spellEnd"/>
      <w:r w:rsidRPr="00FA5C8E">
        <w:t xml:space="preserve"> 대한 지지를 높이고 캠페인에 불안감을 느끼게 하는 복합적인 효과를 낳았다</w:t>
      </w:r>
      <w:r>
        <w:rPr>
          <w:rFonts w:hint="eastAsia"/>
        </w:rPr>
        <w:t>.</w:t>
      </w:r>
    </w:p>
    <w:p w14:paraId="61F24447" w14:textId="77691D52" w:rsidR="00FA5C8E" w:rsidRDefault="000300B6" w:rsidP="006C5B26">
      <w:r w:rsidRPr="000300B6">
        <w:t xml:space="preserve">이러한 엄격한 젠더 규범은 </w:t>
      </w:r>
      <w:proofErr w:type="spellStart"/>
      <w:r w:rsidRPr="000300B6">
        <w:t>여성뿐만</w:t>
      </w:r>
      <w:proofErr w:type="spellEnd"/>
      <w:r w:rsidRPr="000300B6">
        <w:t xml:space="preserve"> 아니라 남성에게도 부정적인 영향을 미친다. </w:t>
      </w:r>
      <w:proofErr w:type="spellStart"/>
      <w:r w:rsidRPr="000300B6">
        <w:t>매노스피어</w:t>
      </w:r>
      <w:proofErr w:type="spellEnd"/>
      <w:r w:rsidRPr="000300B6">
        <w:t xml:space="preserve">(Manosphere)와 </w:t>
      </w:r>
      <w:proofErr w:type="spellStart"/>
      <w:r w:rsidRPr="000300B6">
        <w:t>레드필</w:t>
      </w:r>
      <w:proofErr w:type="spellEnd"/>
      <w:r w:rsidRPr="000300B6">
        <w:t>(Red Pill) 이데올로기에 빠져드는 젊은 남성들은 이데올로기 자체의 매력보다는 연애 실패나 남성적 위계에서의 소외 등 자신이 겪는 '취약성(vulnerability)'을 극복하기 위해 극단주의에 매몰된다</w:t>
      </w:r>
      <w:r>
        <w:rPr>
          <w:rFonts w:hint="eastAsia"/>
        </w:rPr>
        <w:t xml:space="preserve">. </w:t>
      </w:r>
      <w:r w:rsidR="00FA5C8E" w:rsidRPr="00FA5C8E">
        <w:t xml:space="preserve">그러나 여성을 본질적으로 환원하고 남성 우월주의를 조장하는 </w:t>
      </w:r>
      <w:proofErr w:type="spellStart"/>
      <w:r w:rsidR="00FA5C8E" w:rsidRPr="00FA5C8E">
        <w:t>레드필</w:t>
      </w:r>
      <w:proofErr w:type="spellEnd"/>
      <w:r w:rsidR="00FA5C8E" w:rsidRPr="00FA5C8E">
        <w:t xml:space="preserve"> 이데올로기는 남성들의 관계적 취약성을 </w:t>
      </w:r>
      <w:proofErr w:type="spellStart"/>
      <w:r w:rsidR="00FA5C8E" w:rsidRPr="00FA5C8E">
        <w:t>심화시킬</w:t>
      </w:r>
      <w:proofErr w:type="spellEnd"/>
      <w:r w:rsidR="00FA5C8E" w:rsidRPr="00FA5C8E">
        <w:t xml:space="preserve"> 뿐이며, 결국 일부 남성들은 이데올로기의 모순을 깨닫거나 정신 건강 및 인간관계의 훼손을 겪으면서 해당 집단에서 이탈하게 되는 한계를 지닌다</w:t>
      </w:r>
      <w:r w:rsidR="00FA5C8E">
        <w:rPr>
          <w:rFonts w:hint="eastAsia"/>
        </w:rPr>
        <w:t>.</w:t>
      </w:r>
    </w:p>
    <w:p w14:paraId="4FE41544" w14:textId="67AE330B" w:rsidR="00FA5C8E" w:rsidRDefault="00FA5C8E" w:rsidP="006C5B26">
      <w:r w:rsidRPr="00FA5C8E">
        <w:t>한편, 젠더 차별과 여성 혐오에 대항하기 위해 여성주의 진영에서는 '</w:t>
      </w:r>
      <w:proofErr w:type="spellStart"/>
      <w:r w:rsidRPr="00FA5C8E">
        <w:t>미러링</w:t>
      </w:r>
      <w:proofErr w:type="spellEnd"/>
      <w:r w:rsidRPr="00FA5C8E">
        <w:t xml:space="preserve">(mirroring)' 전략을 채택하기도 했다. </w:t>
      </w:r>
      <w:proofErr w:type="spellStart"/>
      <w:r w:rsidRPr="00FA5C8E">
        <w:t>미러링은</w:t>
      </w:r>
      <w:proofErr w:type="spellEnd"/>
      <w:r w:rsidRPr="00FA5C8E">
        <w:t xml:space="preserve"> 심리치료의 거울기법(mirroring technique)에 무례한 표현(incivility)을 결합하여 혐오 발언을 반사하는 방식이다</w:t>
      </w:r>
      <w:r>
        <w:rPr>
          <w:rFonts w:hint="eastAsia"/>
        </w:rPr>
        <w:t xml:space="preserve">. </w:t>
      </w:r>
      <w:r w:rsidRPr="00FA5C8E">
        <w:t xml:space="preserve">그러나 실증적 연구에 따르면, 무례함이 동반된 </w:t>
      </w:r>
      <w:proofErr w:type="spellStart"/>
      <w:r w:rsidRPr="00FA5C8E">
        <w:t>미러링은</w:t>
      </w:r>
      <w:proofErr w:type="spellEnd"/>
      <w:r w:rsidRPr="00FA5C8E">
        <w:t xml:space="preserve"> 발화자인 여성 본인들의 집합적 효능감(collective efficacy)을 유의미하게 증가시키지 못했고, 청자인 남성들의 본질적인 관점 수용(perspective-taking)도 이끌어내지 못했다. 도리어 남성들의 젠더 문제에 대한 관심을 효과적으로 환기시킨 것은 무례함이 배제된 '온건한 거울기법(civil mirroring)'이었다. 결론적으로 견고한 젠더 규범과 파생된 취약성은 개인을 </w:t>
      </w:r>
      <w:proofErr w:type="spellStart"/>
      <w:r w:rsidRPr="00FA5C8E">
        <w:t>극단화시키며</w:t>
      </w:r>
      <w:proofErr w:type="spellEnd"/>
      <w:r w:rsidRPr="00FA5C8E">
        <w:t xml:space="preserve">, 이를 활용한 무례하고 적대적인 소통 방식은 공감을 이끌어내기보다는 집단 갈등을 </w:t>
      </w:r>
      <w:proofErr w:type="spellStart"/>
      <w:r w:rsidRPr="00FA5C8E">
        <w:t>심화시키므로</w:t>
      </w:r>
      <w:proofErr w:type="spellEnd"/>
      <w:r w:rsidRPr="00FA5C8E">
        <w:t xml:space="preserve"> 대안적인 소통 접근이 필요하다.</w:t>
      </w:r>
    </w:p>
    <w:p w14:paraId="5393FA18" w14:textId="7F908DD6" w:rsidR="006C5B26" w:rsidRPr="00670EA3" w:rsidRDefault="006C5B26" w:rsidP="006C5B26">
      <w:pPr>
        <w:rPr>
          <w:b/>
          <w:bCs/>
        </w:rPr>
      </w:pPr>
      <w:r w:rsidRPr="00670EA3">
        <w:rPr>
          <w:rFonts w:hint="eastAsia"/>
          <w:b/>
          <w:bCs/>
        </w:rPr>
        <w:lastRenderedPageBreak/>
        <w:t>Learning Points</w:t>
      </w:r>
      <w:r w:rsidR="00670EA3" w:rsidRPr="00670EA3">
        <w:rPr>
          <w:rFonts w:hint="eastAsia"/>
          <w:b/>
          <w:bCs/>
        </w:rPr>
        <w:t xml:space="preserve"> &amp; Questions</w:t>
      </w:r>
    </w:p>
    <w:p w14:paraId="6A4966DE" w14:textId="77777777" w:rsidR="000300B6" w:rsidRPr="000300B6" w:rsidRDefault="000300B6" w:rsidP="000300B6">
      <w:r w:rsidRPr="000300B6">
        <w:t>지난 3주차 생각노트에서 목표했던 'AI를 미디어 행위자로 바라보고 인지적, 정서적 한계를 보완하기 위한 시스템적 개입(nudging)을 탐구'하는 연구 방향성과 이번 주차의 젠더 및 소통 심리학 논의를 연결해보고자 한다</w:t>
      </w:r>
      <w:r>
        <w:rPr>
          <w:rFonts w:hint="eastAsia"/>
        </w:rPr>
        <w:t xml:space="preserve">. </w:t>
      </w:r>
      <w:r w:rsidRPr="000300B6">
        <w:t xml:space="preserve">현재 많은 생성형 AI와 </w:t>
      </w:r>
      <w:proofErr w:type="spellStart"/>
      <w:r w:rsidRPr="000300B6">
        <w:t>챗봇들이</w:t>
      </w:r>
      <w:proofErr w:type="spellEnd"/>
      <w:r w:rsidRPr="000300B6">
        <w:t xml:space="preserve"> 여성의 목소리나 페르소나를 기본값으로 채택하고 있으며, 점차 정치, 법률, 의료 등 주도적(agentic) 의사결정이 필요한 리더십 영역으로 AI의 활용 범위가 확장되고 있다.</w:t>
      </w:r>
    </w:p>
    <w:p w14:paraId="1CFC496A" w14:textId="4CDC01A5" w:rsidR="000300B6" w:rsidRDefault="000300B6" w:rsidP="000300B6">
      <w:r w:rsidRPr="000300B6">
        <w:t xml:space="preserve">만약 AI가 여성적 특성으로 </w:t>
      </w:r>
      <w:proofErr w:type="spellStart"/>
      <w:r w:rsidRPr="000300B6">
        <w:t>범주화된</w:t>
      </w:r>
      <w:proofErr w:type="spellEnd"/>
      <w:r w:rsidRPr="000300B6">
        <w:t xml:space="preserve"> 상태에서 강한 주도성과 단호함(예: 정치적 토론에서의 논박이나 </w:t>
      </w:r>
      <w:proofErr w:type="spellStart"/>
      <w:r w:rsidRPr="000300B6">
        <w:t>팩트체크</w:t>
      </w:r>
      <w:proofErr w:type="spellEnd"/>
      <w:r w:rsidRPr="000300B6">
        <w:t xml:space="preserve">)을 보일 경우, 사용자들은 인간 여성 정치인에게 적용했던 역할 </w:t>
      </w:r>
      <w:proofErr w:type="spellStart"/>
      <w:r w:rsidRPr="000300B6">
        <w:t>일치성</w:t>
      </w:r>
      <w:proofErr w:type="spellEnd"/>
      <w:r w:rsidRPr="000300B6">
        <w:t xml:space="preserve"> 이론(RCT)에 따른 편견과 반발을 AI에게도 동일하게 투사할 가능성이 높다</w:t>
      </w:r>
      <w:r>
        <w:rPr>
          <w:rFonts w:hint="eastAsia"/>
        </w:rPr>
        <w:t xml:space="preserve">. </w:t>
      </w:r>
      <w:r w:rsidRPr="000300B6">
        <w:t xml:space="preserve">또한, 혐오 발언이나 극단주의적 편향을 교정하기 위해 AI </w:t>
      </w:r>
      <w:proofErr w:type="spellStart"/>
      <w:r w:rsidRPr="000300B6">
        <w:t>모더레이터가</w:t>
      </w:r>
      <w:proofErr w:type="spellEnd"/>
      <w:r w:rsidRPr="000300B6">
        <w:t xml:space="preserve"> 무례한 거울기법(</w:t>
      </w:r>
      <w:proofErr w:type="spellStart"/>
      <w:r w:rsidRPr="000300B6">
        <w:t>미러링</w:t>
      </w:r>
      <w:proofErr w:type="spellEnd"/>
      <w:r w:rsidRPr="000300B6">
        <w:t xml:space="preserve">)을 전략적으로 모사하거나 공격적인 </w:t>
      </w:r>
      <w:proofErr w:type="spellStart"/>
      <w:r w:rsidRPr="000300B6">
        <w:t>팩트체킹을</w:t>
      </w:r>
      <w:proofErr w:type="spellEnd"/>
      <w:r w:rsidRPr="000300B6">
        <w:t xml:space="preserve"> 수행한다면, 인간 간의 소통에서 관찰되었듯 유저의 관점 수용(perspective-taking)을 이끌어내지 못하고 오히려 반발심만 극대화할 수 있다</w:t>
      </w:r>
      <w:r>
        <w:rPr>
          <w:rFonts w:hint="eastAsia"/>
        </w:rPr>
        <w:t xml:space="preserve">. </w:t>
      </w:r>
      <w:r w:rsidRPr="000300B6">
        <w:t>결국 AI 시스템의 설계에 있어서도 인간이 지닌 젠더 편향과 취약성을 어떻게 우회하여 건설적인 숙의를 유도할 것인지가 핵심적인 과제가 된다.</w:t>
      </w:r>
    </w:p>
    <w:p w14:paraId="24DCF04E" w14:textId="7EBF9F7D" w:rsidR="003C0A5E" w:rsidRPr="003C0A5E" w:rsidRDefault="000300B6" w:rsidP="000300B6">
      <w:r w:rsidRPr="003C0A5E">
        <w:rPr>
          <w:b/>
          <w:bCs/>
        </w:rPr>
        <w:t>Q1</w:t>
      </w:r>
      <w:r w:rsidRPr="003C0A5E">
        <w:t xml:space="preserve">. </w:t>
      </w:r>
      <w:r w:rsidR="003C0A5E" w:rsidRPr="003C0A5E">
        <w:t xml:space="preserve">여성 페르소나를 지닌 AI 에이전트(뉴스 앵커 등)가 주도적(agentic)이고 단호한 정치적 </w:t>
      </w:r>
      <w:proofErr w:type="spellStart"/>
      <w:r w:rsidR="003C0A5E" w:rsidRPr="003C0A5E">
        <w:t>팩트체킹을</w:t>
      </w:r>
      <w:proofErr w:type="spellEnd"/>
      <w:r w:rsidR="003C0A5E" w:rsidRPr="003C0A5E">
        <w:t xml:space="preserve"> 수행할 때, 사용자의 '적대적/온정적 성차별주의' 성향에 따라 AI에 대한 신뢰도 및 반발(backlash)은 어떻게 다르게 측정될 수 있을까? 나아가 AI의 인종(예: 흑인 vs 백인)이나 직업적 지위(예: 전문가 vs 일반인)를 교차(intersectionality)하여 설정한다면, RCT에 따른 편견을 유의미하게 상쇄할 수 있는 페르소나 조합 조건은 무엇일까?</w:t>
      </w:r>
    </w:p>
    <w:p w14:paraId="713569A1" w14:textId="77777777" w:rsidR="003C0A5E" w:rsidRDefault="000300B6" w:rsidP="000300B6">
      <w:r w:rsidRPr="003C0A5E">
        <w:rPr>
          <w:b/>
          <w:bCs/>
        </w:rPr>
        <w:t>Q2</w:t>
      </w:r>
      <w:r w:rsidRPr="000300B6">
        <w:t xml:space="preserve">. </w:t>
      </w:r>
      <w:r w:rsidR="003C0A5E" w:rsidRPr="003C0A5E">
        <w:rPr>
          <w:rFonts w:hint="eastAsia"/>
        </w:rPr>
        <w:t>남성</w:t>
      </w:r>
      <w:r w:rsidR="003C0A5E" w:rsidRPr="003C0A5E">
        <w:t xml:space="preserve"> 커뮤니티 내 혐오 발언을 제재하는 AI </w:t>
      </w:r>
      <w:proofErr w:type="spellStart"/>
      <w:r w:rsidR="003C0A5E" w:rsidRPr="003C0A5E">
        <w:t>모더레이터를</w:t>
      </w:r>
      <w:proofErr w:type="spellEnd"/>
      <w:r w:rsidR="003C0A5E" w:rsidRPr="003C0A5E">
        <w:t xml:space="preserve"> 설계할 때, 사용자의 '취약성'을 인정해주는 온건한 거울기법 프롬프트와 단순히 규정 위반을 경고하는 프롬프트 중 어느 것이 혐오 발언 감소 및 극단주의 이탈 유도에 더 효과적일까? 반대로 AI가 기존의 무례한 </w:t>
      </w:r>
      <w:proofErr w:type="spellStart"/>
      <w:r w:rsidR="003C0A5E" w:rsidRPr="003C0A5E">
        <w:t>미러링을</w:t>
      </w:r>
      <w:proofErr w:type="spellEnd"/>
      <w:r w:rsidR="003C0A5E" w:rsidRPr="003C0A5E">
        <w:t xml:space="preserve"> 모사하도록 실험 처치한다면, 인간 간의 </w:t>
      </w:r>
      <w:proofErr w:type="spellStart"/>
      <w:r w:rsidR="003C0A5E" w:rsidRPr="003C0A5E">
        <w:t>소통에서처럼</w:t>
      </w:r>
      <w:proofErr w:type="spellEnd"/>
      <w:r w:rsidR="003C0A5E" w:rsidRPr="003C0A5E">
        <w:t xml:space="preserve"> </w:t>
      </w:r>
      <w:proofErr w:type="spellStart"/>
      <w:r w:rsidR="003C0A5E" w:rsidRPr="003C0A5E">
        <w:t>외집단</w:t>
      </w:r>
      <w:proofErr w:type="spellEnd"/>
      <w:r w:rsidR="003C0A5E" w:rsidRPr="003C0A5E">
        <w:t xml:space="preserve">(여성)에 대한 사용자의 부정적 감정만을 증폭시키는 </w:t>
      </w:r>
      <w:r w:rsidR="003C0A5E" w:rsidRPr="003C0A5E">
        <w:rPr>
          <w:rFonts w:hint="eastAsia"/>
        </w:rPr>
        <w:t>역효과가</w:t>
      </w:r>
      <w:r w:rsidR="003C0A5E" w:rsidRPr="003C0A5E">
        <w:t xml:space="preserve"> 동일하게 실증될 것인가?</w:t>
      </w:r>
    </w:p>
    <w:p w14:paraId="2922276C" w14:textId="77777777" w:rsidR="003C0A5E" w:rsidRDefault="003C0A5E" w:rsidP="003C0A5E">
      <w:r>
        <w:rPr>
          <w:rFonts w:hint="eastAsia"/>
        </w:rPr>
        <w:t xml:space="preserve">이론적 함의: </w:t>
      </w:r>
      <w:r w:rsidRPr="00FA5C8E">
        <w:t xml:space="preserve">기존의 역할 </w:t>
      </w:r>
      <w:proofErr w:type="spellStart"/>
      <w:r w:rsidRPr="00FA5C8E">
        <w:t>일치성</w:t>
      </w:r>
      <w:proofErr w:type="spellEnd"/>
      <w:r w:rsidRPr="00FA5C8E">
        <w:t xml:space="preserve"> 이론(RCT)이나 </w:t>
      </w:r>
      <w:proofErr w:type="spellStart"/>
      <w:r w:rsidRPr="00FA5C8E">
        <w:t>미러링</w:t>
      </w:r>
      <w:proofErr w:type="spellEnd"/>
      <w:r w:rsidRPr="00FA5C8E">
        <w:t xml:space="preserve"> 전략의 역효과는 '인간 대 인간'의 커뮤니케이션을 전제로 연구되어 왔다. 본 연구는 이러한 정치 심리학적 젠더 이론이 '인간 대 비인간(AI)'의 상호작용에도 동일하게 전이되는지 확인하여, 젠더 편향 및 </w:t>
      </w:r>
      <w:proofErr w:type="spellStart"/>
      <w:r w:rsidRPr="00FA5C8E">
        <w:t>교차성</w:t>
      </w:r>
      <w:proofErr w:type="spellEnd"/>
      <w:r w:rsidRPr="00FA5C8E">
        <w:t xml:space="preserve"> 이론의 적용 범위를 인간-컴퓨터 상호작용(HCI) 영역으로 확장한다는 데 의의가 있다.</w:t>
      </w:r>
    </w:p>
    <w:p w14:paraId="1E4F1D4C" w14:textId="77777777" w:rsidR="003C0A5E" w:rsidRPr="000300B6" w:rsidRDefault="003C0A5E" w:rsidP="003C0A5E">
      <w:pPr>
        <w:rPr>
          <w:rFonts w:hint="eastAsia"/>
        </w:rPr>
      </w:pPr>
      <w:r>
        <w:rPr>
          <w:rFonts w:hint="eastAsia"/>
        </w:rPr>
        <w:t xml:space="preserve">실천적 함의: </w:t>
      </w:r>
      <w:r w:rsidRPr="00FA5C8E">
        <w:t xml:space="preserve">생성형 AI가 </w:t>
      </w:r>
      <w:proofErr w:type="spellStart"/>
      <w:r w:rsidRPr="00FA5C8E">
        <w:t>모더레이터로</w:t>
      </w:r>
      <w:proofErr w:type="spellEnd"/>
      <w:r w:rsidRPr="00FA5C8E">
        <w:t xml:space="preserve"> 활약할 근미래에, AI 페르소나에 무비판적으로 여성성을 부여하거나 공격적인 </w:t>
      </w:r>
      <w:proofErr w:type="spellStart"/>
      <w:r w:rsidRPr="00FA5C8E">
        <w:t>팩트체크</w:t>
      </w:r>
      <w:proofErr w:type="spellEnd"/>
      <w:r w:rsidRPr="00FA5C8E">
        <w:t xml:space="preserve"> 방식을 도입하는 것은 오히려 유권자의 반발심(backlash)을 조장할 수 있다. 이는 대중의 편향을 자극하지 않으면서도 공론장의 숙의를 돕는 AI 소통 가이드라인 설계에 실질적인 기준을 제공할 것이다.</w:t>
      </w:r>
    </w:p>
    <w:p w14:paraId="54AB2728" w14:textId="260A38E5" w:rsidR="00B960F7" w:rsidRDefault="00B960F7" w:rsidP="000300B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br w:type="page"/>
      </w:r>
    </w:p>
    <w:p w14:paraId="04D31DA8" w14:textId="018B3634" w:rsidR="006C5B26" w:rsidRPr="001B477F" w:rsidRDefault="006C5B26" w:rsidP="001B477F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1B477F">
        <w:rPr>
          <w:rFonts w:ascii="Times New Roman" w:hAnsi="Times New Roman" w:cs="Times New Roman"/>
          <w:b/>
          <w:bCs/>
          <w:sz w:val="24"/>
        </w:rPr>
        <w:lastRenderedPageBreak/>
        <w:t>References</w:t>
      </w:r>
    </w:p>
    <w:p w14:paraId="06C7152A" w14:textId="29D8B79B" w:rsidR="000300B6" w:rsidRDefault="000300B6" w:rsidP="006C5B26">
      <w:pPr>
        <w:rPr>
          <w:rFonts w:ascii="Times New Roman" w:hAnsi="Times New Roman" w:cs="Times New Roman"/>
          <w:sz w:val="24"/>
        </w:rPr>
      </w:pPr>
    </w:p>
    <w:p w14:paraId="21A85B3E" w14:textId="504D88A2" w:rsidR="00E40199" w:rsidRPr="00E40199" w:rsidRDefault="00E40199" w:rsidP="00E40199">
      <w:pPr>
        <w:ind w:left="720" w:hangingChars="300" w:hanging="720"/>
        <w:rPr>
          <w:rFonts w:ascii="HY신명조" w:eastAsia="HY신명조" w:hAnsi="Times New Roman" w:cs="Times New Roman"/>
          <w:szCs w:val="22"/>
        </w:rPr>
      </w:pPr>
      <w:r>
        <w:rPr>
          <w:rFonts w:ascii="Times New Roman" w:hAnsi="Times New Roman" w:cs="Times New Roman" w:hint="eastAsia"/>
          <w:sz w:val="24"/>
        </w:rPr>
        <w:t>Ahn, J. &amp; Min, Y</w:t>
      </w:r>
      <w:r w:rsidRPr="003753F8">
        <w:rPr>
          <w:rFonts w:ascii="Times New Roman" w:hAnsi="Times New Roman" w:cs="Times New Roman"/>
          <w:sz w:val="24"/>
        </w:rPr>
        <w:t>. (202</w:t>
      </w:r>
      <w:r>
        <w:rPr>
          <w:rFonts w:ascii="Times New Roman" w:hAnsi="Times New Roman" w:cs="Times New Roman" w:hint="eastAsia"/>
          <w:sz w:val="24"/>
        </w:rPr>
        <w:t>0</w:t>
      </w:r>
      <w:r w:rsidRPr="003753F8">
        <w:rPr>
          <w:rFonts w:ascii="Times New Roman" w:hAnsi="Times New Roman" w:cs="Times New Roman"/>
          <w:sz w:val="24"/>
        </w:rPr>
        <w:t xml:space="preserve">). </w:t>
      </w:r>
      <w:r w:rsidRPr="00E40199">
        <w:rPr>
          <w:rFonts w:ascii="Times New Roman" w:hAnsi="Times New Roman" w:cs="Times New Roman"/>
          <w:sz w:val="24"/>
        </w:rPr>
        <w:t>Mirroring as a communicative strategy</w:t>
      </w:r>
      <w:r>
        <w:rPr>
          <w:rFonts w:ascii="Times New Roman" w:hAnsi="Times New Roman" w:cs="Times New Roman" w:hint="eastAsia"/>
          <w:sz w:val="24"/>
        </w:rPr>
        <w:t>:</w:t>
      </w:r>
      <w:r w:rsidRPr="00E40199">
        <w:rPr>
          <w:rFonts w:ascii="Times New Roman" w:hAnsi="Times New Roman" w:cs="Times New Roman"/>
          <w:sz w:val="24"/>
        </w:rPr>
        <w:t xml:space="preserve"> The effects of Mirroring on perspective-taking and negative feelings toward outgroups</w:t>
      </w:r>
      <w:r>
        <w:rPr>
          <w:rFonts w:ascii="Times New Roman" w:hAnsi="Times New Roman" w:cs="Times New Roman" w:hint="eastAsia"/>
          <w:sz w:val="24"/>
        </w:rPr>
        <w:t xml:space="preserve">. </w:t>
      </w:r>
      <w:r>
        <w:rPr>
          <w:rFonts w:ascii="Times New Roman" w:hAnsi="Times New Roman" w:cs="Times New Roman" w:hint="eastAsia"/>
          <w:i/>
          <w:iCs/>
          <w:sz w:val="24"/>
        </w:rPr>
        <w:t>Korean Journal of Journalism &amp; Communication,</w:t>
      </w:r>
      <w:r w:rsidRPr="003753F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i/>
          <w:iCs/>
          <w:sz w:val="24"/>
        </w:rPr>
        <w:t>64</w:t>
      </w:r>
      <w:r w:rsidRPr="003753F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5</w:t>
      </w:r>
      <w:r w:rsidRPr="003753F8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 w:hint="eastAsia"/>
          <w:sz w:val="24"/>
        </w:rPr>
        <w:t>46-80</w:t>
      </w:r>
      <w:r w:rsidRPr="003753F8">
        <w:rPr>
          <w:rFonts w:ascii="Times New Roman" w:hAnsi="Times New Roman" w:cs="Times New Roman"/>
          <w:sz w:val="24"/>
        </w:rPr>
        <w:t xml:space="preserve">. </w:t>
      </w:r>
      <w:r w:rsidRPr="003753F8">
        <w:rPr>
          <w:rFonts w:ascii="HY신명조" w:eastAsia="HY신명조" w:hAnsi="Times New Roman" w:cs="Times New Roman" w:hint="eastAsia"/>
          <w:szCs w:val="22"/>
        </w:rPr>
        <w:t>[</w:t>
      </w:r>
      <w:proofErr w:type="spellStart"/>
      <w:r>
        <w:rPr>
          <w:rFonts w:ascii="HY신명조" w:eastAsia="HY신명조" w:hAnsi="Times New Roman" w:cs="Times New Roman" w:hint="eastAsia"/>
          <w:szCs w:val="22"/>
        </w:rPr>
        <w:t>안재경</w:t>
      </w:r>
      <w:proofErr w:type="spellEnd"/>
      <w:r>
        <w:rPr>
          <w:rFonts w:ascii="HY신명조" w:eastAsia="HY신명조" w:hAnsi="Times New Roman" w:cs="Times New Roman" w:hint="eastAsia"/>
          <w:szCs w:val="22"/>
        </w:rPr>
        <w:t xml:space="preserve"> &amp; 민영</w:t>
      </w:r>
      <w:r w:rsidRPr="003753F8">
        <w:rPr>
          <w:rFonts w:ascii="HY신명조" w:eastAsia="HY신명조" w:hAnsi="Times New Roman" w:cs="Times New Roman" w:hint="eastAsia"/>
          <w:szCs w:val="22"/>
        </w:rPr>
        <w:t xml:space="preserve"> (202</w:t>
      </w:r>
      <w:r>
        <w:rPr>
          <w:rFonts w:ascii="HY신명조" w:eastAsia="HY신명조" w:hAnsi="Times New Roman" w:cs="Times New Roman" w:hint="eastAsia"/>
          <w:szCs w:val="22"/>
        </w:rPr>
        <w:t>0</w:t>
      </w:r>
      <w:r w:rsidRPr="003753F8">
        <w:rPr>
          <w:rFonts w:ascii="HY신명조" w:eastAsia="HY신명조" w:hAnsi="Times New Roman" w:cs="Times New Roman" w:hint="eastAsia"/>
          <w:szCs w:val="22"/>
        </w:rPr>
        <w:t xml:space="preserve">). </w:t>
      </w:r>
      <w:r>
        <w:rPr>
          <w:rFonts w:ascii="HY신명조" w:eastAsia="HY신명조" w:hAnsi="Times New Roman" w:cs="Times New Roman" w:hint="eastAsia"/>
          <w:szCs w:val="22"/>
        </w:rPr>
        <w:t xml:space="preserve">소통 전략으로서 </w:t>
      </w:r>
      <w:proofErr w:type="spellStart"/>
      <w:r>
        <w:rPr>
          <w:rFonts w:ascii="HY신명조" w:eastAsia="HY신명조" w:hAnsi="Times New Roman" w:cs="Times New Roman" w:hint="eastAsia"/>
          <w:szCs w:val="22"/>
        </w:rPr>
        <w:t>미러링의</w:t>
      </w:r>
      <w:proofErr w:type="spellEnd"/>
      <w:r>
        <w:rPr>
          <w:rFonts w:ascii="HY신명조" w:eastAsia="HY신명조" w:hAnsi="Times New Roman" w:cs="Times New Roman" w:hint="eastAsia"/>
          <w:szCs w:val="22"/>
        </w:rPr>
        <w:t xml:space="preserve"> 효과</w:t>
      </w:r>
      <w:r w:rsidR="00022DA2">
        <w:rPr>
          <w:rFonts w:ascii="HY신명조" w:eastAsia="HY신명조" w:hAnsi="Times New Roman" w:cs="Times New Roman" w:hint="eastAsia"/>
          <w:szCs w:val="22"/>
        </w:rPr>
        <w:t>:</w:t>
      </w:r>
      <w:r>
        <w:rPr>
          <w:rFonts w:ascii="HY신명조" w:eastAsia="HY신명조" w:hAnsi="Times New Roman" w:cs="Times New Roman" w:hint="eastAsia"/>
          <w:szCs w:val="22"/>
        </w:rPr>
        <w:t xml:space="preserve"> 관점 수용과 외집단에 대한 부정적 감정을 중심으로.</w:t>
      </w:r>
      <w:r w:rsidRPr="003753F8">
        <w:rPr>
          <w:rFonts w:ascii="HY신명조" w:eastAsia="HY신명조" w:hAnsi="Times New Roman" w:cs="Times New Roman" w:hint="eastAsia"/>
          <w:szCs w:val="22"/>
        </w:rPr>
        <w:t xml:space="preserve"> &lt;</w:t>
      </w:r>
      <w:proofErr w:type="spellStart"/>
      <w:r w:rsidRPr="003753F8">
        <w:rPr>
          <w:rFonts w:ascii="HY신명조" w:eastAsia="HY신명조" w:hAnsi="Times New Roman" w:cs="Times New Roman" w:hint="eastAsia"/>
          <w:szCs w:val="22"/>
        </w:rPr>
        <w:t>한국</w:t>
      </w:r>
      <w:r>
        <w:rPr>
          <w:rFonts w:ascii="HY신명조" w:eastAsia="HY신명조" w:hAnsi="Times New Roman" w:cs="Times New Roman" w:hint="eastAsia"/>
          <w:szCs w:val="22"/>
        </w:rPr>
        <w:t>언론학</w:t>
      </w:r>
      <w:r w:rsidRPr="003753F8">
        <w:rPr>
          <w:rFonts w:ascii="HY신명조" w:eastAsia="HY신명조" w:hAnsi="Times New Roman" w:cs="Times New Roman" w:hint="eastAsia"/>
          <w:szCs w:val="22"/>
        </w:rPr>
        <w:t>보</w:t>
      </w:r>
      <w:proofErr w:type="spellEnd"/>
      <w:r w:rsidRPr="003753F8">
        <w:rPr>
          <w:rFonts w:ascii="HY신명조" w:eastAsia="HY신명조" w:hAnsi="Times New Roman" w:cs="Times New Roman" w:hint="eastAsia"/>
          <w:szCs w:val="22"/>
        </w:rPr>
        <w:t xml:space="preserve">&gt;, </w:t>
      </w:r>
      <w:r>
        <w:rPr>
          <w:rFonts w:ascii="HY신명조" w:eastAsia="HY신명조" w:hAnsi="Times New Roman" w:cs="Times New Roman" w:hint="eastAsia"/>
          <w:szCs w:val="22"/>
        </w:rPr>
        <w:t>64</w:t>
      </w:r>
      <w:r w:rsidRPr="003753F8">
        <w:rPr>
          <w:rFonts w:ascii="HY신명조" w:eastAsia="HY신명조" w:hAnsi="Times New Roman" w:cs="Times New Roman" w:hint="eastAsia"/>
          <w:szCs w:val="22"/>
        </w:rPr>
        <w:t xml:space="preserve">권 </w:t>
      </w:r>
      <w:r>
        <w:rPr>
          <w:rFonts w:ascii="HY신명조" w:eastAsia="HY신명조" w:hAnsi="Times New Roman" w:cs="Times New Roman" w:hint="eastAsia"/>
          <w:szCs w:val="22"/>
        </w:rPr>
        <w:t>5</w:t>
      </w:r>
      <w:r w:rsidRPr="003753F8">
        <w:rPr>
          <w:rFonts w:ascii="HY신명조" w:eastAsia="HY신명조" w:hAnsi="Times New Roman" w:cs="Times New Roman" w:hint="eastAsia"/>
          <w:szCs w:val="22"/>
        </w:rPr>
        <w:t xml:space="preserve">호, </w:t>
      </w:r>
      <w:r>
        <w:rPr>
          <w:rFonts w:ascii="HY신명조" w:eastAsia="HY신명조" w:hAnsi="Times New Roman" w:cs="Times New Roman" w:hint="eastAsia"/>
          <w:szCs w:val="22"/>
        </w:rPr>
        <w:t>46-80</w:t>
      </w:r>
      <w:r w:rsidRPr="003753F8">
        <w:rPr>
          <w:rFonts w:ascii="HY신명조" w:eastAsia="HY신명조" w:hAnsi="Times New Roman" w:cs="Times New Roman" w:hint="eastAsia"/>
          <w:szCs w:val="22"/>
        </w:rPr>
        <w:t>.]</w:t>
      </w:r>
    </w:p>
    <w:p w14:paraId="73D0756E" w14:textId="4799CA83" w:rsidR="000300B6" w:rsidRDefault="000300B6" w:rsidP="00723A72">
      <w:pPr>
        <w:ind w:left="720" w:hangingChars="30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Botto, M., &amp; </w:t>
      </w:r>
      <w:proofErr w:type="spellStart"/>
      <w:r>
        <w:rPr>
          <w:rFonts w:ascii="Times New Roman" w:hAnsi="Times New Roman" w:cs="Times New Roman" w:hint="eastAsia"/>
          <w:sz w:val="24"/>
        </w:rPr>
        <w:t>Gottz</w:t>
      </w:r>
      <w:r w:rsidRPr="000300B6">
        <w:rPr>
          <w:rFonts w:ascii="Times New Roman" w:hAnsi="Times New Roman" w:cs="Times New Roman"/>
          <w:sz w:val="24"/>
        </w:rPr>
        <w:t>é</w:t>
      </w:r>
      <w:r>
        <w:rPr>
          <w:rFonts w:ascii="Times New Roman" w:hAnsi="Times New Roman" w:cs="Times New Roman" w:hint="eastAsia"/>
          <w:sz w:val="24"/>
        </w:rPr>
        <w:t>n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L. </w:t>
      </w:r>
      <w:r w:rsidR="00E40199">
        <w:rPr>
          <w:rFonts w:ascii="Times New Roman" w:hAnsi="Times New Roman" w:cs="Times New Roman" w:hint="eastAsia"/>
          <w:sz w:val="24"/>
        </w:rPr>
        <w:t>(</w:t>
      </w:r>
      <w:r w:rsidRPr="000300B6">
        <w:rPr>
          <w:rFonts w:ascii="Times New Roman" w:hAnsi="Times New Roman" w:cs="Times New Roman"/>
          <w:sz w:val="24"/>
        </w:rPr>
        <w:t>2023). Swallowing and spitting out the red pill: young men, vulnerability, and radicalization pathways in the manosphere</w:t>
      </w:r>
      <w:r w:rsidRPr="00752A34">
        <w:rPr>
          <w:rFonts w:ascii="Times New Roman" w:hAnsi="Times New Roman" w:cs="Times New Roman"/>
          <w:i/>
          <w:iCs/>
          <w:sz w:val="24"/>
        </w:rPr>
        <w:t>. Journal of Gender Studies, 33</w:t>
      </w:r>
      <w:r w:rsidRPr="000300B6">
        <w:rPr>
          <w:rFonts w:ascii="Times New Roman" w:hAnsi="Times New Roman" w:cs="Times New Roman"/>
          <w:sz w:val="24"/>
        </w:rPr>
        <w:t>(5), 596-608.</w:t>
      </w:r>
    </w:p>
    <w:p w14:paraId="199EB60D" w14:textId="72A25007" w:rsidR="000300B6" w:rsidRDefault="000300B6" w:rsidP="00723A72">
      <w:pPr>
        <w:ind w:left="720" w:hangingChars="300" w:hanging="720"/>
        <w:rPr>
          <w:rFonts w:ascii="Times New Roman" w:hAnsi="Times New Roman" w:cs="Times New Roman"/>
          <w:sz w:val="24"/>
        </w:rPr>
      </w:pPr>
      <w:r w:rsidRPr="000300B6">
        <w:rPr>
          <w:rFonts w:ascii="Times New Roman" w:hAnsi="Times New Roman" w:cs="Times New Roman"/>
          <w:sz w:val="24"/>
        </w:rPr>
        <w:t xml:space="preserve">Cassese, E. C., &amp; Holman, M. R. (2019). Playing the woman card: Ambivalent sexism in the 2016 US presidential race. </w:t>
      </w:r>
      <w:r w:rsidRPr="00752A34">
        <w:rPr>
          <w:rFonts w:ascii="Times New Roman" w:hAnsi="Times New Roman" w:cs="Times New Roman"/>
          <w:i/>
          <w:iCs/>
          <w:sz w:val="24"/>
        </w:rPr>
        <w:t>Political Psychology, 40</w:t>
      </w:r>
      <w:r w:rsidRPr="000300B6">
        <w:rPr>
          <w:rFonts w:ascii="Times New Roman" w:hAnsi="Times New Roman" w:cs="Times New Roman"/>
          <w:sz w:val="24"/>
        </w:rPr>
        <w:t>(1), 55-74.</w:t>
      </w:r>
    </w:p>
    <w:p w14:paraId="2D50CA71" w14:textId="75920279" w:rsidR="000300B6" w:rsidRDefault="000300B6" w:rsidP="00723A72">
      <w:pPr>
        <w:ind w:left="720" w:hangingChars="300" w:hanging="720"/>
        <w:rPr>
          <w:rFonts w:ascii="Times New Roman" w:hAnsi="Times New Roman" w:cs="Times New Roman"/>
          <w:sz w:val="24"/>
        </w:rPr>
      </w:pPr>
      <w:r w:rsidRPr="000300B6">
        <w:rPr>
          <w:rFonts w:ascii="Times New Roman" w:hAnsi="Times New Roman" w:cs="Times New Roman"/>
          <w:sz w:val="24"/>
        </w:rPr>
        <w:t xml:space="preserve">Schneider, M. C., &amp; Bos, A. L. (2019). The application of social role theory to the study of gender in politics. </w:t>
      </w:r>
      <w:r w:rsidRPr="00752A34">
        <w:rPr>
          <w:rFonts w:ascii="Times New Roman" w:hAnsi="Times New Roman" w:cs="Times New Roman"/>
          <w:i/>
          <w:iCs/>
          <w:sz w:val="24"/>
        </w:rPr>
        <w:t>Political Psychology, 40</w:t>
      </w:r>
      <w:r w:rsidRPr="000300B6">
        <w:rPr>
          <w:rFonts w:ascii="Times New Roman" w:hAnsi="Times New Roman" w:cs="Times New Roman"/>
          <w:sz w:val="24"/>
        </w:rPr>
        <w:t>(S1), 173-213.</w:t>
      </w:r>
    </w:p>
    <w:sectPr w:rsidR="000300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1D78"/>
    <w:multiLevelType w:val="hybridMultilevel"/>
    <w:tmpl w:val="6338F668"/>
    <w:lvl w:ilvl="0" w:tplc="2F82D6A8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9A25C2"/>
    <w:multiLevelType w:val="hybridMultilevel"/>
    <w:tmpl w:val="6D24898A"/>
    <w:lvl w:ilvl="0" w:tplc="1B6429B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40E19E1"/>
    <w:multiLevelType w:val="hybridMultilevel"/>
    <w:tmpl w:val="DD0A50B6"/>
    <w:lvl w:ilvl="0" w:tplc="3AEA8A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5B710E4"/>
    <w:multiLevelType w:val="hybridMultilevel"/>
    <w:tmpl w:val="4C7E07DA"/>
    <w:lvl w:ilvl="0" w:tplc="EA9C0D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A554404"/>
    <w:multiLevelType w:val="hybridMultilevel"/>
    <w:tmpl w:val="A80A0782"/>
    <w:lvl w:ilvl="0" w:tplc="6F50A7F4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8A67212"/>
    <w:multiLevelType w:val="hybridMultilevel"/>
    <w:tmpl w:val="69741378"/>
    <w:lvl w:ilvl="0" w:tplc="20E0B9C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3397666">
    <w:abstractNumId w:val="3"/>
  </w:num>
  <w:num w:numId="2" w16cid:durableId="1412239007">
    <w:abstractNumId w:val="5"/>
  </w:num>
  <w:num w:numId="3" w16cid:durableId="1267735291">
    <w:abstractNumId w:val="4"/>
  </w:num>
  <w:num w:numId="4" w16cid:durableId="1949659377">
    <w:abstractNumId w:val="1"/>
  </w:num>
  <w:num w:numId="5" w16cid:durableId="678387361">
    <w:abstractNumId w:val="0"/>
  </w:num>
  <w:num w:numId="6" w16cid:durableId="2084912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26"/>
    <w:rsid w:val="00022DA2"/>
    <w:rsid w:val="000300B6"/>
    <w:rsid w:val="000839EF"/>
    <w:rsid w:val="000D0F89"/>
    <w:rsid w:val="00122F18"/>
    <w:rsid w:val="00147435"/>
    <w:rsid w:val="00165B41"/>
    <w:rsid w:val="001852BB"/>
    <w:rsid w:val="001B477F"/>
    <w:rsid w:val="001F1960"/>
    <w:rsid w:val="00297E3F"/>
    <w:rsid w:val="00320B24"/>
    <w:rsid w:val="003753F8"/>
    <w:rsid w:val="0039711D"/>
    <w:rsid w:val="003A2FCA"/>
    <w:rsid w:val="003C0A5E"/>
    <w:rsid w:val="003E7C4A"/>
    <w:rsid w:val="005D755E"/>
    <w:rsid w:val="00670EA3"/>
    <w:rsid w:val="006C5B26"/>
    <w:rsid w:val="006E5F4E"/>
    <w:rsid w:val="00723A72"/>
    <w:rsid w:val="00752A34"/>
    <w:rsid w:val="00765CC2"/>
    <w:rsid w:val="007B1E26"/>
    <w:rsid w:val="0095747A"/>
    <w:rsid w:val="00963639"/>
    <w:rsid w:val="009B028F"/>
    <w:rsid w:val="00B43DB4"/>
    <w:rsid w:val="00B67258"/>
    <w:rsid w:val="00B76E1D"/>
    <w:rsid w:val="00B960F7"/>
    <w:rsid w:val="00C22EA3"/>
    <w:rsid w:val="00CE54CC"/>
    <w:rsid w:val="00CF3FAE"/>
    <w:rsid w:val="00D43407"/>
    <w:rsid w:val="00DA64FC"/>
    <w:rsid w:val="00DE30F6"/>
    <w:rsid w:val="00E40199"/>
    <w:rsid w:val="00E943FC"/>
    <w:rsid w:val="00E960A0"/>
    <w:rsid w:val="00EC28EE"/>
    <w:rsid w:val="00F433B0"/>
    <w:rsid w:val="00FA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F066"/>
  <w15:chartTrackingRefBased/>
  <w15:docId w15:val="{AEAB4B99-E1D7-436E-B9D2-1AFC25B6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0F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5B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5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6C5B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5B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5B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5B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5B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5B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5B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5B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5B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5B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5B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5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5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5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5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5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5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5B2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4340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14</cp:revision>
  <cp:lastPrinted>2026-03-23T18:15:00Z</cp:lastPrinted>
  <dcterms:created xsi:type="dcterms:W3CDTF">2026-03-10T02:33:00Z</dcterms:created>
  <dcterms:modified xsi:type="dcterms:W3CDTF">2026-03-24T07:18:00Z</dcterms:modified>
</cp:coreProperties>
</file>