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0A902" w14:textId="72E4F482" w:rsidR="00EC28EE" w:rsidRDefault="006C5B26" w:rsidP="006C5B26">
      <w:pPr>
        <w:jc w:val="center"/>
      </w:pPr>
      <w:r>
        <w:rPr>
          <w:rFonts w:hint="eastAsia"/>
        </w:rPr>
        <w:t>MAC539-HW</w:t>
      </w:r>
      <w:r w:rsidR="009A2BBF">
        <w:rPr>
          <w:rFonts w:hint="eastAsia"/>
        </w:rPr>
        <w:t>8</w:t>
      </w:r>
      <w:r>
        <w:rPr>
          <w:rFonts w:hint="eastAsia"/>
        </w:rPr>
        <w:t>-2025020399-송종빈</w:t>
      </w:r>
    </w:p>
    <w:p w14:paraId="49B440CD" w14:textId="1C37C93A" w:rsidR="006C5B26" w:rsidRDefault="006C5B26" w:rsidP="006C5B26">
      <w:pPr>
        <w:pStyle w:val="a3"/>
      </w:pPr>
      <w:r>
        <w:rPr>
          <w:rFonts w:hint="eastAsia"/>
        </w:rPr>
        <w:t xml:space="preserve">MAC539: </w:t>
      </w:r>
      <w:r w:rsidR="009A2BBF">
        <w:rPr>
          <w:rFonts w:hint="eastAsia"/>
        </w:rPr>
        <w:t>10</w:t>
      </w:r>
      <w:r>
        <w:rPr>
          <w:rFonts w:hint="eastAsia"/>
        </w:rPr>
        <w:t>주차 생각노트</w:t>
      </w:r>
    </w:p>
    <w:p w14:paraId="12341525" w14:textId="78499B95" w:rsidR="006C5B26" w:rsidRPr="00591657" w:rsidRDefault="006C5B26" w:rsidP="006C5B26">
      <w:pPr>
        <w:rPr>
          <w:b/>
          <w:bCs/>
          <w:sz w:val="20"/>
          <w:szCs w:val="22"/>
        </w:rPr>
      </w:pPr>
      <w:r w:rsidRPr="00591657">
        <w:rPr>
          <w:rFonts w:hint="eastAsia"/>
          <w:b/>
          <w:bCs/>
          <w:sz w:val="20"/>
          <w:szCs w:val="22"/>
        </w:rPr>
        <w:t>Synthesis</w:t>
      </w:r>
    </w:p>
    <w:p w14:paraId="3CF55464" w14:textId="137B3741" w:rsidR="00046168" w:rsidRDefault="00046168" w:rsidP="00257D00">
      <w:pPr>
        <w:rPr>
          <w:rFonts w:asciiTheme="minorEastAsia" w:hAnsiTheme="minorEastAsia"/>
          <w:sz w:val="20"/>
          <w:szCs w:val="22"/>
        </w:rPr>
      </w:pPr>
      <w:r>
        <w:rPr>
          <w:rFonts w:asciiTheme="minorEastAsia" w:hAnsiTheme="minorEastAsia" w:hint="eastAsia"/>
          <w:sz w:val="20"/>
          <w:szCs w:val="22"/>
        </w:rPr>
        <w:t xml:space="preserve">허위조작정보와 정치 음모론의 확산, 그리고 그로 인한 규범 파괴 현상은 정치 엘리트의 전략적 선동과 대중의 인지적 취약성이 결합된 결과물이다. </w:t>
      </w:r>
      <w:r w:rsidRPr="00046168">
        <w:rPr>
          <w:rFonts w:asciiTheme="minorEastAsia" w:hAnsiTheme="minorEastAsia"/>
          <w:sz w:val="20"/>
          <w:szCs w:val="22"/>
        </w:rPr>
        <w:t xml:space="preserve">대중이 명백한 거짓 정보(misperceptions)를 수용하는 원인에 대해서는 '동기적 추론(Motivated reasoning)'과 '인지적 게으름(Lack of reasoning)'이라는 두 가지 인지적 설명이 </w:t>
      </w:r>
      <w:r>
        <w:rPr>
          <w:rFonts w:asciiTheme="minorEastAsia" w:hAnsiTheme="minorEastAsia" w:hint="eastAsia"/>
          <w:sz w:val="20"/>
          <w:szCs w:val="22"/>
        </w:rPr>
        <w:t>존재</w:t>
      </w:r>
      <w:r w:rsidRPr="00046168">
        <w:rPr>
          <w:rFonts w:asciiTheme="minorEastAsia" w:hAnsiTheme="minorEastAsia"/>
          <w:sz w:val="20"/>
          <w:szCs w:val="22"/>
        </w:rPr>
        <w:t xml:space="preserve">한다. Flynn </w:t>
      </w:r>
      <w:proofErr w:type="gramStart"/>
      <w:r w:rsidRPr="00046168">
        <w:rPr>
          <w:rFonts w:asciiTheme="minorEastAsia" w:hAnsiTheme="minorEastAsia"/>
          <w:sz w:val="20"/>
          <w:szCs w:val="22"/>
        </w:rPr>
        <w:t>et al.(2017)은</w:t>
      </w:r>
      <w:proofErr w:type="gramEnd"/>
      <w:r w:rsidRPr="00046168">
        <w:rPr>
          <w:rFonts w:asciiTheme="minorEastAsia" w:hAnsiTheme="minorEastAsia"/>
          <w:sz w:val="20"/>
          <w:szCs w:val="22"/>
        </w:rPr>
        <w:t xml:space="preserve"> 대중이 객관적 진실보다는 자신의 당파적 정체성을 방어하기 위해 '</w:t>
      </w:r>
      <w:proofErr w:type="spellStart"/>
      <w:r w:rsidRPr="00046168">
        <w:rPr>
          <w:rFonts w:asciiTheme="minorEastAsia" w:hAnsiTheme="minorEastAsia"/>
          <w:sz w:val="20"/>
          <w:szCs w:val="22"/>
        </w:rPr>
        <w:t>방향적</w:t>
      </w:r>
      <w:proofErr w:type="spellEnd"/>
      <w:r w:rsidRPr="00046168">
        <w:rPr>
          <w:rFonts w:asciiTheme="minorEastAsia" w:hAnsiTheme="minorEastAsia"/>
          <w:sz w:val="20"/>
          <w:szCs w:val="22"/>
        </w:rPr>
        <w:t xml:space="preserve"> 동기 추론'</w:t>
      </w:r>
      <w:proofErr w:type="spellStart"/>
      <w:r w:rsidRPr="00046168">
        <w:rPr>
          <w:rFonts w:asciiTheme="minorEastAsia" w:hAnsiTheme="minorEastAsia"/>
          <w:sz w:val="20"/>
          <w:szCs w:val="22"/>
        </w:rPr>
        <w:t>에</w:t>
      </w:r>
      <w:proofErr w:type="spellEnd"/>
      <w:r w:rsidRPr="00046168">
        <w:rPr>
          <w:rFonts w:asciiTheme="minorEastAsia" w:hAnsiTheme="minorEastAsia"/>
          <w:sz w:val="20"/>
          <w:szCs w:val="22"/>
        </w:rPr>
        <w:t xml:space="preserve"> 의존한다고 본다</w:t>
      </w:r>
      <w:r>
        <w:rPr>
          <w:rFonts w:asciiTheme="minorEastAsia" w:hAnsiTheme="minorEastAsia" w:hint="eastAsia"/>
          <w:sz w:val="20"/>
          <w:szCs w:val="22"/>
        </w:rPr>
        <w:t xml:space="preserve">. </w:t>
      </w:r>
      <w:r w:rsidRPr="00046168">
        <w:rPr>
          <w:rFonts w:asciiTheme="minorEastAsia" w:hAnsiTheme="minorEastAsia"/>
          <w:sz w:val="20"/>
          <w:szCs w:val="22"/>
        </w:rPr>
        <w:t xml:space="preserve">이로 인해 </w:t>
      </w:r>
      <w:proofErr w:type="spellStart"/>
      <w:r w:rsidRPr="00046168">
        <w:rPr>
          <w:rFonts w:asciiTheme="minorEastAsia" w:hAnsiTheme="minorEastAsia"/>
          <w:sz w:val="20"/>
          <w:szCs w:val="22"/>
        </w:rPr>
        <w:t>팩트체크와</w:t>
      </w:r>
      <w:proofErr w:type="spellEnd"/>
      <w:r w:rsidRPr="00046168">
        <w:rPr>
          <w:rFonts w:asciiTheme="minorEastAsia" w:hAnsiTheme="minorEastAsia"/>
          <w:sz w:val="20"/>
          <w:szCs w:val="22"/>
        </w:rPr>
        <w:t xml:space="preserve"> 같은 교정 정보가 주어지더라도 오히려 잘못된 신념이 강화되는 역효과가 발생하며, 거짓 믿음은 끈질기게 살아남는다</w:t>
      </w:r>
      <w:r>
        <w:rPr>
          <w:rFonts w:asciiTheme="minorEastAsia" w:hAnsiTheme="minorEastAsia" w:hint="eastAsia"/>
          <w:sz w:val="20"/>
          <w:szCs w:val="22"/>
        </w:rPr>
        <w:t xml:space="preserve">. </w:t>
      </w:r>
      <w:r w:rsidRPr="00046168">
        <w:rPr>
          <w:rFonts w:asciiTheme="minorEastAsia" w:hAnsiTheme="minorEastAsia"/>
          <w:sz w:val="20"/>
          <w:szCs w:val="22"/>
        </w:rPr>
        <w:t>반면, Pennycook &amp; Rand(2019)는 대중이 가짜뉴스에 속는 주된 원인이 이념적 무장(bias)이 아니라 단순히 분석적 사고를 하지 않는 인지적 게으름 때문이라고 반박한다</w:t>
      </w:r>
      <w:r>
        <w:rPr>
          <w:rFonts w:asciiTheme="minorEastAsia" w:hAnsiTheme="minorEastAsia" w:hint="eastAsia"/>
          <w:sz w:val="20"/>
          <w:szCs w:val="22"/>
        </w:rPr>
        <w:t xml:space="preserve">. </w:t>
      </w:r>
      <w:r w:rsidRPr="00046168">
        <w:rPr>
          <w:rFonts w:asciiTheme="minorEastAsia" w:hAnsiTheme="minorEastAsia"/>
          <w:sz w:val="20"/>
          <w:szCs w:val="22"/>
        </w:rPr>
        <w:t>이들은 실험을 통해 분석적 사고력(CRT)이 높은 사람일수록 자신의 이념과 일치하는 가짜뉴스라 할지라도 그 본질적인 '그럴듯하지 않음(implausibility)'을 간파해 배척함을 입증했다</w:t>
      </w:r>
      <w:r>
        <w:rPr>
          <w:rFonts w:asciiTheme="minorEastAsia" w:hAnsiTheme="minorEastAsia" w:hint="eastAsia"/>
          <w:sz w:val="20"/>
          <w:szCs w:val="22"/>
        </w:rPr>
        <w:t xml:space="preserve">. </w:t>
      </w:r>
      <w:r w:rsidRPr="00046168">
        <w:rPr>
          <w:rFonts w:asciiTheme="minorEastAsia" w:hAnsiTheme="minorEastAsia"/>
          <w:sz w:val="20"/>
          <w:szCs w:val="22"/>
        </w:rPr>
        <w:t>특히, 사람들은 이념적으로 불일치하는 뉴스보다 일치하는 뉴스에서 오히려 진짜와 가짜를 더 잘 분별해냈는데, 이는 당파성이 항상 진실 분별력을 마비시키는 것은 아님을 시사한다</w:t>
      </w:r>
      <w:r>
        <w:rPr>
          <w:rFonts w:asciiTheme="minorEastAsia" w:hAnsiTheme="minorEastAsia" w:hint="eastAsia"/>
          <w:sz w:val="20"/>
          <w:szCs w:val="22"/>
        </w:rPr>
        <w:t xml:space="preserve">. </w:t>
      </w:r>
      <w:r w:rsidRPr="00046168">
        <w:rPr>
          <w:rFonts w:asciiTheme="minorEastAsia" w:hAnsiTheme="minorEastAsia"/>
          <w:sz w:val="20"/>
          <w:szCs w:val="22"/>
        </w:rPr>
        <w:t>나아가 사람들이 허위정보를 믿는다고 답하는 것이 진심인지, 아니면 단순히 당파성을 뽐내기 위한 '표현적 응답(expressive responding)'인지에 대한 측정의 복잡성도 허위정보 현상을 이해하는 데 중요한 변수가 된다</w:t>
      </w:r>
      <w:r>
        <w:rPr>
          <w:rFonts w:asciiTheme="minorEastAsia" w:hAnsiTheme="minorEastAsia" w:hint="eastAsia"/>
          <w:sz w:val="20"/>
          <w:szCs w:val="22"/>
        </w:rPr>
        <w:t xml:space="preserve">. </w:t>
      </w:r>
      <w:r w:rsidRPr="00046168">
        <w:rPr>
          <w:rFonts w:asciiTheme="minorEastAsia" w:hAnsiTheme="minorEastAsia"/>
          <w:sz w:val="20"/>
          <w:szCs w:val="22"/>
        </w:rPr>
        <w:t>전자의</w:t>
      </w:r>
      <w:r>
        <w:rPr>
          <w:rFonts w:asciiTheme="minorEastAsia" w:hAnsiTheme="minorEastAsia" w:hint="eastAsia"/>
          <w:sz w:val="20"/>
          <w:szCs w:val="22"/>
        </w:rPr>
        <w:t xml:space="preserve"> 해석대로라면,</w:t>
      </w:r>
      <w:r w:rsidRPr="00046168">
        <w:rPr>
          <w:rFonts w:asciiTheme="minorEastAsia" w:hAnsiTheme="minorEastAsia"/>
          <w:sz w:val="20"/>
          <w:szCs w:val="22"/>
        </w:rPr>
        <w:t xml:space="preserve"> 당파적 정체성의 위협을 낮추거나 엘리트의 합의를 이끌어내는 것이 중요하다면, 후자의 경우 시민들의 분석적 사고력을 높이는 미디어 </w:t>
      </w:r>
      <w:proofErr w:type="spellStart"/>
      <w:r w:rsidRPr="00046168">
        <w:rPr>
          <w:rFonts w:asciiTheme="minorEastAsia" w:hAnsiTheme="minorEastAsia"/>
          <w:sz w:val="20"/>
          <w:szCs w:val="22"/>
        </w:rPr>
        <w:t>리터러시</w:t>
      </w:r>
      <w:proofErr w:type="spellEnd"/>
      <w:r w:rsidRPr="00046168">
        <w:rPr>
          <w:rFonts w:asciiTheme="minorEastAsia" w:hAnsiTheme="minorEastAsia"/>
          <w:sz w:val="20"/>
          <w:szCs w:val="22"/>
        </w:rPr>
        <w:t xml:space="preserve"> 교육이나 소셜 미디어 플랫폼의 속도 제한(마찰력 생성)이 효과적인 해결책이 될 수 있다</w:t>
      </w:r>
    </w:p>
    <w:p w14:paraId="27EDCA3A" w14:textId="55467CE3" w:rsidR="00046168" w:rsidRPr="00046168" w:rsidRDefault="00046168" w:rsidP="00257D00">
      <w:pPr>
        <w:rPr>
          <w:rFonts w:asciiTheme="minorEastAsia" w:hAnsiTheme="minorEastAsia" w:hint="eastAsia"/>
          <w:sz w:val="20"/>
          <w:szCs w:val="22"/>
        </w:rPr>
      </w:pPr>
      <w:r w:rsidRPr="00046168">
        <w:rPr>
          <w:rFonts w:asciiTheme="minorEastAsia" w:hAnsiTheme="minorEastAsia"/>
          <w:sz w:val="20"/>
          <w:szCs w:val="22"/>
        </w:rPr>
        <w:t>이러한 대중의 인지적 한계를 교묘히 착취하는 것은 다름 아닌 정치 엘리트들이다. Dickson &amp; Hobolt(2024)는 엘리트의 양극화된 신호(elite cues)가 대중의 단순한 태도 변화를 넘어 실체적인 규범 파괴 행동으로 직결될 수 있음을 실증했다</w:t>
      </w:r>
      <w:r>
        <w:rPr>
          <w:rFonts w:asciiTheme="minorEastAsia" w:hAnsiTheme="minorEastAsia" w:hint="eastAsia"/>
          <w:sz w:val="20"/>
          <w:szCs w:val="22"/>
        </w:rPr>
        <w:t xml:space="preserve">. </w:t>
      </w:r>
      <w:r w:rsidRPr="00046168">
        <w:rPr>
          <w:rFonts w:asciiTheme="minorEastAsia" w:hAnsiTheme="minorEastAsia"/>
          <w:sz w:val="20"/>
          <w:szCs w:val="22"/>
        </w:rPr>
        <w:t xml:space="preserve">고도로 양극화된 팬데믹 위기 상황에서 트럼프의 '해방하라(Liberate)'는 메시지는 특정 지역의 공화당 우세 카운티, 특히 백인 지지층의 </w:t>
      </w:r>
      <w:proofErr w:type="spellStart"/>
      <w:r w:rsidRPr="00046168">
        <w:rPr>
          <w:rFonts w:asciiTheme="minorEastAsia" w:hAnsiTheme="minorEastAsia"/>
          <w:sz w:val="20"/>
          <w:szCs w:val="22"/>
        </w:rPr>
        <w:t>이동량을</w:t>
      </w:r>
      <w:proofErr w:type="spellEnd"/>
      <w:r w:rsidRPr="00046168">
        <w:rPr>
          <w:rFonts w:asciiTheme="minorEastAsia" w:hAnsiTheme="minorEastAsia"/>
          <w:sz w:val="20"/>
          <w:szCs w:val="22"/>
        </w:rPr>
        <w:t xml:space="preserve"> 급증시키고 치안 방해 및 폭행 체포율을 높이는 파괴적 결과를 낳았다</w:t>
      </w:r>
      <w:r>
        <w:rPr>
          <w:rFonts w:asciiTheme="minorEastAsia" w:hAnsiTheme="minorEastAsia" w:hint="eastAsia"/>
          <w:sz w:val="20"/>
          <w:szCs w:val="22"/>
        </w:rPr>
        <w:t xml:space="preserve">. </w:t>
      </w:r>
      <w:r w:rsidRPr="00046168">
        <w:rPr>
          <w:rFonts w:asciiTheme="minorEastAsia" w:hAnsiTheme="minorEastAsia"/>
          <w:sz w:val="20"/>
          <w:szCs w:val="22"/>
        </w:rPr>
        <w:t>비록 이러한 극단적 불응 행동의 수치 변화는 단기적(short-lived)이었으나</w:t>
      </w:r>
      <w:r>
        <w:rPr>
          <w:rFonts w:asciiTheme="minorEastAsia" w:hAnsiTheme="minorEastAsia" w:hint="eastAsia"/>
          <w:sz w:val="20"/>
          <w:szCs w:val="22"/>
        </w:rPr>
        <w:t xml:space="preserve">, </w:t>
      </w:r>
      <w:r w:rsidRPr="00046168">
        <w:rPr>
          <w:rFonts w:asciiTheme="minorEastAsia" w:hAnsiTheme="minorEastAsia"/>
          <w:sz w:val="20"/>
          <w:szCs w:val="22"/>
        </w:rPr>
        <w:t>이는 엘리트가 소셜 미디어를 통해 대중의 당파적 렌즈를 자극하면 단 며칠 만에 법치주의에 도전하는 급진적 행동마저 직접적으로 조장할 수 있음을 보여준다</w:t>
      </w:r>
      <w:r>
        <w:rPr>
          <w:rFonts w:asciiTheme="minorEastAsia" w:hAnsiTheme="minorEastAsia" w:hint="eastAsia"/>
          <w:sz w:val="20"/>
          <w:szCs w:val="22"/>
        </w:rPr>
        <w:t xml:space="preserve">. </w:t>
      </w:r>
      <w:r w:rsidRPr="00046168">
        <w:rPr>
          <w:rFonts w:asciiTheme="minorEastAsia" w:hAnsiTheme="minorEastAsia"/>
          <w:sz w:val="20"/>
          <w:szCs w:val="22"/>
        </w:rPr>
        <w:t xml:space="preserve">결론적으로, 허위조작정보에 기반한 민주주의 퇴행은 </w:t>
      </w:r>
      <w:proofErr w:type="spellStart"/>
      <w:r w:rsidRPr="00046168">
        <w:rPr>
          <w:rFonts w:asciiTheme="minorEastAsia" w:hAnsiTheme="minorEastAsia"/>
          <w:sz w:val="20"/>
          <w:szCs w:val="22"/>
        </w:rPr>
        <w:t>무작위적인</w:t>
      </w:r>
      <w:proofErr w:type="spellEnd"/>
      <w:r w:rsidRPr="00046168">
        <w:rPr>
          <w:rFonts w:asciiTheme="minorEastAsia" w:hAnsiTheme="minorEastAsia"/>
          <w:sz w:val="20"/>
          <w:szCs w:val="22"/>
        </w:rPr>
        <w:t xml:space="preserve"> 대중의 무지 때문이 아니라, 자신의 이념을 방어하거나(동기적 추론) 비판적 사고를 멈춘(인지적 게으름) 대중을 정치 엘리트가 표적화(microtargeting)하여 선동하는 구조적 상호작용 속에서 발생한다. 과거 민주주의 이론은 대중이 무지하더라도 휴리스틱이나 집단적 집계(aggregation)를 통해 합리적 결과를 도출할 수 있다고 믿었으나, 시스템 전체에 체계적인 오인(systematic error)을 퍼뜨리는 현대의 프로파간다는 이러한 민주주의의 자정 작용 자체를 근본적으로 무력화하고 있다</w:t>
      </w:r>
      <w:r>
        <w:rPr>
          <w:rFonts w:asciiTheme="minorEastAsia" w:hAnsiTheme="minorEastAsia" w:hint="eastAsia"/>
          <w:sz w:val="20"/>
          <w:szCs w:val="22"/>
        </w:rPr>
        <w:t>고 볼 수 있다.</w:t>
      </w:r>
    </w:p>
    <w:p w14:paraId="4A10CD1D" w14:textId="77777777" w:rsidR="00257D00" w:rsidRDefault="00257D00" w:rsidP="00E100C0">
      <w:pPr>
        <w:rPr>
          <w:rFonts w:asciiTheme="minorEastAsia" w:hAnsiTheme="minorEastAsia"/>
          <w:sz w:val="20"/>
          <w:szCs w:val="22"/>
        </w:rPr>
      </w:pPr>
    </w:p>
    <w:p w14:paraId="5393FA18" w14:textId="7F908DD6" w:rsidR="006C5B26" w:rsidRPr="00591657" w:rsidRDefault="006C5B26" w:rsidP="0088612C">
      <w:pPr>
        <w:rPr>
          <w:rFonts w:asciiTheme="minorEastAsia" w:hAnsiTheme="minorEastAsia"/>
          <w:b/>
          <w:bCs/>
          <w:sz w:val="20"/>
          <w:szCs w:val="22"/>
        </w:rPr>
      </w:pPr>
      <w:r w:rsidRPr="00591657">
        <w:rPr>
          <w:rFonts w:asciiTheme="minorEastAsia" w:hAnsiTheme="minorEastAsia" w:hint="eastAsia"/>
          <w:b/>
          <w:bCs/>
          <w:sz w:val="20"/>
          <w:szCs w:val="22"/>
        </w:rPr>
        <w:lastRenderedPageBreak/>
        <w:t>Learning Points</w:t>
      </w:r>
      <w:r w:rsidR="00670EA3" w:rsidRPr="00591657">
        <w:rPr>
          <w:rFonts w:asciiTheme="minorEastAsia" w:hAnsiTheme="minorEastAsia" w:hint="eastAsia"/>
          <w:b/>
          <w:bCs/>
          <w:sz w:val="20"/>
          <w:szCs w:val="22"/>
        </w:rPr>
        <w:t xml:space="preserve"> &amp; Questions</w:t>
      </w:r>
    </w:p>
    <w:p w14:paraId="25B795A1" w14:textId="77777777" w:rsidR="00F1293F" w:rsidRDefault="00F1293F" w:rsidP="00125A2E">
      <w:pPr>
        <w:rPr>
          <w:rFonts w:asciiTheme="minorEastAsia" w:hAnsiTheme="minorEastAsia"/>
          <w:sz w:val="20"/>
          <w:szCs w:val="22"/>
        </w:rPr>
      </w:pPr>
      <w:r w:rsidRPr="00F1293F">
        <w:rPr>
          <w:rFonts w:asciiTheme="minorEastAsia" w:hAnsiTheme="minorEastAsia"/>
          <w:sz w:val="20"/>
          <w:szCs w:val="22"/>
        </w:rPr>
        <w:t>이번 주 문헌들은 허위조작정보를 수용하는 대중의 심리적 메커니즘에 대한 상반된 시각(동기적 추론 vs. 인지적 게으름)과, 이러한 정보가 행동적 차원의 민주주의 훼손으로 이어지는 실증적 경로를 보여주었다</w:t>
      </w:r>
      <w:r>
        <w:rPr>
          <w:rFonts w:asciiTheme="minorEastAsia" w:hAnsiTheme="minorEastAsia" w:hint="eastAsia"/>
          <w:sz w:val="20"/>
          <w:szCs w:val="22"/>
        </w:rPr>
        <w:t>.</w:t>
      </w:r>
    </w:p>
    <w:p w14:paraId="324FFCD1" w14:textId="77777777" w:rsidR="00130FA2" w:rsidRDefault="00130FA2" w:rsidP="00125A2E">
      <w:pPr>
        <w:rPr>
          <w:rFonts w:asciiTheme="minorEastAsia" w:hAnsiTheme="minorEastAsia"/>
          <w:sz w:val="20"/>
          <w:szCs w:val="22"/>
        </w:rPr>
      </w:pPr>
      <w:r w:rsidRPr="00130FA2">
        <w:rPr>
          <w:rFonts w:asciiTheme="minorEastAsia" w:hAnsiTheme="minorEastAsia"/>
          <w:sz w:val="20"/>
          <w:szCs w:val="22"/>
        </w:rPr>
        <w:t>Dickson &amp; Hobolt(2024)의 연구는 트럼프의 단일 트윗이 며칠 만에 지지자들의 이동성을 늘리고 범죄율을 높였다는 흥미로운 결과를 제시한다. 이는 소셜 미디어가 단순한 여론 형성의 장을 넘어 실제적인 반란이나 시민 불복종을 지휘하는 군사적 명령 체계처럼 작동할 수 있음을 보여주며, 엘리트의 선전이 민주주의의 법치주의를 파괴하는 도구가 될 수 있다는 강력한 경고를 던진다.</w:t>
      </w:r>
      <w:r>
        <w:rPr>
          <w:rFonts w:asciiTheme="minorEastAsia" w:hAnsiTheme="minorEastAsia" w:hint="eastAsia"/>
          <w:sz w:val="20"/>
          <w:szCs w:val="22"/>
        </w:rPr>
        <w:t xml:space="preserve"> 하지만 </w:t>
      </w:r>
      <w:r w:rsidRPr="00130FA2">
        <w:rPr>
          <w:rFonts w:asciiTheme="minorEastAsia" w:hAnsiTheme="minorEastAsia"/>
          <w:sz w:val="20"/>
          <w:szCs w:val="22"/>
        </w:rPr>
        <w:t>이 연구의 방법론적 한계들은 저자들 스스로가 명시적으로 인정하고 방어 논리를 폈음에도 불구하고, 연구의 인과적 설득력</w:t>
      </w:r>
      <w:r>
        <w:rPr>
          <w:rFonts w:asciiTheme="minorEastAsia" w:hAnsiTheme="minorEastAsia" w:hint="eastAsia"/>
          <w:sz w:val="20"/>
          <w:szCs w:val="22"/>
        </w:rPr>
        <w:t xml:space="preserve">을 그대로 받아들이고 일반화하기에는 </w:t>
      </w:r>
      <w:r w:rsidR="00523F75">
        <w:rPr>
          <w:rFonts w:asciiTheme="minorEastAsia" w:hAnsiTheme="minorEastAsia" w:hint="eastAsia"/>
          <w:sz w:val="20"/>
          <w:szCs w:val="22"/>
        </w:rPr>
        <w:t xml:space="preserve">아직 걸리는 부분이 있다. </w:t>
      </w:r>
      <w:r w:rsidR="00523F75" w:rsidRPr="00523F75">
        <w:rPr>
          <w:rFonts w:asciiTheme="minorEastAsia" w:hAnsiTheme="minorEastAsia"/>
          <w:sz w:val="20"/>
          <w:szCs w:val="22"/>
        </w:rPr>
        <w:t>현실의 데이터를 인과 추론에 활용할 때 발생하는</w:t>
      </w:r>
      <w:r w:rsidR="00523F75">
        <w:rPr>
          <w:rFonts w:asciiTheme="minorEastAsia" w:hAnsiTheme="minorEastAsia" w:hint="eastAsia"/>
          <w:sz w:val="20"/>
          <w:szCs w:val="22"/>
        </w:rPr>
        <w:t xml:space="preserve"> 어쩔 수 없는 한계점일 수도 있으나, 이에 대해 이야기를 더 자세히 나눠보고자 한다. </w:t>
      </w:r>
    </w:p>
    <w:p w14:paraId="2A7208F4" w14:textId="6B454717" w:rsidR="00130FA2" w:rsidRDefault="00130FA2" w:rsidP="00125A2E">
      <w:pPr>
        <w:rPr>
          <w:rFonts w:asciiTheme="minorEastAsia" w:hAnsiTheme="minorEastAsia"/>
          <w:sz w:val="20"/>
          <w:szCs w:val="22"/>
        </w:rPr>
      </w:pPr>
      <w:r w:rsidRPr="00130FA2">
        <w:rPr>
          <w:rFonts w:asciiTheme="minorEastAsia" w:hAnsiTheme="minorEastAsia"/>
          <w:sz w:val="20"/>
          <w:szCs w:val="22"/>
        </w:rPr>
        <w:t xml:space="preserve">첫째, 생태학적 오류(Ecological Fallacy)와 대리 변수(Proxy) 사용의 한계다. 저자들은 개별 범죄자의 당파성을 직접 확인할 수 없어 '백인'을 공화당 및 트럼프 지지자의 "다소 투박한 척도(crude measure)"로 사용했음을 </w:t>
      </w:r>
      <w:proofErr w:type="gramStart"/>
      <w:r w:rsidRPr="00130FA2">
        <w:rPr>
          <w:rFonts w:asciiTheme="minorEastAsia" w:hAnsiTheme="minorEastAsia"/>
          <w:sz w:val="20"/>
          <w:szCs w:val="22"/>
        </w:rPr>
        <w:t>자인하며 ,</w:t>
      </w:r>
      <w:proofErr w:type="gramEnd"/>
      <w:r w:rsidRPr="00130FA2">
        <w:rPr>
          <w:rFonts w:asciiTheme="minorEastAsia" w:hAnsiTheme="minorEastAsia"/>
          <w:sz w:val="20"/>
          <w:szCs w:val="22"/>
        </w:rPr>
        <w:t xml:space="preserve"> 카운티 단위의 합산 데이터가 지니는 생태학적 추론의 한계도 인정하고 있다. 그러나 현실적인 데이터의 한계라는 점을 감안하더라도, 인종을 당파성으로, 나아가 이를 다시 범죄적 일탈 행동으로 곧장 연결하는 것은 인과적 징검다리가 너무 많이 생략된 과도한 비약이다. 저자들이 한계를 스스로 알고 있다는 사실이 그 헐거운 인과적 간극을 </w:t>
      </w:r>
      <w:r>
        <w:rPr>
          <w:rFonts w:asciiTheme="minorEastAsia" w:hAnsiTheme="minorEastAsia" w:hint="eastAsia"/>
          <w:sz w:val="20"/>
          <w:szCs w:val="22"/>
        </w:rPr>
        <w:t>해결해주지는 못한다고 생각하고, 조금 더 이를 해결할 노력이나 논리가 필요하다고 느꼈다</w:t>
      </w:r>
      <w:r w:rsidRPr="00130FA2">
        <w:rPr>
          <w:rFonts w:asciiTheme="minorEastAsia" w:hAnsiTheme="minorEastAsia"/>
          <w:sz w:val="20"/>
          <w:szCs w:val="22"/>
        </w:rPr>
        <w:t>.</w:t>
      </w:r>
    </w:p>
    <w:p w14:paraId="7B98945C" w14:textId="0041B0AD" w:rsidR="00130FA2" w:rsidRDefault="00130FA2" w:rsidP="006962CF">
      <w:pPr>
        <w:rPr>
          <w:rFonts w:asciiTheme="minorEastAsia" w:hAnsiTheme="minorEastAsia"/>
          <w:sz w:val="20"/>
          <w:szCs w:val="22"/>
        </w:rPr>
      </w:pPr>
      <w:r w:rsidRPr="00130FA2">
        <w:rPr>
          <w:rFonts w:asciiTheme="minorEastAsia" w:hAnsiTheme="minorEastAsia"/>
          <w:sz w:val="20"/>
          <w:szCs w:val="22"/>
        </w:rPr>
        <w:t>둘째, 소셜 미디어 시대의 '</w:t>
      </w:r>
      <w:proofErr w:type="spellStart"/>
      <w:r w:rsidRPr="00130FA2">
        <w:rPr>
          <w:rFonts w:asciiTheme="minorEastAsia" w:hAnsiTheme="minorEastAsia"/>
          <w:sz w:val="20"/>
          <w:szCs w:val="22"/>
        </w:rPr>
        <w:t>통제군</w:t>
      </w:r>
      <w:proofErr w:type="spellEnd"/>
      <w:r w:rsidRPr="00130FA2">
        <w:rPr>
          <w:rFonts w:asciiTheme="minorEastAsia" w:hAnsiTheme="minorEastAsia"/>
          <w:sz w:val="20"/>
          <w:szCs w:val="22"/>
        </w:rPr>
        <w:t xml:space="preserve"> 오염(Spillover effect)' 문제다. 트럼프의 메시지는 3개 주를 명시적으로 </w:t>
      </w:r>
      <w:proofErr w:type="spellStart"/>
      <w:r w:rsidRPr="00130FA2">
        <w:rPr>
          <w:rFonts w:asciiTheme="minorEastAsia" w:hAnsiTheme="minorEastAsia"/>
          <w:sz w:val="20"/>
          <w:szCs w:val="22"/>
        </w:rPr>
        <w:t>타겟팅했지만</w:t>
      </w:r>
      <w:proofErr w:type="spellEnd"/>
      <w:r w:rsidRPr="00130FA2">
        <w:rPr>
          <w:rFonts w:asciiTheme="minorEastAsia" w:hAnsiTheme="minorEastAsia"/>
          <w:sz w:val="20"/>
          <w:szCs w:val="22"/>
        </w:rPr>
        <w:t xml:space="preserve">, 전국적인 언론 보도와 </w:t>
      </w:r>
      <w:proofErr w:type="spellStart"/>
      <w:r w:rsidRPr="00130FA2">
        <w:rPr>
          <w:rFonts w:asciiTheme="minorEastAsia" w:hAnsiTheme="minorEastAsia"/>
          <w:sz w:val="20"/>
          <w:szCs w:val="22"/>
        </w:rPr>
        <w:t>검색량</w:t>
      </w:r>
      <w:proofErr w:type="spellEnd"/>
      <w:r w:rsidRPr="00130FA2">
        <w:rPr>
          <w:rFonts w:asciiTheme="minorEastAsia" w:hAnsiTheme="minorEastAsia"/>
          <w:sz w:val="20"/>
          <w:szCs w:val="22"/>
        </w:rPr>
        <w:t xml:space="preserve"> 폭증을 낳았고 타 주(</w:t>
      </w:r>
      <w:proofErr w:type="spellStart"/>
      <w:r w:rsidRPr="00130FA2">
        <w:rPr>
          <w:rFonts w:asciiTheme="minorEastAsia" w:hAnsiTheme="minorEastAsia"/>
          <w:sz w:val="20"/>
          <w:szCs w:val="22"/>
        </w:rPr>
        <w:t>통제군</w:t>
      </w:r>
      <w:proofErr w:type="spellEnd"/>
      <w:r w:rsidRPr="00130FA2">
        <w:rPr>
          <w:rFonts w:asciiTheme="minorEastAsia" w:hAnsiTheme="minorEastAsia"/>
          <w:sz w:val="20"/>
          <w:szCs w:val="22"/>
        </w:rPr>
        <w:t xml:space="preserve">)의 지지자들 역시 이 선동에 고스란히 노출되었다. 저자들은 </w:t>
      </w:r>
      <w:proofErr w:type="spellStart"/>
      <w:r w:rsidRPr="00130FA2">
        <w:rPr>
          <w:rFonts w:asciiTheme="minorEastAsia" w:hAnsiTheme="minorEastAsia"/>
          <w:sz w:val="20"/>
          <w:szCs w:val="22"/>
        </w:rPr>
        <w:t>통제군</w:t>
      </w:r>
      <w:proofErr w:type="spellEnd"/>
      <w:r w:rsidRPr="00130FA2">
        <w:rPr>
          <w:rFonts w:asciiTheme="minorEastAsia" w:hAnsiTheme="minorEastAsia"/>
          <w:sz w:val="20"/>
          <w:szCs w:val="22"/>
        </w:rPr>
        <w:t xml:space="preserve"> 역시 처치에 일부 노출되었으므로 자신들의 결과가 오히려 "보수적인 추정치"</w:t>
      </w:r>
      <w:proofErr w:type="spellStart"/>
      <w:r w:rsidRPr="00130FA2">
        <w:rPr>
          <w:rFonts w:asciiTheme="minorEastAsia" w:hAnsiTheme="minorEastAsia"/>
          <w:sz w:val="20"/>
          <w:szCs w:val="22"/>
        </w:rPr>
        <w:t>라고</w:t>
      </w:r>
      <w:proofErr w:type="spellEnd"/>
      <w:r w:rsidRPr="00130FA2">
        <w:rPr>
          <w:rFonts w:asciiTheme="minorEastAsia" w:hAnsiTheme="minorEastAsia"/>
          <w:sz w:val="20"/>
          <w:szCs w:val="22"/>
        </w:rPr>
        <w:t xml:space="preserve"> 적극적으로 방어한다. 통계학적으로는 </w:t>
      </w:r>
      <w:r>
        <w:rPr>
          <w:rFonts w:asciiTheme="minorEastAsia" w:hAnsiTheme="minorEastAsia" w:hint="eastAsia"/>
          <w:sz w:val="20"/>
          <w:szCs w:val="22"/>
        </w:rPr>
        <w:t>맞는 말 같기도 하나</w:t>
      </w:r>
      <w:r w:rsidRPr="00130FA2">
        <w:rPr>
          <w:rFonts w:asciiTheme="minorEastAsia" w:hAnsiTheme="minorEastAsia"/>
          <w:sz w:val="20"/>
          <w:szCs w:val="22"/>
        </w:rPr>
        <w:t xml:space="preserve">, 이론적 함의 측면에서는 </w:t>
      </w:r>
      <w:r>
        <w:rPr>
          <w:rFonts w:asciiTheme="minorEastAsia" w:hAnsiTheme="minorEastAsia" w:hint="eastAsia"/>
          <w:sz w:val="20"/>
          <w:szCs w:val="22"/>
        </w:rPr>
        <w:t xml:space="preserve">치명적인 </w:t>
      </w:r>
      <w:proofErr w:type="spellStart"/>
      <w:r>
        <w:rPr>
          <w:rFonts w:asciiTheme="minorEastAsia" w:hAnsiTheme="minorEastAsia" w:hint="eastAsia"/>
          <w:sz w:val="20"/>
          <w:szCs w:val="22"/>
        </w:rPr>
        <w:t>부분같다</w:t>
      </w:r>
      <w:proofErr w:type="spellEnd"/>
      <w:r w:rsidRPr="00130FA2">
        <w:rPr>
          <w:rFonts w:asciiTheme="minorEastAsia" w:hAnsiTheme="minorEastAsia"/>
          <w:sz w:val="20"/>
          <w:szCs w:val="22"/>
        </w:rPr>
        <w:t>. 이들의 분석 결과는 엘리트 선동 메시지 그 자체의 '순수한 행동 통제 효과'</w:t>
      </w:r>
      <w:proofErr w:type="spellStart"/>
      <w:r w:rsidRPr="00130FA2">
        <w:rPr>
          <w:rFonts w:asciiTheme="minorEastAsia" w:hAnsiTheme="minorEastAsia"/>
          <w:sz w:val="20"/>
          <w:szCs w:val="22"/>
        </w:rPr>
        <w:t>를</w:t>
      </w:r>
      <w:proofErr w:type="spellEnd"/>
      <w:r w:rsidRPr="00130FA2">
        <w:rPr>
          <w:rFonts w:asciiTheme="minorEastAsia" w:hAnsiTheme="minorEastAsia"/>
          <w:sz w:val="20"/>
          <w:szCs w:val="22"/>
        </w:rPr>
        <w:t xml:space="preserve"> </w:t>
      </w:r>
      <w:proofErr w:type="spellStart"/>
      <w:r w:rsidRPr="00130FA2">
        <w:rPr>
          <w:rFonts w:asciiTheme="minorEastAsia" w:hAnsiTheme="minorEastAsia"/>
          <w:sz w:val="20"/>
          <w:szCs w:val="22"/>
        </w:rPr>
        <w:t>증명했다기보다는</w:t>
      </w:r>
      <w:proofErr w:type="spellEnd"/>
      <w:r w:rsidRPr="00130FA2">
        <w:rPr>
          <w:rFonts w:asciiTheme="minorEastAsia" w:hAnsiTheme="minorEastAsia"/>
          <w:sz w:val="20"/>
          <w:szCs w:val="22"/>
        </w:rPr>
        <w:t>, 단지 '특정 지역을 콕 집어 호명(targeting)한 것'이 주는 '추가적인 한계 효과(marginal effect)'만을 측정한 것에 불과할 수 있기 때문이다.</w:t>
      </w:r>
    </w:p>
    <w:p w14:paraId="3439CAC9" w14:textId="790F6633" w:rsidR="00130FA2" w:rsidRPr="00130FA2" w:rsidRDefault="00130FA2" w:rsidP="006962CF">
      <w:pPr>
        <w:rPr>
          <w:rFonts w:asciiTheme="minorEastAsia" w:hAnsiTheme="minorEastAsia" w:hint="eastAsia"/>
          <w:sz w:val="20"/>
          <w:szCs w:val="22"/>
        </w:rPr>
      </w:pPr>
      <w:r w:rsidRPr="00130FA2">
        <w:rPr>
          <w:rFonts w:asciiTheme="minorEastAsia" w:hAnsiTheme="minorEastAsia"/>
          <w:sz w:val="20"/>
          <w:szCs w:val="22"/>
        </w:rPr>
        <w:t xml:space="preserve">마지막으로, 효과의 '휘발성'이 갖는 한계다. 연구 결과에 따르면 이동성 증가와 불응 효과는 트윗 후 약 4~5일 만에 다시 이전 수준으로 돌아갔으며, 저자들 역시 이 효과가 "비교적 단기적(relatively short-lived)"이었음을 명시하고 있다. 비록 저자들이 이를 단일 트윗 개입이 가지는 한계로 선을 그었지만, 효과가 이토록 순식간에 사그라졌다는 사실은 본 논문이 거창하게 제기하는 '선전의 행동 통제력'을 다소 무색하게 만든다. 엘리트의 소셜 미디어 선동이 대중의 규범적 신념을 근본적으로 </w:t>
      </w:r>
      <w:proofErr w:type="spellStart"/>
      <w:r w:rsidRPr="00130FA2">
        <w:rPr>
          <w:rFonts w:asciiTheme="minorEastAsia" w:hAnsiTheme="minorEastAsia"/>
          <w:sz w:val="20"/>
          <w:szCs w:val="22"/>
        </w:rPr>
        <w:t>훼손했다기보다는</w:t>
      </w:r>
      <w:proofErr w:type="spellEnd"/>
      <w:r w:rsidRPr="00130FA2">
        <w:rPr>
          <w:rFonts w:asciiTheme="minorEastAsia" w:hAnsiTheme="minorEastAsia"/>
          <w:sz w:val="20"/>
          <w:szCs w:val="22"/>
        </w:rPr>
        <w:t>, 소셜 미디어 특유의 일시적인 분노 표출이나 오프라인 '</w:t>
      </w:r>
      <w:proofErr w:type="spellStart"/>
      <w:r w:rsidRPr="00130FA2">
        <w:rPr>
          <w:rFonts w:asciiTheme="minorEastAsia" w:hAnsiTheme="minorEastAsia"/>
          <w:sz w:val="20"/>
          <w:szCs w:val="22"/>
        </w:rPr>
        <w:t>플래시몹</w:t>
      </w:r>
      <w:proofErr w:type="spellEnd"/>
      <w:r w:rsidRPr="00130FA2">
        <w:rPr>
          <w:rFonts w:asciiTheme="minorEastAsia" w:hAnsiTheme="minorEastAsia"/>
          <w:sz w:val="20"/>
          <w:szCs w:val="22"/>
        </w:rPr>
        <w:t>' 정도의 단발성 해프닝에 불과하지 않았을까 하는 의구심을 지우기 어렵다.</w:t>
      </w:r>
    </w:p>
    <w:p w14:paraId="5111E5F2" w14:textId="7CC3B8E1" w:rsidR="006962CF" w:rsidRDefault="0088612C" w:rsidP="006962CF">
      <w:pPr>
        <w:rPr>
          <w:rFonts w:asciiTheme="minorEastAsia" w:hAnsiTheme="minorEastAsia"/>
          <w:sz w:val="20"/>
          <w:szCs w:val="22"/>
        </w:rPr>
      </w:pPr>
      <w:r w:rsidRPr="00591657">
        <w:rPr>
          <w:rFonts w:asciiTheme="minorEastAsia" w:hAnsiTheme="minorEastAsia"/>
          <w:b/>
          <w:bCs/>
          <w:sz w:val="20"/>
          <w:szCs w:val="22"/>
        </w:rPr>
        <w:t>Q1.</w:t>
      </w:r>
      <w:r w:rsidR="00673ED1">
        <w:rPr>
          <w:rFonts w:asciiTheme="minorEastAsia" w:hAnsiTheme="minorEastAsia" w:hint="eastAsia"/>
          <w:sz w:val="20"/>
          <w:szCs w:val="22"/>
        </w:rPr>
        <w:t xml:space="preserve"> </w:t>
      </w:r>
      <w:r w:rsidR="00673EDF" w:rsidRPr="00673EDF">
        <w:rPr>
          <w:rFonts w:asciiTheme="minorEastAsia" w:hAnsiTheme="minorEastAsia"/>
          <w:sz w:val="20"/>
          <w:szCs w:val="22"/>
        </w:rPr>
        <w:t>Dickson &amp; Hobolt (2024)는 백인 체포율의 증가를 '트럼프 지지자의 시민 불복종'</w:t>
      </w:r>
      <w:proofErr w:type="spellStart"/>
      <w:r w:rsidR="00673EDF" w:rsidRPr="00673EDF">
        <w:rPr>
          <w:rFonts w:asciiTheme="minorEastAsia" w:hAnsiTheme="minorEastAsia"/>
          <w:sz w:val="20"/>
          <w:szCs w:val="22"/>
        </w:rPr>
        <w:t>으로</w:t>
      </w:r>
      <w:proofErr w:type="spellEnd"/>
      <w:r w:rsidR="00673EDF" w:rsidRPr="00673EDF">
        <w:rPr>
          <w:rFonts w:asciiTheme="minorEastAsia" w:hAnsiTheme="minorEastAsia"/>
          <w:sz w:val="20"/>
          <w:szCs w:val="22"/>
        </w:rPr>
        <w:t xml:space="preserve"> 해석했지만, 반대로 </w:t>
      </w:r>
      <w:proofErr w:type="spellStart"/>
      <w:r w:rsidR="00673EDF" w:rsidRPr="00673EDF">
        <w:rPr>
          <w:rFonts w:asciiTheme="minorEastAsia" w:hAnsiTheme="minorEastAsia"/>
          <w:sz w:val="20"/>
          <w:szCs w:val="22"/>
        </w:rPr>
        <w:t>타겟팅된</w:t>
      </w:r>
      <w:proofErr w:type="spellEnd"/>
      <w:r w:rsidR="00673EDF" w:rsidRPr="00673EDF">
        <w:rPr>
          <w:rFonts w:asciiTheme="minorEastAsia" w:hAnsiTheme="minorEastAsia"/>
          <w:sz w:val="20"/>
          <w:szCs w:val="22"/>
        </w:rPr>
        <w:t xml:space="preserve"> 주의 경찰이나 공권력이 트윗 직후 정치적 긴장감에 영향을 받아 순찰을 강화하고 체포 기준을 엄격하게 적용한 결과일 가능성은 없을까? 혹은 트럼프 지지자들의 일탈이 </w:t>
      </w:r>
      <w:r w:rsidR="00673EDF" w:rsidRPr="00673EDF">
        <w:rPr>
          <w:rFonts w:asciiTheme="minorEastAsia" w:hAnsiTheme="minorEastAsia"/>
          <w:sz w:val="20"/>
          <w:szCs w:val="22"/>
        </w:rPr>
        <w:lastRenderedPageBreak/>
        <w:t>아니라 이에 반발하는 '맞불 시위대'</w:t>
      </w:r>
      <w:proofErr w:type="spellStart"/>
      <w:r w:rsidR="00673EDF" w:rsidRPr="00673EDF">
        <w:rPr>
          <w:rFonts w:asciiTheme="minorEastAsia" w:hAnsiTheme="minorEastAsia"/>
          <w:sz w:val="20"/>
          <w:szCs w:val="22"/>
        </w:rPr>
        <w:t>와의</w:t>
      </w:r>
      <w:proofErr w:type="spellEnd"/>
      <w:r w:rsidR="00673EDF" w:rsidRPr="00673EDF">
        <w:rPr>
          <w:rFonts w:asciiTheme="minorEastAsia" w:hAnsiTheme="minorEastAsia"/>
          <w:sz w:val="20"/>
          <w:szCs w:val="22"/>
        </w:rPr>
        <w:t xml:space="preserve"> 물리적 충돌이 체포율을 높인 것은 아닐까? 만약 </w:t>
      </w:r>
      <w:proofErr w:type="spellStart"/>
      <w:r w:rsidR="00673EDF" w:rsidRPr="00673EDF">
        <w:rPr>
          <w:rFonts w:asciiTheme="minorEastAsia" w:hAnsiTheme="minorEastAsia"/>
          <w:sz w:val="20"/>
          <w:szCs w:val="22"/>
        </w:rPr>
        <w:t>텀페이퍼에서</w:t>
      </w:r>
      <w:proofErr w:type="spellEnd"/>
      <w:r w:rsidR="00673EDF" w:rsidRPr="00673EDF">
        <w:rPr>
          <w:rFonts w:asciiTheme="minorEastAsia" w:hAnsiTheme="minorEastAsia"/>
          <w:sz w:val="20"/>
          <w:szCs w:val="22"/>
        </w:rPr>
        <w:t xml:space="preserve"> '온라인 허위정보나 정치 음모론이 오프라인의 일탈/폭력 행동으로 이어지는 경로'</w:t>
      </w:r>
      <w:proofErr w:type="spellStart"/>
      <w:r w:rsidR="00673EDF" w:rsidRPr="00673EDF">
        <w:rPr>
          <w:rFonts w:asciiTheme="minorEastAsia" w:hAnsiTheme="minorEastAsia"/>
          <w:sz w:val="20"/>
          <w:szCs w:val="22"/>
        </w:rPr>
        <w:t>를</w:t>
      </w:r>
      <w:proofErr w:type="spellEnd"/>
      <w:r w:rsidR="00673EDF" w:rsidRPr="00673EDF">
        <w:rPr>
          <w:rFonts w:asciiTheme="minorEastAsia" w:hAnsiTheme="minorEastAsia"/>
          <w:sz w:val="20"/>
          <w:szCs w:val="22"/>
        </w:rPr>
        <w:t xml:space="preserve"> 실증 분석하고자 한다면, 이러한 '공권력의 대응 수준 변화'나 '반대 진영의 반응'이라는 거시적 교란 변수들을 어떻게 통제하고 순수한 수용자의 행동 변화만을 분리해 낼 수 있을지 방법론적 해결책을 논의해보고 싶다.</w:t>
      </w:r>
    </w:p>
    <w:p w14:paraId="36572B11" w14:textId="0B8B007C" w:rsidR="006962CF" w:rsidRDefault="006962CF" w:rsidP="006962CF">
      <w:pPr>
        <w:rPr>
          <w:rFonts w:ascii="Times New Roman" w:hAnsi="Times New Roman" w:cs="Times New Roman"/>
          <w:b/>
          <w:bCs/>
          <w:sz w:val="24"/>
        </w:rPr>
      </w:pPr>
      <w:r>
        <w:rPr>
          <w:rFonts w:asciiTheme="minorEastAsia" w:hAnsiTheme="minorEastAsia" w:hint="eastAsia"/>
          <w:b/>
          <w:bCs/>
          <w:sz w:val="20"/>
          <w:szCs w:val="22"/>
        </w:rPr>
        <w:t xml:space="preserve">Q2. </w:t>
      </w:r>
      <w:r w:rsidR="00673EDF" w:rsidRPr="00673EDF">
        <w:rPr>
          <w:rFonts w:asciiTheme="minorEastAsia" w:hAnsiTheme="minorEastAsia"/>
          <w:sz w:val="20"/>
          <w:szCs w:val="22"/>
        </w:rPr>
        <w:t>트럼프의 트윗 효과가 불과 며칠 만에 사그라졌다는 사실은 선전이 지닌 치명적 한계를 보여주는 것일까, 아니면 소셜 미디어 플랫폼 특유의 짧은 '관심 수명(attention span)'을 보여주는 것일까?</w:t>
      </w:r>
      <w:r w:rsidR="00673EDF">
        <w:rPr>
          <w:rFonts w:asciiTheme="minorEastAsia" w:hAnsiTheme="minorEastAsia" w:hint="eastAsia"/>
          <w:sz w:val="20"/>
          <w:szCs w:val="22"/>
        </w:rPr>
        <w:t xml:space="preserve"> </w:t>
      </w:r>
      <w:r w:rsidR="00673EDF" w:rsidRPr="00673EDF">
        <w:rPr>
          <w:rFonts w:asciiTheme="minorEastAsia" w:hAnsiTheme="minorEastAsia"/>
          <w:sz w:val="20"/>
          <w:szCs w:val="22"/>
        </w:rPr>
        <w:t>엘리트 선동의 위험성을 진단할 때, '행동의 즉각적이고 물리적인 폭발성'과 '신념의 장기적 훼손(예: 선거 결과 불복)' 중 어느 쪽을 민주주의의 더 큰 위협으로 평가해야 할</w:t>
      </w:r>
      <w:r w:rsidR="00673EDF">
        <w:rPr>
          <w:rFonts w:asciiTheme="minorEastAsia" w:hAnsiTheme="minorEastAsia" w:hint="eastAsia"/>
          <w:sz w:val="20"/>
          <w:szCs w:val="22"/>
        </w:rPr>
        <w:t>까?</w:t>
      </w:r>
      <w:r>
        <w:rPr>
          <w:rFonts w:ascii="Times New Roman" w:hAnsi="Times New Roman" w:cs="Times New Roman"/>
          <w:b/>
          <w:bCs/>
          <w:sz w:val="24"/>
        </w:rPr>
        <w:br w:type="page"/>
      </w:r>
    </w:p>
    <w:p w14:paraId="04D31DA8" w14:textId="365357AC" w:rsidR="006C5B26" w:rsidRPr="001B477F" w:rsidRDefault="006C5B26" w:rsidP="00125A2E">
      <w:pPr>
        <w:jc w:val="center"/>
        <w:rPr>
          <w:rFonts w:ascii="Times New Roman" w:hAnsi="Times New Roman" w:cs="Times New Roman"/>
          <w:b/>
          <w:bCs/>
          <w:sz w:val="24"/>
        </w:rPr>
      </w:pPr>
      <w:r w:rsidRPr="001B477F">
        <w:rPr>
          <w:rFonts w:ascii="Times New Roman" w:hAnsi="Times New Roman" w:cs="Times New Roman"/>
          <w:b/>
          <w:bCs/>
          <w:sz w:val="24"/>
        </w:rPr>
        <w:lastRenderedPageBreak/>
        <w:t>References</w:t>
      </w:r>
    </w:p>
    <w:p w14:paraId="06C7152A" w14:textId="29D8B79B" w:rsidR="000300B6" w:rsidRDefault="000300B6" w:rsidP="006C5B26">
      <w:pPr>
        <w:rPr>
          <w:rFonts w:ascii="Times New Roman" w:hAnsi="Times New Roman" w:cs="Times New Roman"/>
          <w:sz w:val="24"/>
        </w:rPr>
      </w:pPr>
    </w:p>
    <w:p w14:paraId="31040DF9" w14:textId="77777777" w:rsidR="009A2BBF" w:rsidRPr="009A2BBF" w:rsidRDefault="009A2BBF" w:rsidP="009A2BBF">
      <w:pPr>
        <w:ind w:left="720" w:hangingChars="300" w:hanging="720"/>
        <w:rPr>
          <w:rFonts w:ascii="Times New Roman" w:hAnsi="Times New Roman" w:cs="Times New Roman"/>
          <w:sz w:val="24"/>
        </w:rPr>
      </w:pPr>
      <w:r w:rsidRPr="009A2BBF">
        <w:rPr>
          <w:rFonts w:ascii="Times New Roman" w:hAnsi="Times New Roman" w:cs="Times New Roman"/>
          <w:sz w:val="24"/>
        </w:rPr>
        <w:t xml:space="preserve">Dickson, Z. P., &amp; Hobolt, S. B. (2025). Elite cues and noncompliance. </w:t>
      </w:r>
      <w:r w:rsidRPr="009A2BBF">
        <w:rPr>
          <w:rFonts w:ascii="Times New Roman" w:hAnsi="Times New Roman" w:cs="Times New Roman"/>
          <w:i/>
          <w:iCs/>
          <w:sz w:val="24"/>
        </w:rPr>
        <w:t>American Political Science Review</w:t>
      </w:r>
      <w:r w:rsidRPr="009A2BBF">
        <w:rPr>
          <w:rFonts w:ascii="Times New Roman" w:hAnsi="Times New Roman" w:cs="Times New Roman"/>
          <w:sz w:val="24"/>
        </w:rPr>
        <w:t xml:space="preserve">, </w:t>
      </w:r>
      <w:r w:rsidRPr="009A2BBF">
        <w:rPr>
          <w:rFonts w:ascii="Times New Roman" w:hAnsi="Times New Roman" w:cs="Times New Roman"/>
          <w:i/>
          <w:iCs/>
          <w:sz w:val="24"/>
        </w:rPr>
        <w:t>119</w:t>
      </w:r>
      <w:r w:rsidRPr="009A2BBF">
        <w:rPr>
          <w:rFonts w:ascii="Times New Roman" w:hAnsi="Times New Roman" w:cs="Times New Roman"/>
          <w:sz w:val="24"/>
        </w:rPr>
        <w:t>(2), 870–886.</w:t>
      </w:r>
    </w:p>
    <w:p w14:paraId="0398D896" w14:textId="77777777" w:rsidR="009A2BBF" w:rsidRPr="009A2BBF" w:rsidRDefault="009A2BBF" w:rsidP="009A2BBF">
      <w:pPr>
        <w:ind w:left="720" w:hangingChars="300" w:hanging="720"/>
        <w:rPr>
          <w:rFonts w:ascii="Times New Roman" w:hAnsi="Times New Roman" w:cs="Times New Roman"/>
          <w:sz w:val="24"/>
        </w:rPr>
      </w:pPr>
      <w:r w:rsidRPr="009A2BBF">
        <w:rPr>
          <w:rFonts w:ascii="Times New Roman" w:hAnsi="Times New Roman" w:cs="Times New Roman"/>
          <w:sz w:val="24"/>
        </w:rPr>
        <w:t xml:space="preserve">Flynn, D. J., Nyhan, B., &amp; Reifler, J. (2017). The nature and origins of misperceptions: Understanding false and unsupported beliefs about politics. </w:t>
      </w:r>
      <w:r w:rsidRPr="009A2BBF">
        <w:rPr>
          <w:rFonts w:ascii="Times New Roman" w:hAnsi="Times New Roman" w:cs="Times New Roman"/>
          <w:i/>
          <w:iCs/>
          <w:sz w:val="24"/>
        </w:rPr>
        <w:t>Political Psychology</w:t>
      </w:r>
      <w:r w:rsidRPr="009A2BBF">
        <w:rPr>
          <w:rFonts w:ascii="Times New Roman" w:hAnsi="Times New Roman" w:cs="Times New Roman"/>
          <w:sz w:val="24"/>
        </w:rPr>
        <w:t xml:space="preserve">, </w:t>
      </w:r>
      <w:r w:rsidRPr="009A2BBF">
        <w:rPr>
          <w:rFonts w:ascii="Times New Roman" w:hAnsi="Times New Roman" w:cs="Times New Roman"/>
          <w:i/>
          <w:iCs/>
          <w:sz w:val="24"/>
        </w:rPr>
        <w:t>38</w:t>
      </w:r>
      <w:r w:rsidRPr="009A2BBF">
        <w:rPr>
          <w:rFonts w:ascii="Times New Roman" w:hAnsi="Times New Roman" w:cs="Times New Roman"/>
          <w:sz w:val="24"/>
        </w:rPr>
        <w:t>(Suppl. 1), 127–150.</w:t>
      </w:r>
    </w:p>
    <w:p w14:paraId="19B99EC7" w14:textId="77777777" w:rsidR="009A2BBF" w:rsidRPr="009A2BBF" w:rsidRDefault="009A2BBF" w:rsidP="009A2BBF">
      <w:pPr>
        <w:ind w:left="720" w:hangingChars="300" w:hanging="720"/>
        <w:rPr>
          <w:rFonts w:ascii="Times New Roman" w:hAnsi="Times New Roman" w:cs="Times New Roman"/>
          <w:sz w:val="24"/>
        </w:rPr>
      </w:pPr>
      <w:r w:rsidRPr="009A2BBF">
        <w:rPr>
          <w:rFonts w:ascii="Times New Roman" w:hAnsi="Times New Roman" w:cs="Times New Roman"/>
          <w:sz w:val="24"/>
        </w:rPr>
        <w:t xml:space="preserve">Pennycook, G., &amp; Rand, D. G. (2019). Lazy, not biased: Susceptibility to partisan fake news is better explained by lack of reasoning than by motivated reasoning. </w:t>
      </w:r>
      <w:r w:rsidRPr="009A2BBF">
        <w:rPr>
          <w:rFonts w:ascii="Times New Roman" w:hAnsi="Times New Roman" w:cs="Times New Roman"/>
          <w:i/>
          <w:iCs/>
          <w:sz w:val="24"/>
        </w:rPr>
        <w:t>Cognition</w:t>
      </w:r>
      <w:r w:rsidRPr="009A2BBF">
        <w:rPr>
          <w:rFonts w:ascii="Times New Roman" w:hAnsi="Times New Roman" w:cs="Times New Roman"/>
          <w:sz w:val="24"/>
        </w:rPr>
        <w:t xml:space="preserve">, </w:t>
      </w:r>
      <w:r w:rsidRPr="009A2BBF">
        <w:rPr>
          <w:rFonts w:ascii="Times New Roman" w:hAnsi="Times New Roman" w:cs="Times New Roman"/>
          <w:i/>
          <w:iCs/>
          <w:sz w:val="24"/>
        </w:rPr>
        <w:t>188</w:t>
      </w:r>
      <w:r w:rsidRPr="009A2BBF">
        <w:rPr>
          <w:rFonts w:ascii="Times New Roman" w:hAnsi="Times New Roman" w:cs="Times New Roman"/>
          <w:sz w:val="24"/>
        </w:rPr>
        <w:t>, 39–50.</w:t>
      </w:r>
    </w:p>
    <w:sectPr w:rsidR="009A2BBF" w:rsidRPr="009A2BB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CC3E5" w14:textId="77777777" w:rsidR="00666AD0" w:rsidRDefault="00666AD0" w:rsidP="00125A2E">
      <w:pPr>
        <w:spacing w:after="0"/>
      </w:pPr>
      <w:r>
        <w:separator/>
      </w:r>
    </w:p>
  </w:endnote>
  <w:endnote w:type="continuationSeparator" w:id="0">
    <w:p w14:paraId="754E35F8" w14:textId="77777777" w:rsidR="00666AD0" w:rsidRDefault="00666AD0" w:rsidP="00125A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61921" w14:textId="77777777" w:rsidR="00666AD0" w:rsidRDefault="00666AD0" w:rsidP="00125A2E">
      <w:pPr>
        <w:spacing w:after="0"/>
      </w:pPr>
      <w:r>
        <w:separator/>
      </w:r>
    </w:p>
  </w:footnote>
  <w:footnote w:type="continuationSeparator" w:id="0">
    <w:p w14:paraId="150FD185" w14:textId="77777777" w:rsidR="00666AD0" w:rsidRDefault="00666AD0" w:rsidP="00125A2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C1D78"/>
    <w:multiLevelType w:val="hybridMultilevel"/>
    <w:tmpl w:val="6338F668"/>
    <w:lvl w:ilvl="0" w:tplc="2F82D6A8">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9A25C2"/>
    <w:multiLevelType w:val="hybridMultilevel"/>
    <w:tmpl w:val="6D24898A"/>
    <w:lvl w:ilvl="0" w:tplc="1B6429B4">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440E19E1"/>
    <w:multiLevelType w:val="hybridMultilevel"/>
    <w:tmpl w:val="DD0A50B6"/>
    <w:lvl w:ilvl="0" w:tplc="3AEA8A7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55B710E4"/>
    <w:multiLevelType w:val="hybridMultilevel"/>
    <w:tmpl w:val="4C7E07DA"/>
    <w:lvl w:ilvl="0" w:tplc="EA9C0D1C">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5945691A"/>
    <w:multiLevelType w:val="multilevel"/>
    <w:tmpl w:val="BEBE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554404"/>
    <w:multiLevelType w:val="hybridMultilevel"/>
    <w:tmpl w:val="A80A0782"/>
    <w:lvl w:ilvl="0" w:tplc="6F50A7F4">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68A67212"/>
    <w:multiLevelType w:val="hybridMultilevel"/>
    <w:tmpl w:val="69741378"/>
    <w:lvl w:ilvl="0" w:tplc="20E0B9C6">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523397666">
    <w:abstractNumId w:val="3"/>
  </w:num>
  <w:num w:numId="2" w16cid:durableId="1412239007">
    <w:abstractNumId w:val="6"/>
  </w:num>
  <w:num w:numId="3" w16cid:durableId="1267735291">
    <w:abstractNumId w:val="5"/>
  </w:num>
  <w:num w:numId="4" w16cid:durableId="1949659377">
    <w:abstractNumId w:val="1"/>
  </w:num>
  <w:num w:numId="5" w16cid:durableId="678387361">
    <w:abstractNumId w:val="0"/>
  </w:num>
  <w:num w:numId="6" w16cid:durableId="2084912953">
    <w:abstractNumId w:val="2"/>
  </w:num>
  <w:num w:numId="7" w16cid:durableId="12133519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26"/>
    <w:rsid w:val="00022DA2"/>
    <w:rsid w:val="000300B6"/>
    <w:rsid w:val="000452C6"/>
    <w:rsid w:val="00046168"/>
    <w:rsid w:val="00057ACA"/>
    <w:rsid w:val="0006501A"/>
    <w:rsid w:val="00076FC4"/>
    <w:rsid w:val="000839EF"/>
    <w:rsid w:val="000D0F89"/>
    <w:rsid w:val="000E1903"/>
    <w:rsid w:val="0012103B"/>
    <w:rsid w:val="00122F18"/>
    <w:rsid w:val="00125A2E"/>
    <w:rsid w:val="00130FA2"/>
    <w:rsid w:val="00147435"/>
    <w:rsid w:val="00151125"/>
    <w:rsid w:val="00165B41"/>
    <w:rsid w:val="001760DE"/>
    <w:rsid w:val="001852BB"/>
    <w:rsid w:val="00197A9E"/>
    <w:rsid w:val="001B0A48"/>
    <w:rsid w:val="001B477F"/>
    <w:rsid w:val="001F1960"/>
    <w:rsid w:val="00245F9E"/>
    <w:rsid w:val="00257D00"/>
    <w:rsid w:val="00297E3F"/>
    <w:rsid w:val="002C027F"/>
    <w:rsid w:val="002D7E49"/>
    <w:rsid w:val="00320B24"/>
    <w:rsid w:val="003753F8"/>
    <w:rsid w:val="0039711D"/>
    <w:rsid w:val="003A2FCA"/>
    <w:rsid w:val="003C0A5E"/>
    <w:rsid w:val="003D53AE"/>
    <w:rsid w:val="003E7C4A"/>
    <w:rsid w:val="00420F88"/>
    <w:rsid w:val="004559CE"/>
    <w:rsid w:val="004870A6"/>
    <w:rsid w:val="004C5C81"/>
    <w:rsid w:val="00523F75"/>
    <w:rsid w:val="0057621B"/>
    <w:rsid w:val="00591657"/>
    <w:rsid w:val="005D755E"/>
    <w:rsid w:val="00614CD1"/>
    <w:rsid w:val="00614DBD"/>
    <w:rsid w:val="00635E25"/>
    <w:rsid w:val="00666AD0"/>
    <w:rsid w:val="00670EA3"/>
    <w:rsid w:val="00673ED1"/>
    <w:rsid w:val="00673EDF"/>
    <w:rsid w:val="006914BC"/>
    <w:rsid w:val="006962CF"/>
    <w:rsid w:val="006B15C4"/>
    <w:rsid w:val="006C5B26"/>
    <w:rsid w:val="006E5F4E"/>
    <w:rsid w:val="00723A72"/>
    <w:rsid w:val="00752A34"/>
    <w:rsid w:val="00765CC2"/>
    <w:rsid w:val="007B1E26"/>
    <w:rsid w:val="008168EB"/>
    <w:rsid w:val="00831245"/>
    <w:rsid w:val="0088612C"/>
    <w:rsid w:val="008D3BE2"/>
    <w:rsid w:val="0095747A"/>
    <w:rsid w:val="00963639"/>
    <w:rsid w:val="00975051"/>
    <w:rsid w:val="009A2BBF"/>
    <w:rsid w:val="009B028F"/>
    <w:rsid w:val="00A2115D"/>
    <w:rsid w:val="00A25E22"/>
    <w:rsid w:val="00AA2B9B"/>
    <w:rsid w:val="00AA41D1"/>
    <w:rsid w:val="00AC0E0F"/>
    <w:rsid w:val="00B17D23"/>
    <w:rsid w:val="00B25009"/>
    <w:rsid w:val="00B42668"/>
    <w:rsid w:val="00B43DB4"/>
    <w:rsid w:val="00B67258"/>
    <w:rsid w:val="00B76E1D"/>
    <w:rsid w:val="00B960F7"/>
    <w:rsid w:val="00C1234D"/>
    <w:rsid w:val="00C22EA3"/>
    <w:rsid w:val="00C71BB8"/>
    <w:rsid w:val="00CE54CC"/>
    <w:rsid w:val="00CF3FAE"/>
    <w:rsid w:val="00D13832"/>
    <w:rsid w:val="00D43407"/>
    <w:rsid w:val="00DA64FC"/>
    <w:rsid w:val="00DE30F6"/>
    <w:rsid w:val="00E100C0"/>
    <w:rsid w:val="00E30E17"/>
    <w:rsid w:val="00E40199"/>
    <w:rsid w:val="00E90B97"/>
    <w:rsid w:val="00E943FC"/>
    <w:rsid w:val="00E960A0"/>
    <w:rsid w:val="00EC28EE"/>
    <w:rsid w:val="00EC7F1B"/>
    <w:rsid w:val="00F1293F"/>
    <w:rsid w:val="00F433B0"/>
    <w:rsid w:val="00F702C5"/>
    <w:rsid w:val="00FA4EE2"/>
    <w:rsid w:val="00FA5C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1F066"/>
  <w15:chartTrackingRefBased/>
  <w15:docId w15:val="{AEAB4B99-E1D7-436E-B9D2-1AFC25B6A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60F7"/>
    <w:pPr>
      <w:widowControl w:val="0"/>
      <w:wordWrap w:val="0"/>
      <w:autoSpaceDE w:val="0"/>
      <w:autoSpaceDN w:val="0"/>
    </w:pPr>
  </w:style>
  <w:style w:type="paragraph" w:styleId="1">
    <w:name w:val="heading 1"/>
    <w:basedOn w:val="a"/>
    <w:next w:val="a"/>
    <w:link w:val="1Char"/>
    <w:uiPriority w:val="9"/>
    <w:qFormat/>
    <w:rsid w:val="006C5B2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C5B2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C5B2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6C5B2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C5B2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C5B2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C5B2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C5B2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C5B2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C5B2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C5B2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C5B2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6C5B2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C5B2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C5B2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C5B2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C5B2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C5B2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C5B2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C5B2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C5B2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C5B2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C5B26"/>
    <w:pPr>
      <w:spacing w:before="160"/>
      <w:jc w:val="center"/>
    </w:pPr>
    <w:rPr>
      <w:i/>
      <w:iCs/>
      <w:color w:val="404040" w:themeColor="text1" w:themeTint="BF"/>
    </w:rPr>
  </w:style>
  <w:style w:type="character" w:customStyle="1" w:styleId="Char1">
    <w:name w:val="인용 Char"/>
    <w:basedOn w:val="a0"/>
    <w:link w:val="a5"/>
    <w:uiPriority w:val="29"/>
    <w:rsid w:val="006C5B26"/>
    <w:rPr>
      <w:i/>
      <w:iCs/>
      <w:color w:val="404040" w:themeColor="text1" w:themeTint="BF"/>
    </w:rPr>
  </w:style>
  <w:style w:type="paragraph" w:styleId="a6">
    <w:name w:val="List Paragraph"/>
    <w:basedOn w:val="a"/>
    <w:uiPriority w:val="34"/>
    <w:qFormat/>
    <w:rsid w:val="006C5B26"/>
    <w:pPr>
      <w:ind w:left="720"/>
      <w:contextualSpacing/>
    </w:pPr>
  </w:style>
  <w:style w:type="character" w:styleId="a7">
    <w:name w:val="Intense Emphasis"/>
    <w:basedOn w:val="a0"/>
    <w:uiPriority w:val="21"/>
    <w:qFormat/>
    <w:rsid w:val="006C5B26"/>
    <w:rPr>
      <w:i/>
      <w:iCs/>
      <w:color w:val="0F4761" w:themeColor="accent1" w:themeShade="BF"/>
    </w:rPr>
  </w:style>
  <w:style w:type="paragraph" w:styleId="a8">
    <w:name w:val="Intense Quote"/>
    <w:basedOn w:val="a"/>
    <w:next w:val="a"/>
    <w:link w:val="Char2"/>
    <w:uiPriority w:val="30"/>
    <w:qFormat/>
    <w:rsid w:val="006C5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C5B26"/>
    <w:rPr>
      <w:i/>
      <w:iCs/>
      <w:color w:val="0F4761" w:themeColor="accent1" w:themeShade="BF"/>
    </w:rPr>
  </w:style>
  <w:style w:type="character" w:styleId="a9">
    <w:name w:val="Intense Reference"/>
    <w:basedOn w:val="a0"/>
    <w:uiPriority w:val="32"/>
    <w:qFormat/>
    <w:rsid w:val="006C5B26"/>
    <w:rPr>
      <w:b/>
      <w:bCs/>
      <w:smallCaps/>
      <w:color w:val="0F4761" w:themeColor="accent1" w:themeShade="BF"/>
      <w:spacing w:val="5"/>
    </w:rPr>
  </w:style>
  <w:style w:type="character" w:styleId="aa">
    <w:name w:val="Hyperlink"/>
    <w:basedOn w:val="a0"/>
    <w:uiPriority w:val="99"/>
    <w:unhideWhenUsed/>
    <w:rsid w:val="00D43407"/>
    <w:rPr>
      <w:color w:val="467886" w:themeColor="hyperlink"/>
      <w:u w:val="single"/>
    </w:rPr>
  </w:style>
  <w:style w:type="character" w:styleId="ab">
    <w:name w:val="Unresolved Mention"/>
    <w:basedOn w:val="a0"/>
    <w:uiPriority w:val="99"/>
    <w:semiHidden/>
    <w:unhideWhenUsed/>
    <w:rsid w:val="00D43407"/>
    <w:rPr>
      <w:color w:val="605E5C"/>
      <w:shd w:val="clear" w:color="auto" w:fill="E1DFDD"/>
    </w:rPr>
  </w:style>
  <w:style w:type="paragraph" w:styleId="ac">
    <w:name w:val="header"/>
    <w:basedOn w:val="a"/>
    <w:link w:val="Char3"/>
    <w:uiPriority w:val="99"/>
    <w:unhideWhenUsed/>
    <w:rsid w:val="00125A2E"/>
    <w:pPr>
      <w:tabs>
        <w:tab w:val="center" w:pos="4513"/>
        <w:tab w:val="right" w:pos="9026"/>
      </w:tabs>
      <w:snapToGrid w:val="0"/>
    </w:pPr>
  </w:style>
  <w:style w:type="character" w:customStyle="1" w:styleId="Char3">
    <w:name w:val="머리글 Char"/>
    <w:basedOn w:val="a0"/>
    <w:link w:val="ac"/>
    <w:uiPriority w:val="99"/>
    <w:rsid w:val="00125A2E"/>
  </w:style>
  <w:style w:type="paragraph" w:styleId="ad">
    <w:name w:val="footer"/>
    <w:basedOn w:val="a"/>
    <w:link w:val="Char4"/>
    <w:uiPriority w:val="99"/>
    <w:unhideWhenUsed/>
    <w:rsid w:val="00125A2E"/>
    <w:pPr>
      <w:tabs>
        <w:tab w:val="center" w:pos="4513"/>
        <w:tab w:val="right" w:pos="9026"/>
      </w:tabs>
      <w:snapToGrid w:val="0"/>
    </w:pPr>
  </w:style>
  <w:style w:type="character" w:customStyle="1" w:styleId="Char4">
    <w:name w:val="바닥글 Char"/>
    <w:basedOn w:val="a0"/>
    <w:link w:val="ad"/>
    <w:uiPriority w:val="99"/>
    <w:rsid w:val="00125A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2101</TotalTime>
  <Pages>4</Pages>
  <Words>674</Words>
  <Characters>3848</Characters>
  <Application>Microsoft Office Word</Application>
  <DocSecurity>0</DocSecurity>
  <Lines>32</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Jongbeen Song</cp:lastModifiedBy>
  <cp:revision>30</cp:revision>
  <cp:lastPrinted>2026-04-28T03:35:00Z</cp:lastPrinted>
  <dcterms:created xsi:type="dcterms:W3CDTF">2026-03-10T02:33:00Z</dcterms:created>
  <dcterms:modified xsi:type="dcterms:W3CDTF">2026-05-05T06:35:00Z</dcterms:modified>
</cp:coreProperties>
</file>