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사례_행정입법, 행정계획 답안</w:t>
      </w:r>
    </w:p>
    <w:p>
      <w:r>
        <w:rPr>
          <w:rFonts w:ascii="Arial" w:hAnsi="Arial"/>
          <w:b/>
          <w:sz w:val="24"/>
        </w:rPr>
        <w:t>【I. 행정입법 &gt; 1. 법 원리 &gt; 1) 상위법령의 수권의 한계 = 포괄위임금지】</w:t>
      </w:r>
    </w:p>
    <w:p>
      <w:r>
        <w:rPr>
          <w:rFonts w:ascii="Arial" w:hAnsi="Arial"/>
        </w:rPr>
        <w:t xml:space="preserve">  1번. 포괄위임금지</w:t>
      </w:r>
    </w:p>
    <w:p>
      <w:r>
        <w:rPr>
          <w:rFonts w:ascii="Arial" w:hAnsi="Arial"/>
        </w:rPr>
        <w:t xml:space="preserve">  2번. 위임명령</w:t>
      </w:r>
    </w:p>
    <w:p>
      <w:r>
        <w:rPr>
          <w:rFonts w:ascii="Arial" w:hAnsi="Arial"/>
        </w:rPr>
        <w:t xml:space="preserve">  3번. 재위임</w:t>
      </w:r>
    </w:p>
    <w:p>
      <w:r>
        <w:rPr>
          <w:rFonts w:ascii="Arial" w:hAnsi="Arial"/>
          <w:b/>
          <w:sz w:val="24"/>
        </w:rPr>
        <w:t>【I. 행정입법 &gt; 1. 법 원리 &gt; 2) 위임명령의 내용상 한계】</w:t>
      </w:r>
    </w:p>
    <w:p>
      <w:r>
        <w:rPr>
          <w:rFonts w:ascii="Arial" w:hAnsi="Arial"/>
        </w:rPr>
        <w:t xml:space="preserve">  1번. 위임명령</w:t>
      </w:r>
    </w:p>
    <w:p>
      <w:r>
        <w:rPr>
          <w:rFonts w:ascii="Arial" w:hAnsi="Arial"/>
          <w:b/>
          <w:sz w:val="24"/>
        </w:rPr>
        <w:t>【I. 행정입법 &gt; 1. 법 원리 &gt; 3) 법률유보원칙의 완화】</w:t>
      </w:r>
    </w:p>
    <w:p>
      <w:r>
        <w:rPr>
          <w:rFonts w:ascii="Arial" w:hAnsi="Arial"/>
        </w:rPr>
        <w:t xml:space="preserve">  1번. 법률유보원칙</w:t>
      </w:r>
    </w:p>
    <w:p>
      <w:r>
        <w:rPr>
          <w:rFonts w:ascii="Arial" w:hAnsi="Arial"/>
          <w:b/>
          <w:sz w:val="24"/>
        </w:rPr>
        <w:t>【I. 행정입법 &gt; 1. 법 원리 &gt; 4) 법 개정과 신뢰보호원칙】</w:t>
      </w:r>
    </w:p>
    <w:p>
      <w:r>
        <w:rPr>
          <w:rFonts w:ascii="Arial" w:hAnsi="Arial"/>
        </w:rPr>
        <w:t xml:space="preserve">  1번. 신뢰보호원칙</w:t>
      </w:r>
    </w:p>
    <w:p>
      <w:r>
        <w:rPr>
          <w:rFonts w:ascii="Arial" w:hAnsi="Arial"/>
          <w:b/>
          <w:sz w:val="24"/>
        </w:rPr>
        <w:t>【I. 행정입법 &gt; 2. 행정입법의 구분】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집행명령</w:t>
      </w:r>
    </w:p>
    <w:p>
      <w:r>
        <w:rPr>
          <w:rFonts w:ascii="Arial" w:hAnsi="Arial"/>
          <w:b/>
          <w:sz w:val="24"/>
        </w:rPr>
        <w:t>【I. 행정입법 &gt; 2. 행정입법의 구분 &gt; 1) 행정규칙에 근거한 처분의 위법성】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  <w:b/>
          <w:sz w:val="24"/>
        </w:rPr>
        <w:t>【I. 행정입법 &gt; 3. 법규명령 형식의 행정규칙】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재량준칙</w:t>
      </w:r>
    </w:p>
    <w:p>
      <w:r>
        <w:rPr>
          <w:rFonts w:ascii="Arial" w:hAnsi="Arial"/>
        </w:rPr>
        <w:t xml:space="preserve">  3번. 법규명령</w:t>
      </w:r>
    </w:p>
    <w:p>
      <w:r>
        <w:rPr>
          <w:rFonts w:ascii="Arial" w:hAnsi="Arial"/>
          <w:b/>
          <w:sz w:val="24"/>
        </w:rPr>
        <w:t>【I. 행정입법 &gt; 3. 법규명령 형식의 행정규칙 &gt; 1) ★행정규칙에 기한 처분의 위법성 심사방식】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재량준칙</w:t>
      </w:r>
    </w:p>
    <w:p>
      <w:r>
        <w:rPr>
          <w:rFonts w:ascii="Arial" w:hAnsi="Arial"/>
          <w:b/>
          <w:sz w:val="24"/>
        </w:rPr>
        <w:t>【I. 행정입법 &gt; 3. 법규명령 형식의 행정규칙 &gt; 2) 행정규칙에 가중적 처분기준이 있는 경우 소의이익】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법규명령</w:t>
      </w:r>
    </w:p>
    <w:p>
      <w:r>
        <w:rPr>
          <w:rFonts w:ascii="Arial" w:hAnsi="Arial"/>
          <w:b/>
          <w:sz w:val="24"/>
        </w:rPr>
        <w:t>【I. 행정입법 &gt; 3. 법규명령 형식의 행정규칙 &gt; 3) 재량준칙인 법규명령(=시행령 위임)에 기속행위로 규정된 경우 재량행위 여부】</w:t>
      </w:r>
    </w:p>
    <w:p>
      <w:r>
        <w:rPr>
          <w:rFonts w:ascii="Arial" w:hAnsi="Arial"/>
        </w:rPr>
        <w:t xml:space="preserve">  1번. 재량준칙</w:t>
      </w:r>
    </w:p>
    <w:p>
      <w:r>
        <w:rPr>
          <w:rFonts w:ascii="Arial" w:hAnsi="Arial"/>
        </w:rPr>
        <w:t xml:space="preserve">  2번. 법규명령</w:t>
      </w:r>
    </w:p>
    <w:p>
      <w:r>
        <w:rPr>
          <w:rFonts w:ascii="Arial" w:hAnsi="Arial"/>
        </w:rPr>
        <w:t xml:space="preserve">  3번. 법규성</w:t>
      </w:r>
    </w:p>
    <w:p>
      <w:r>
        <w:rPr>
          <w:rFonts w:ascii="Arial" w:hAnsi="Arial"/>
          <w:b/>
          <w:sz w:val="24"/>
        </w:rPr>
        <w:t>【I. 행정입법 &gt; 3. 법규명령 형식의 행정규칙 &gt; 4) 행정규칙에 근거한 공무원 감독권 행사】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  <w:b/>
          <w:sz w:val="24"/>
        </w:rPr>
        <w:t>【I. 행정입법 &gt; 4. 법령보충규칙(고시, 지침, 훈령)】</w:t>
      </w:r>
    </w:p>
    <w:p>
      <w:r>
        <w:rPr>
          <w:rFonts w:ascii="Arial" w:hAnsi="Arial"/>
        </w:rPr>
        <w:t xml:space="preserve">  1번. 지침</w:t>
      </w:r>
    </w:p>
    <w:p>
      <w:r>
        <w:rPr>
          <w:rFonts w:ascii="Arial" w:hAnsi="Arial"/>
        </w:rPr>
        <w:t xml:space="preserve">  2번. 고시</w:t>
      </w:r>
    </w:p>
    <w:p>
      <w:r>
        <w:rPr>
          <w:rFonts w:ascii="Arial" w:hAnsi="Arial"/>
        </w:rPr>
        <w:t xml:space="preserve">  3번. 위임명령</w:t>
      </w:r>
    </w:p>
    <w:p>
      <w:r>
        <w:rPr>
          <w:rFonts w:ascii="Arial" w:hAnsi="Arial"/>
        </w:rPr>
        <w:t xml:space="preserve">  4번. 행정규칙</w:t>
      </w:r>
    </w:p>
    <w:p>
      <w:r>
        <w:rPr>
          <w:rFonts w:ascii="Arial" w:hAnsi="Arial"/>
        </w:rPr>
        <w:t xml:space="preserve">  5번. 법규명령</w:t>
      </w:r>
    </w:p>
    <w:p>
      <w:r>
        <w:rPr>
          <w:rFonts w:ascii="Arial" w:hAnsi="Arial"/>
        </w:rPr>
        <w:t xml:space="preserve">  6번. 법령보충규칙</w:t>
      </w:r>
    </w:p>
    <w:p>
      <w:r>
        <w:rPr>
          <w:rFonts w:ascii="Arial" w:hAnsi="Arial"/>
        </w:rPr>
        <w:t xml:space="preserve">  7번. 행정기본법</w:t>
      </w:r>
    </w:p>
    <w:p>
      <w:r>
        <w:rPr>
          <w:rFonts w:ascii="Arial" w:hAnsi="Arial"/>
        </w:rPr>
        <w:t xml:space="preserve">  8번. 법규성</w:t>
      </w:r>
    </w:p>
    <w:p>
      <w:r>
        <w:rPr>
          <w:rFonts w:ascii="Arial" w:hAnsi="Arial"/>
        </w:rPr>
        <w:t xml:space="preserve">  9번. 포괄위임금지</w:t>
      </w:r>
    </w:p>
    <w:p>
      <w:r>
        <w:rPr>
          <w:rFonts w:ascii="Arial" w:hAnsi="Arial"/>
          <w:b/>
          <w:sz w:val="24"/>
        </w:rPr>
        <w:t>【I. 행정입법 &gt; 5. 고시】</w:t>
      </w:r>
    </w:p>
    <w:p>
      <w:r>
        <w:rPr>
          <w:rFonts w:ascii="Arial" w:hAnsi="Arial"/>
        </w:rPr>
        <w:t xml:space="preserve">  1번. 고시</w:t>
      </w:r>
    </w:p>
    <w:p>
      <w:r>
        <w:rPr>
          <w:rFonts w:ascii="Arial" w:hAnsi="Arial"/>
          <w:b/>
          <w:sz w:val="24"/>
        </w:rPr>
        <w:t>【I. 행정입법 &gt; 5. 고시 &gt; 1) 법적성격】</w:t>
      </w:r>
    </w:p>
    <w:p>
      <w:r>
        <w:rPr>
          <w:rFonts w:ascii="Arial" w:hAnsi="Arial"/>
        </w:rPr>
        <w:t xml:space="preserve">  1번. 고시</w:t>
      </w:r>
    </w:p>
    <w:p>
      <w:r>
        <w:rPr>
          <w:rFonts w:ascii="Arial" w:hAnsi="Arial"/>
        </w:rPr>
        <w:t xml:space="preserve">  2번. 훈령</w:t>
      </w:r>
    </w:p>
    <w:p>
      <w:r>
        <w:rPr>
          <w:rFonts w:ascii="Arial" w:hAnsi="Arial"/>
        </w:rPr>
        <w:t xml:space="preserve">  3번. 행정규칙</w:t>
      </w:r>
    </w:p>
    <w:p>
      <w:r>
        <w:rPr>
          <w:rFonts w:ascii="Arial" w:hAnsi="Arial"/>
          <w:b/>
          <w:sz w:val="24"/>
        </w:rPr>
        <w:t>【I. 행정입법 &gt; 5. 고시 &gt; 2) 처분성】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고시</w:t>
      </w:r>
    </w:p>
    <w:p>
      <w:r>
        <w:rPr>
          <w:rFonts w:ascii="Arial" w:hAnsi="Arial"/>
          <w:b/>
          <w:sz w:val="24"/>
        </w:rPr>
        <w:t>【I. 행정입법 &gt; 5. 고시 &gt; 3) 처분적 고시와 제소기간】</w:t>
      </w:r>
    </w:p>
    <w:p>
      <w:r>
        <w:rPr>
          <w:rFonts w:ascii="Arial" w:hAnsi="Arial"/>
        </w:rPr>
        <w:t xml:space="preserve">  1번. 고시</w:t>
      </w:r>
    </w:p>
    <w:p>
      <w:r>
        <w:rPr>
          <w:rFonts w:ascii="Arial" w:hAnsi="Arial"/>
          <w:b/>
          <w:sz w:val="24"/>
        </w:rPr>
        <w:t>【I. 행정입법 &gt; 5. 고시 &gt; 4) 처분적 고시와 행정절차법】</w:t>
      </w:r>
    </w:p>
    <w:p>
      <w:r>
        <w:rPr>
          <w:rFonts w:ascii="Arial" w:hAnsi="Arial"/>
        </w:rPr>
        <w:t xml:space="preserve">  1번. 고시</w:t>
      </w:r>
    </w:p>
    <w:p>
      <w:r>
        <w:rPr>
          <w:rFonts w:ascii="Arial" w:hAnsi="Arial"/>
          <w:b/>
          <w:sz w:val="24"/>
        </w:rPr>
        <w:t>【I. 행정입법 &gt; 6. 행정입법의 사법적 통제 &gt; 1) 법규명령】</w:t>
      </w:r>
    </w:p>
    <w:p>
      <w:r>
        <w:rPr>
          <w:rFonts w:ascii="Arial" w:hAnsi="Arial"/>
        </w:rPr>
        <w:t xml:space="preserve">  1번. 법규명령</w:t>
      </w:r>
    </w:p>
    <w:p>
      <w:r>
        <w:rPr>
          <w:rFonts w:ascii="Arial" w:hAnsi="Arial"/>
          <w:b/>
          <w:sz w:val="24"/>
        </w:rPr>
        <w:t>【I. 행정입법 &gt; 6. 행정입법의 사법적 통제 &gt; 2) 행정규칙 : 대외적 구속력 없으므로 사법통제대상이 되지 않음.】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재량준칙</w:t>
      </w:r>
    </w:p>
    <w:p>
      <w:r>
        <w:rPr>
          <w:rFonts w:ascii="Arial" w:hAnsi="Arial"/>
          <w:b/>
          <w:sz w:val="24"/>
        </w:rPr>
        <w:t>【I. 행정입법 &gt; 7. 학칙】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법령보충규칙</w:t>
      </w:r>
    </w:p>
    <w:p>
      <w:r>
        <w:rPr>
          <w:rFonts w:ascii="Arial" w:hAnsi="Arial"/>
        </w:rPr>
        <w:t xml:space="preserve">  3번. 법규명령</w:t>
      </w:r>
    </w:p>
    <w:p>
      <w:r>
        <w:rPr>
          <w:rFonts w:ascii="Arial" w:hAnsi="Arial"/>
        </w:rPr>
        <w:t xml:space="preserve">  4번. 위임명령</w:t>
      </w:r>
    </w:p>
    <w:p>
      <w:r>
        <w:rPr>
          <w:rFonts w:ascii="Arial" w:hAnsi="Arial"/>
          <w:b/>
          <w:sz w:val="24"/>
        </w:rPr>
        <w:t>【IV. 행정계획】</w:t>
      </w:r>
    </w:p>
    <w:p>
      <w:r>
        <w:rPr>
          <w:rFonts w:ascii="Arial" w:hAnsi="Arial"/>
        </w:rPr>
        <w:t xml:space="preserve">  1번. 행정계획</w:t>
      </w:r>
    </w:p>
    <w:p>
      <w:r>
        <w:rPr>
          <w:rFonts w:ascii="Arial" w:hAnsi="Arial"/>
          <w:b/>
          <w:sz w:val="24"/>
        </w:rPr>
        <w:t>【IV. 행정계획 &gt; 1. 의의 및 법적성격】</w:t>
      </w:r>
    </w:p>
    <w:p>
      <w:r>
        <w:rPr>
          <w:rFonts w:ascii="Arial" w:hAnsi="Arial"/>
        </w:rPr>
        <w:t xml:space="preserve">  1번. 행정계획</w:t>
      </w:r>
    </w:p>
    <w:p>
      <w:r>
        <w:rPr>
          <w:rFonts w:ascii="Arial" w:hAnsi="Arial"/>
          <w:b/>
          <w:sz w:val="24"/>
        </w:rPr>
        <w:t>【IV. 행정계획 &gt; 2. 위법성 판단】</w:t>
      </w:r>
    </w:p>
    <w:p>
      <w:r>
        <w:rPr>
          <w:rFonts w:ascii="Arial" w:hAnsi="Arial"/>
        </w:rPr>
        <w:t xml:space="preserve">  1번. 행정계획</w:t>
      </w:r>
    </w:p>
    <w:p>
      <w:r>
        <w:rPr>
          <w:rFonts w:ascii="Arial" w:hAnsi="Arial"/>
        </w:rPr>
        <w:t xml:space="preserve">  2번. 형량하자</w:t>
      </w:r>
    </w:p>
    <w:p>
      <w:r>
        <w:rPr>
          <w:rFonts w:ascii="Arial" w:hAnsi="Arial"/>
          <w:b/>
          <w:sz w:val="24"/>
        </w:rPr>
        <w:t>【IV. 행정계획 &gt; 3. 계획재량】</w:t>
      </w:r>
    </w:p>
    <w:p>
      <w:r>
        <w:rPr>
          <w:rFonts w:ascii="Arial" w:hAnsi="Arial"/>
        </w:rPr>
        <w:t xml:space="preserve">  1번. 계획재량</w:t>
      </w:r>
    </w:p>
    <w:p>
      <w:r>
        <w:rPr>
          <w:rFonts w:ascii="Arial" w:hAnsi="Arial"/>
        </w:rPr>
        <w:t xml:space="preserve">  2번. 행정계획</w:t>
      </w:r>
    </w:p>
    <w:p>
      <w:r>
        <w:rPr>
          <w:rFonts w:ascii="Arial" w:hAnsi="Arial"/>
        </w:rPr>
        <w:t xml:space="preserve">  3번. 형량명령원칙</w:t>
      </w:r>
    </w:p>
    <w:p>
      <w:r>
        <w:rPr>
          <w:rFonts w:ascii="Arial" w:hAnsi="Arial"/>
          <w:b/>
          <w:sz w:val="24"/>
        </w:rPr>
        <w:t>【IV. 행정계획 &gt; 4. 형량명령원칙과 형량하자(행정계획 위법성 심사방법)】</w:t>
      </w:r>
    </w:p>
    <w:p>
      <w:r>
        <w:rPr>
          <w:rFonts w:ascii="Arial" w:hAnsi="Arial"/>
        </w:rPr>
        <w:t xml:space="preserve">  1번. 형량하자</w:t>
      </w:r>
    </w:p>
    <w:p>
      <w:r>
        <w:rPr>
          <w:rFonts w:ascii="Arial" w:hAnsi="Arial"/>
        </w:rPr>
        <w:t xml:space="preserve">  2번. 행정계획</w:t>
      </w:r>
    </w:p>
    <w:p>
      <w:r>
        <w:rPr>
          <w:rFonts w:ascii="Arial" w:hAnsi="Arial"/>
        </w:rPr>
        <w:t xml:space="preserve">  3번. 형량의 해태</w:t>
      </w:r>
    </w:p>
    <w:p>
      <w:r>
        <w:rPr>
          <w:rFonts w:ascii="Arial" w:hAnsi="Arial"/>
        </w:rPr>
        <w:t xml:space="preserve">  4번. 형량의 흠결</w:t>
      </w:r>
    </w:p>
    <w:p>
      <w:r>
        <w:rPr>
          <w:rFonts w:ascii="Arial" w:hAnsi="Arial"/>
        </w:rPr>
        <w:t xml:space="preserve">  5번. 오형량</w:t>
      </w:r>
    </w:p>
    <w:p>
      <w:r>
        <w:rPr>
          <w:rFonts w:ascii="Arial" w:hAnsi="Arial"/>
        </w:rPr>
        <w:t xml:space="preserve">  6번. 계획재량</w:t>
      </w:r>
    </w:p>
    <w:p>
      <w:r>
        <w:rPr>
          <w:rFonts w:ascii="Arial" w:hAnsi="Arial"/>
          <w:b/>
          <w:sz w:val="24"/>
        </w:rPr>
        <w:t>【표 1】</w:t>
      </w:r>
    </w:p>
    <w:p>
      <w:r>
        <w:rPr>
          <w:rFonts w:ascii="Arial" w:hAnsi="Arial"/>
        </w:rPr>
        <w:t xml:space="preserve">  1번. 행정규칙</w:t>
      </w:r>
    </w:p>
    <w:p>
      <w:r>
        <w:rPr>
          <w:rFonts w:ascii="Arial" w:hAnsi="Arial"/>
        </w:rPr>
        <w:t xml:space="preserve">  2번. 고시</w:t>
      </w:r>
    </w:p>
    <w:p>
      <w:r>
        <w:rPr>
          <w:rFonts w:ascii="Arial" w:hAnsi="Arial"/>
        </w:rPr>
        <w:t xml:space="preserve">  3번. 법규성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