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DE75" w14:textId="77777777" w:rsidR="006410AE" w:rsidRPr="006410AE" w:rsidRDefault="006410AE" w:rsidP="006410AE">
      <w:pPr>
        <w:jc w:val="center"/>
      </w:pPr>
      <w:r w:rsidRPr="006410AE">
        <w:rPr>
          <w:b/>
          <w:bCs/>
        </w:rPr>
        <w:t>Energy Mix Transition: Global and National Trends in Low-carbon Electricity (1985–2023)</w:t>
      </w:r>
    </w:p>
    <w:p w14:paraId="69A293E5" w14:textId="5961A1E0" w:rsidR="00AF5D15" w:rsidRDefault="006410AE" w:rsidP="006410AE">
      <w:pPr>
        <w:jc w:val="center"/>
      </w:pPr>
      <w:r>
        <w:rPr>
          <w:rFonts w:hint="eastAsia"/>
          <w:noProof/>
        </w:rPr>
        <w:drawing>
          <wp:inline distT="0" distB="0" distL="0" distR="0" wp14:anchorId="5769EE41" wp14:editId="47A05368">
            <wp:extent cx="5267325" cy="2828925"/>
            <wp:effectExtent l="0" t="0" r="9525" b="9525"/>
            <wp:docPr id="15328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5859BB" wp14:editId="6160CB3C">
            <wp:extent cx="2238375" cy="1885950"/>
            <wp:effectExtent l="0" t="0" r="9525" b="0"/>
            <wp:docPr id="2605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414" cy="191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9855524" wp14:editId="22D09A42">
            <wp:extent cx="2971800" cy="2019057"/>
            <wp:effectExtent l="0" t="0" r="0" b="635"/>
            <wp:docPr id="1359500640" name="Picture 4" descr="A graph of electricity sys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00640" name="Picture 4" descr="A graph of electricity syste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090" cy="203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A2FF" w14:textId="77777777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>Legend</w:t>
      </w:r>
    </w:p>
    <w:p w14:paraId="4C5AD319" w14:textId="77777777" w:rsidR="006410AE" w:rsidRPr="006410AE" w:rsidRDefault="006410AE" w:rsidP="006410AE">
      <w:pPr>
        <w:pStyle w:val="ListParagraph"/>
        <w:numPr>
          <w:ilvl w:val="0"/>
          <w:numId w:val="4"/>
        </w:numPr>
      </w:pPr>
      <w:r w:rsidRPr="006410AE">
        <w:t>Colors represent electricity sources including coal, gas, oil, nuclear, hydro, wind, solar, bioenergy, and other renewables.</w:t>
      </w:r>
    </w:p>
    <w:p w14:paraId="53614457" w14:textId="77777777" w:rsidR="006410AE" w:rsidRPr="006410AE" w:rsidRDefault="006410AE" w:rsidP="006410AE">
      <w:pPr>
        <w:pStyle w:val="ListParagraph"/>
        <w:numPr>
          <w:ilvl w:val="0"/>
          <w:numId w:val="4"/>
        </w:numPr>
      </w:pPr>
      <w:r w:rsidRPr="006410AE">
        <w:t>Stacked areas represent electricity generation in terawatt-hours (TWh), whereas lines show total output or relative shares.</w:t>
      </w:r>
    </w:p>
    <w:p w14:paraId="5587AAC6" w14:textId="77777777" w:rsidR="006410AE" w:rsidRPr="006410AE" w:rsidRDefault="006410AE" w:rsidP="006410AE">
      <w:pPr>
        <w:pStyle w:val="ListParagraph"/>
        <w:numPr>
          <w:ilvl w:val="0"/>
          <w:numId w:val="4"/>
        </w:numPr>
      </w:pPr>
      <w:r w:rsidRPr="006410AE">
        <w:t>The main figure uses small multiples:</w:t>
      </w:r>
    </w:p>
    <w:p w14:paraId="50AF60B8" w14:textId="77777777" w:rsidR="006410AE" w:rsidRPr="006410AE" w:rsidRDefault="006410AE" w:rsidP="006410AE">
      <w:pPr>
        <w:pStyle w:val="ListParagraph"/>
        <w:numPr>
          <w:ilvl w:val="1"/>
          <w:numId w:val="4"/>
        </w:numPr>
      </w:pPr>
      <w:r w:rsidRPr="006410AE">
        <w:t>Each panel represents one major economy.</w:t>
      </w:r>
    </w:p>
    <w:p w14:paraId="731E572C" w14:textId="77777777" w:rsidR="006410AE" w:rsidRPr="006410AE" w:rsidRDefault="006410AE" w:rsidP="006410AE">
      <w:pPr>
        <w:pStyle w:val="ListParagraph"/>
        <w:numPr>
          <w:ilvl w:val="1"/>
          <w:numId w:val="4"/>
        </w:numPr>
      </w:pPr>
      <w:r w:rsidRPr="006410AE">
        <w:t>The horizontal axis shows the year (1985–2023).</w:t>
      </w:r>
    </w:p>
    <w:p w14:paraId="6E031523" w14:textId="77777777" w:rsidR="006410AE" w:rsidRPr="006410AE" w:rsidRDefault="006410AE" w:rsidP="006410AE">
      <w:pPr>
        <w:pStyle w:val="ListParagraph"/>
        <w:numPr>
          <w:ilvl w:val="1"/>
          <w:numId w:val="4"/>
        </w:numPr>
      </w:pPr>
      <w:r w:rsidRPr="006410AE">
        <w:t>The vertical axis indicates the percentage of electricity generated from low-carbon sources.</w:t>
      </w:r>
    </w:p>
    <w:p w14:paraId="074EDE1F" w14:textId="77777777" w:rsidR="006410AE" w:rsidRPr="006410AE" w:rsidRDefault="006410AE" w:rsidP="006410AE">
      <w:pPr>
        <w:pStyle w:val="ListParagraph"/>
        <w:numPr>
          <w:ilvl w:val="0"/>
          <w:numId w:val="4"/>
        </w:numPr>
      </w:pPr>
      <w:r w:rsidRPr="006410AE">
        <w:t>Low-carbon electricity is defined as the sum of nuclear and all renewable sources.</w:t>
      </w:r>
    </w:p>
    <w:p w14:paraId="77AC0F38" w14:textId="77777777" w:rsidR="006410AE" w:rsidRPr="006410AE" w:rsidRDefault="006410AE" w:rsidP="006410AE">
      <w:pPr>
        <w:numPr>
          <w:ilvl w:val="0"/>
          <w:numId w:val="2"/>
        </w:numPr>
      </w:pPr>
      <w:r w:rsidRPr="006410AE">
        <w:lastRenderedPageBreak/>
        <w:t>Consistent color encoding and shared axes allow direct comparison across countries.</w:t>
      </w:r>
    </w:p>
    <w:p w14:paraId="2D4C9621" w14:textId="12FFECA2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 xml:space="preserve">Findings </w:t>
      </w:r>
    </w:p>
    <w:p w14:paraId="6E283D76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 xml:space="preserve">Global electricity demand </w:t>
      </w:r>
      <w:proofErr w:type="gramStart"/>
      <w:r w:rsidRPr="006410AE">
        <w:t>more</w:t>
      </w:r>
      <w:proofErr w:type="gramEnd"/>
      <w:r w:rsidRPr="006410AE">
        <w:t xml:space="preserve"> than doubled since 1985, driven by economic development and population growth.</w:t>
      </w:r>
    </w:p>
    <w:p w14:paraId="18CAD107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 xml:space="preserve">Low-carbon </w:t>
      </w:r>
      <w:proofErr w:type="gramStart"/>
      <w:r w:rsidRPr="006410AE">
        <w:t>electricity—</w:t>
      </w:r>
      <w:proofErr w:type="gramEnd"/>
      <w:r w:rsidRPr="006410AE">
        <w:t>especially wind and solar—accelerated sharply after 2010, becoming the largest source of new clean power additions.</w:t>
      </w:r>
    </w:p>
    <w:p w14:paraId="37C1C871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Fossil fuels remain dominant worldwide, but their share has gradually declined as renewables expand.</w:t>
      </w:r>
    </w:p>
    <w:p w14:paraId="20337B28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Among major economies, the European Union exhibits the highest and most stable low-carbon share, exceeding 60% in recent years.</w:t>
      </w:r>
    </w:p>
    <w:p w14:paraId="72087AC8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The United States shows moderate improvement, while China’s low-carbon share rises rapidly after 2010 following large-scale renewable deployment.</w:t>
      </w:r>
    </w:p>
    <w:p w14:paraId="4A5B2EE9" w14:textId="77777777" w:rsidR="006410AE" w:rsidRDefault="006410AE" w:rsidP="006410AE">
      <w:pPr>
        <w:pStyle w:val="ListParagraph"/>
        <w:numPr>
          <w:ilvl w:val="0"/>
          <w:numId w:val="2"/>
        </w:numPr>
      </w:pPr>
      <w:r w:rsidRPr="006410AE">
        <w:t>India remains the most fossil-dependent of the four economies, reflecting slower renewable integration.</w:t>
      </w:r>
    </w:p>
    <w:p w14:paraId="7938C201" w14:textId="77777777" w:rsidR="006410AE" w:rsidRPr="006410AE" w:rsidRDefault="006410AE" w:rsidP="006410AE">
      <w:pPr>
        <w:pStyle w:val="ListParagraph"/>
        <w:rPr>
          <w:rFonts w:hint="eastAsia"/>
        </w:rPr>
      </w:pPr>
    </w:p>
    <w:p w14:paraId="0D6F178F" w14:textId="77777777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>Data &amp; Method</w:t>
      </w:r>
    </w:p>
    <w:p w14:paraId="79E775E7" w14:textId="77777777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>Data Source</w:t>
      </w:r>
    </w:p>
    <w:p w14:paraId="3FA31E85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Kaggle dataset: electricity-prod-source-stacked.csv, containing annual electricity generation by source for global and national entities.</w:t>
      </w:r>
    </w:p>
    <w:p w14:paraId="6FD6BB0A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Includes coal, gas, oil, nuclear, hydro, wind, solar, bioenergy, and other renewables from 1985 to 2023.</w:t>
      </w:r>
    </w:p>
    <w:p w14:paraId="1BD26FF6" w14:textId="77777777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>Processing</w:t>
      </w:r>
    </w:p>
    <w:p w14:paraId="731DF79F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Cleaned column names and removed redundant descriptors.</w:t>
      </w:r>
    </w:p>
    <w:p w14:paraId="5FB184FF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Aggregated low-carbon electricity: nuclear + hydro + wind + solar + bioenergy + other renewables.</w:t>
      </w:r>
    </w:p>
    <w:p w14:paraId="38481CC1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Computed total generation and respective shares for each entity and year.</w:t>
      </w:r>
    </w:p>
    <w:p w14:paraId="4183E417" w14:textId="77777777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>Metrics</w:t>
      </w:r>
    </w:p>
    <w:p w14:paraId="7BD2273C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Low-carbon share = (nuclear + renewables) / total generation.</w:t>
      </w:r>
    </w:p>
    <w:p w14:paraId="483823AE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Fossil share = (coal + gas + oil) / total generation.</w:t>
      </w:r>
    </w:p>
    <w:p w14:paraId="2CBD9FDB" w14:textId="77777777" w:rsidR="006410AE" w:rsidRPr="006410AE" w:rsidRDefault="006410AE" w:rsidP="006410AE">
      <w:pPr>
        <w:rPr>
          <w:b/>
          <w:bCs/>
        </w:rPr>
      </w:pPr>
      <w:r w:rsidRPr="006410AE">
        <w:rPr>
          <w:b/>
          <w:bCs/>
        </w:rPr>
        <w:t>Visualization</w:t>
      </w:r>
    </w:p>
    <w:p w14:paraId="01AA5FA4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Implemented in Python using pandas, matplotlib, and seaborn.</w:t>
      </w:r>
    </w:p>
    <w:p w14:paraId="0023CA35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Stacked area chart → visualizes long-term structural change.</w:t>
      </w:r>
    </w:p>
    <w:p w14:paraId="78110C80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lastRenderedPageBreak/>
        <w:t>Line chart → compares fossil and low-carbon shares globally.</w:t>
      </w:r>
    </w:p>
    <w:p w14:paraId="411972A5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Horizontal bar chart → highlights cross-country rankings.</w:t>
      </w:r>
    </w:p>
    <w:p w14:paraId="08500008" w14:textId="77777777" w:rsidR="006410AE" w:rsidRPr="006410AE" w:rsidRDefault="006410AE" w:rsidP="006410AE">
      <w:pPr>
        <w:pStyle w:val="ListParagraph"/>
        <w:numPr>
          <w:ilvl w:val="0"/>
          <w:numId w:val="2"/>
        </w:numPr>
      </w:pPr>
      <w:r w:rsidRPr="006410AE">
        <w:t>Small-multiples → enable clear side-by-side comparison of major economies.</w:t>
      </w:r>
    </w:p>
    <w:p w14:paraId="3F893574" w14:textId="0717ADB6" w:rsidR="006410AE" w:rsidRDefault="006410AE" w:rsidP="006410AE">
      <w:pPr>
        <w:ind w:left="360"/>
      </w:pPr>
    </w:p>
    <w:p w14:paraId="2EACDC0B" w14:textId="77777777" w:rsidR="006410AE" w:rsidRPr="006410AE" w:rsidRDefault="006410AE" w:rsidP="006410AE">
      <w:pPr>
        <w:ind w:left="360"/>
        <w:rPr>
          <w:b/>
          <w:bCs/>
        </w:rPr>
      </w:pPr>
      <w:r w:rsidRPr="006410AE">
        <w:rPr>
          <w:b/>
          <w:bCs/>
        </w:rPr>
        <w:t>Significance Statement</w:t>
      </w:r>
    </w:p>
    <w:p w14:paraId="38825CA0" w14:textId="77777777" w:rsidR="006410AE" w:rsidRPr="006410AE" w:rsidRDefault="006410AE" w:rsidP="006410AE">
      <w:pPr>
        <w:ind w:left="360"/>
      </w:pPr>
      <w:r w:rsidRPr="006410AE">
        <w:t xml:space="preserve">Electricity generation is one of the world’s largest contributors to greenhouse gas emissions; therefore, understanding the pace and direction of its decarbonization is essential for evaluating global climate progress. Low-carbon electricity forms the backbone of economy-wide net-zero strategies </w:t>
      </w:r>
      <w:proofErr w:type="gramStart"/>
      <w:r w:rsidRPr="006410AE">
        <w:t>because</w:t>
      </w:r>
      <w:proofErr w:type="gramEnd"/>
      <w:r w:rsidRPr="006410AE">
        <w:t xml:space="preserve"> electrification of transport, heating, and industry depends heavily on clean power supplies.</w:t>
      </w:r>
    </w:p>
    <w:p w14:paraId="7C283CAA" w14:textId="77777777" w:rsidR="006410AE" w:rsidRDefault="006410AE" w:rsidP="006410AE">
      <w:pPr>
        <w:ind w:left="360"/>
      </w:pPr>
      <w:r w:rsidRPr="006410AE">
        <w:t xml:space="preserve">The visualization clarifies not only global progress but also the substantial disparities between countries. Some systems have already surpassed 90% </w:t>
      </w:r>
      <w:proofErr w:type="gramStart"/>
      <w:r w:rsidRPr="006410AE">
        <w:t>low</w:t>
      </w:r>
      <w:proofErr w:type="gramEnd"/>
      <w:r w:rsidRPr="006410AE">
        <w:t xml:space="preserve">-carbon electricity, proving the technical feasibility of deep decarbonization. </w:t>
      </w:r>
      <w:proofErr w:type="gramStart"/>
      <w:r w:rsidRPr="006410AE">
        <w:t>Others—</w:t>
      </w:r>
      <w:proofErr w:type="gramEnd"/>
      <w:r w:rsidRPr="006410AE">
        <w:t xml:space="preserve">including major emerging </w:t>
      </w:r>
      <w:proofErr w:type="gramStart"/>
      <w:r w:rsidRPr="006410AE">
        <w:t>economies—</w:t>
      </w:r>
      <w:proofErr w:type="gramEnd"/>
      <w:r w:rsidRPr="006410AE">
        <w:t>still rely heavily on coal and gas. By presenting long-term trends alongside cross-country comparisons, the figure supports policy analysis, investment planning, and public communication around the energy transition.</w:t>
      </w:r>
    </w:p>
    <w:p w14:paraId="6D872B2E" w14:textId="77777777" w:rsidR="00A02416" w:rsidRDefault="00A02416" w:rsidP="006410AE">
      <w:pPr>
        <w:ind w:left="360"/>
      </w:pPr>
    </w:p>
    <w:p w14:paraId="74620592" w14:textId="1958EC9A" w:rsidR="00A02416" w:rsidRPr="006410AE" w:rsidRDefault="00A02416" w:rsidP="006410AE">
      <w:pPr>
        <w:ind w:left="360"/>
        <w:rPr>
          <w:b/>
          <w:bCs/>
        </w:rPr>
      </w:pPr>
      <w:r w:rsidRPr="00A02416">
        <w:rPr>
          <w:b/>
          <w:bCs/>
        </w:rPr>
        <w:t>GitHub repository</w:t>
      </w:r>
    </w:p>
    <w:p w14:paraId="1962551B" w14:textId="296E12DA" w:rsidR="006410AE" w:rsidRPr="006410AE" w:rsidRDefault="00A02416" w:rsidP="006410AE">
      <w:pPr>
        <w:ind w:left="360"/>
        <w:rPr>
          <w:rFonts w:hint="eastAsia"/>
        </w:rPr>
      </w:pPr>
      <w:r w:rsidRPr="00A02416">
        <w:t>https://github.com/Songheng-HE/Final_Project</w:t>
      </w:r>
    </w:p>
    <w:sectPr w:rsidR="006410AE" w:rsidRPr="006410A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276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6558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595F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A17E7"/>
    <w:multiLevelType w:val="hybridMultilevel"/>
    <w:tmpl w:val="5B0C593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41581D35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30CD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26780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F270A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42A56"/>
    <w:multiLevelType w:val="multilevel"/>
    <w:tmpl w:val="BFA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C59E0"/>
    <w:multiLevelType w:val="multilevel"/>
    <w:tmpl w:val="E0C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863881">
    <w:abstractNumId w:val="8"/>
  </w:num>
  <w:num w:numId="2" w16cid:durableId="428742446">
    <w:abstractNumId w:val="5"/>
  </w:num>
  <w:num w:numId="3" w16cid:durableId="1571960251">
    <w:abstractNumId w:val="9"/>
  </w:num>
  <w:num w:numId="4" w16cid:durableId="1753576790">
    <w:abstractNumId w:val="2"/>
  </w:num>
  <w:num w:numId="5" w16cid:durableId="631247512">
    <w:abstractNumId w:val="0"/>
  </w:num>
  <w:num w:numId="6" w16cid:durableId="1981615291">
    <w:abstractNumId w:val="7"/>
  </w:num>
  <w:num w:numId="7" w16cid:durableId="1061712087">
    <w:abstractNumId w:val="1"/>
  </w:num>
  <w:num w:numId="8" w16cid:durableId="920334103">
    <w:abstractNumId w:val="4"/>
  </w:num>
  <w:num w:numId="9" w16cid:durableId="1465000469">
    <w:abstractNumId w:val="6"/>
  </w:num>
  <w:num w:numId="10" w16cid:durableId="1758673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15"/>
    <w:rsid w:val="00066DDD"/>
    <w:rsid w:val="003B1921"/>
    <w:rsid w:val="006410AE"/>
    <w:rsid w:val="007B426E"/>
    <w:rsid w:val="00A02416"/>
    <w:rsid w:val="00AF5D15"/>
    <w:rsid w:val="00FC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4387"/>
  <w15:chartTrackingRefBased/>
  <w15:docId w15:val="{2C4687DA-417E-4AC1-9276-5949071C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5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1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1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1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1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1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1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F5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松恒 何</dc:creator>
  <cp:keywords/>
  <dc:description/>
  <cp:lastModifiedBy>松恒 何</cp:lastModifiedBy>
  <cp:revision>1</cp:revision>
  <dcterms:created xsi:type="dcterms:W3CDTF">2025-12-11T13:16:00Z</dcterms:created>
  <dcterms:modified xsi:type="dcterms:W3CDTF">2025-12-11T14:07:00Z</dcterms:modified>
</cp:coreProperties>
</file>