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3·4·5·6·7·8·9·11·12번은 기존 블록 위치를 조정한다. 5번은 점프 발판 2개와 중앙 벽의 빈칸을 채우는 기본 블록 1개를 추가한다. 11번은 시작 지점 오른쪽 상단 빈칸을 기본 블록 1개로 막는다.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왼쪽 위 점프 블록은 y=640px, 중앙 점프 블록은 y=704px로 다음 발판과 128px 차이를 맞춘다. 시작 지점 아래와 오른쪽 상단 빈칸을 기본 블록으로 채워 이글루로 바로 내려가지 못하게 한다. 하단 파괴 블록을 제거한 뒤 왼쪽 발사 블록으로 이글루에 도착한다.</w:t>
      </w:r>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br/>
        <w:t>왼쪽 점프 블록(x=832px)을 64px 올려 아래쪽 다섯 점프 블록의 높이를 y=736px로 맞춘다. 오른쪽 하단 단독 기본 블록 위에 이글루를 두며 바다사자 외곽 이동을 표시한다.</w:t>
      </w:r>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