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3·4·5·6·7·8·9·11번은 기존 블록 위치를 조정한다. 5번은 점프 발판 2개와 중앙 벽의 빈칸을 채우는 기본 블록 1개를 추가한다.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br/>
        <w:t>좌우 이동 블록은 왼쪽 x=192~704px, y=832px를 왕복한다. 왼쪽 점프 블록은 y=768·640px에 둔다. 첫 두 파괴 블록을 y=512·448px로 내려 y=384px 다리까지 128·64·64px씩 오르게 한다. 오른쪽 상하 이동 구간은 유지한다.</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왼쪽 위 점프 블록은 y=640px, 중앙 점프 블록은 y=704px로 옮겨 다음 발판과 128px 차이로 맞춘다. 오른쪽 복귀 발판을 64px 계단으로 맞추고 기둥의 중간 블록을 아래 받침으로 옮겨 이글루 진입 통로를 확보한다. 바다사자는 기존 외곽 경로를 유지한다.</w:t>
      </w:r>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