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기존 발판과 아이템 수를 유지한다. 3·4·6·7·9번은 기존 블록의 위치를 조정해 높이와 간격을 맞춘다. 4번에서는 왼쪽 아래 파괴 블록과 겹친 가시 1개를 제거한다.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중앙 시간 발판 경로의 끝은 기본 블록으로 두고 그 위에 이글루를 배치한다.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가운데 발판과 오른쪽 도착 발판을 낮추고 이글루도 함께 내려 배치한다.</w:t>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