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w:t>
      </w:r>
      <w:bookmarkStart w:id="87" w:name="_GoBack"/>
      <w:bookmarkEnd w:id="87"/>
      <w:r>
        <w:rPr>
          <w:rFonts w:hint="eastAsia"/>
          <w:sz w:val="30"/>
          <w:szCs w:val="30"/>
          <w:lang w:val="en-US" w:eastAsia="zh-CN"/>
        </w:rPr>
        <w:t xml:space="preserve">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10789"/>
      <w:bookmarkStart w:id="16" w:name="_Toc27308"/>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0230"/>
      <w:bookmarkStart w:id="19" w:name="_Toc18464"/>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15610"/>
      <w:bookmarkStart w:id="24" w:name="_Toc3089"/>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13370"/>
      <w:bookmarkStart w:id="28" w:name="_Toc24153"/>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44" w:name="_Toc25814"/>
      <w:bookmarkStart w:id="45"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2506"/>
      <w:bookmarkStart w:id="55" w:name="_Toc13160"/>
      <w:bookmarkStart w:id="56" w:name="_Toc25447"/>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9752"/>
      <w:bookmarkStart w:id="58" w:name="_Toc552"/>
      <w:bookmarkStart w:id="59" w:name="_Toc26869"/>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948"/>
      <w:bookmarkStart w:id="65" w:name="_Toc1294"/>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26119"/>
      <w:bookmarkStart w:id="73" w:name="_Toc17557"/>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19449"/>
      <w:bookmarkStart w:id="75" w:name="_Toc20190"/>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16</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