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2711"/>
      <w:bookmarkStart w:id="1" w:name="_Toc27266"/>
      <w:bookmarkStart w:id="2" w:name="_Toc16672"/>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绪论正文"/>
        <w:bidi w:val="0"/>
        <w:rPr>
          <w:rFonts w:hint="eastAsia"/>
          <w:lang w:val="en-US" w:eastAsia="zh-CN"/>
        </w:rPr>
      </w:pPr>
      <w:bookmarkStart w:id="5" w:name="_Toc22381"/>
      <w:r>
        <w:rPr>
          <w:rFonts w:hint="eastAsia"/>
          <w:lang w:val="en-US" w:eastAsia="zh-CN"/>
        </w:rPr>
        <w:t>（一） 研究背景及意义</w:t>
      </w:r>
      <w:bookmarkEnd w:id="5"/>
    </w:p>
    <w:p w14:paraId="71951A9C">
      <w:pPr>
        <w:pStyle w:val="绪论正文"/>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pStyle w:val="绪论正文"/>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pStyle w:val="绪论正文"/>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绪论正文"/>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pStyle w:val="绪论正文"/>
        <w:rPr>
          <w:rFonts w:hint="default"/>
          <w:lang w:val="en-US" w:eastAsia="zh-CN"/>
        </w:rPr>
      </w:pPr>
      <w:r>
        <w:rPr>
          <w:rFonts w:hint="default"/>
          <w:lang w:val="en-US" w:eastAsia="zh-CN"/>
        </w:rPr>
        <w:t>1. 传统机器学习模型在心脏病预测中的应用</w:t>
      </w:r>
    </w:p>
    <w:p w14:paraId="2FC4E15D">
      <w:pPr>
        <w:pStyle w:val="绪论正文"/>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pStyle w:val="绪论正文"/>
        <w:rPr>
          <w:rFonts w:hint="default"/>
          <w:lang w:val="en-US" w:eastAsia="zh-CN"/>
        </w:rPr>
      </w:pPr>
      <w:r>
        <w:rPr>
          <w:rFonts w:hint="default"/>
          <w:lang w:val="en-US" w:eastAsia="zh-CN"/>
        </w:rPr>
        <w:t>2. 缺失值填充方法</w:t>
      </w:r>
    </w:p>
    <w:p w14:paraId="14742C51">
      <w:pPr>
        <w:pStyle w:val="绪论正文"/>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pStyle w:val="绪论正文"/>
        <w:rPr>
          <w:rFonts w:hint="default"/>
          <w:lang w:val="en-US" w:eastAsia="zh-CN"/>
        </w:rPr>
      </w:pPr>
      <w:r>
        <w:rPr>
          <w:rFonts w:hint="default"/>
          <w:lang w:val="en-US" w:eastAsia="zh-CN"/>
        </w:rPr>
        <w:t>3. 超参数优化技术</w:t>
      </w:r>
    </w:p>
    <w:p w14:paraId="357E3803">
      <w:pPr>
        <w:pStyle w:val="绪论正文"/>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pStyle w:val="绪论正文"/>
        <w:rPr>
          <w:rFonts w:hint="default"/>
          <w:lang w:val="en-US" w:eastAsia="zh-CN"/>
        </w:rPr>
      </w:pPr>
      <w:r>
        <w:rPr>
          <w:rFonts w:hint="default"/>
          <w:lang w:val="en-US" w:eastAsia="zh-CN"/>
        </w:rPr>
        <w:t>4. 集成学习与可解释性分析</w:t>
      </w:r>
    </w:p>
    <w:p w14:paraId="72D08BAF">
      <w:pPr>
        <w:pStyle w:val="绪论正文"/>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pStyle w:val="绪论正文"/>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pStyle w:val="绪论正文"/>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绪论正文"/>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pStyle w:val="绪论正文"/>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数据来源正文"/>
        <w:bidi w:val="0"/>
        <w:rPr>
          <w:rFonts w:hint="eastAsia"/>
          <w:lang w:val="en-US" w:eastAsia="zh-CN"/>
        </w:rPr>
      </w:pPr>
      <w:bookmarkStart w:id="12" w:name="_Toc23096"/>
      <w:r>
        <w:rPr>
          <w:rFonts w:hint="eastAsia"/>
          <w:lang w:val="en-US" w:eastAsia="zh-CN"/>
        </w:rPr>
        <w:t>（一）数据来源</w:t>
      </w:r>
      <w:bookmarkEnd w:id="12"/>
    </w:p>
    <w:p w14:paraId="3E416FD8">
      <w:pPr>
        <w:pStyle w:val="数据来源正文"/>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pStyle w:val="数据来源正文"/>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数据来源正文"/>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pStyle w:val="数据预处理正文"/>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数据预处理正文"/>
        <w:bidi w:val="0"/>
        <w:rPr>
          <w:rFonts w:hint="eastAsia"/>
          <w:lang w:val="en-US" w:eastAsia="zh-CN"/>
        </w:rPr>
      </w:pPr>
      <w:bookmarkStart w:id="14" w:name="_Toc23107"/>
      <w:r>
        <w:rPr>
          <w:rFonts w:hint="eastAsia"/>
          <w:lang w:val="en-US" w:eastAsia="zh-CN"/>
        </w:rPr>
        <w:t>（一）数据正态性分析</w:t>
      </w:r>
      <w:bookmarkEnd w:id="14"/>
    </w:p>
    <w:p w14:paraId="4DBAD604">
      <w:pPr>
        <w:pStyle w:val="数据预处理正文"/>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pStyle w:val="数据预处理正文"/>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pStyle w:val="数据预处理正文"/>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pStyle w:val="数据预处理正文"/>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数据预处理正文"/>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pStyle w:val="数据预处理正文"/>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pStyle w:val="数据预处理正文"/>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数据预处理正文"/>
        <w:bidi w:val="0"/>
        <w:rPr>
          <w:rFonts w:hint="eastAsia"/>
          <w:lang w:val="en-US" w:eastAsia="zh-CN"/>
        </w:rPr>
      </w:pPr>
      <w:bookmarkStart w:id="16" w:name="_Toc3796"/>
      <w:r>
        <w:rPr>
          <w:rFonts w:hint="eastAsia"/>
          <w:lang w:val="en-US" w:eastAsia="zh-CN"/>
        </w:rPr>
        <w:t>（二）处理缺失值与异常值</w:t>
      </w:r>
      <w:bookmarkEnd w:id="16"/>
    </w:p>
    <w:p w14:paraId="69EED5B1">
      <w:pPr>
        <w:pStyle w:val="数据预处理正文"/>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pStyle w:val="数据预处理正文"/>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pStyle w:val="数据预处理正文"/>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pStyle w:val="数据预处理正文"/>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pStyle w:val="数据预处理正文"/>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pStyle w:val="数据预处理正文"/>
        <w:bidi w:val="0"/>
        <w:rPr>
          <w:rFonts w:hint="eastAsia" w:ascii="宋体" w:hAnsi="宋体" w:eastAsia="宋体" w:cs="宋体"/>
        </w:rPr>
      </w:pPr>
    </w:p>
    <w:p w14:paraId="676A911F">
      <w:pPr>
        <w:pStyle w:val="数据预处理正文"/>
        <w:bidi w:val="0"/>
        <w:rPr>
          <w:rFonts w:hint="eastAsia" w:ascii="宋体" w:hAnsi="宋体" w:eastAsia="宋体" w:cs="宋体"/>
        </w:rPr>
      </w:pPr>
    </w:p>
    <w:p w14:paraId="37E4E601">
      <w:pPr>
        <w:pStyle w:val="数据预处理正文"/>
        <w:bidi w:val="0"/>
        <w:rPr>
          <w:rFonts w:hint="eastAsia" w:ascii="宋体" w:hAnsi="宋体" w:eastAsia="宋体" w:cs="宋体"/>
        </w:rPr>
      </w:pPr>
    </w:p>
    <w:p w14:paraId="1CD6D480">
      <w:pPr>
        <w:pStyle w:val="数据预处理正文"/>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数据预处理正文"/>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pStyle w:val="数据预处理正文"/>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特征筛选正文"/>
        <w:bidi w:val="0"/>
        <w:rPr>
          <w:rFonts w:hint="eastAsia"/>
          <w:lang w:val="en-US" w:eastAsia="zh-CN"/>
        </w:rPr>
      </w:pPr>
      <w:bookmarkStart w:id="20" w:name="_Toc14262"/>
      <w:r>
        <w:rPr>
          <w:rFonts w:hint="eastAsia"/>
          <w:lang w:val="en-US" w:eastAsia="zh-CN"/>
        </w:rPr>
        <w:t>（一）特征重要性评估</w:t>
      </w:r>
      <w:bookmarkEnd w:id="20"/>
    </w:p>
    <w:p w14:paraId="2D41320E">
      <w:pPr>
        <w:pStyle w:val="特征筛选正文"/>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pStyle w:val="特征筛选正文"/>
        <w:rPr>
          <w:rFonts w:hint="default"/>
          <w:lang w:val="en-US" w:eastAsia="zh-CN"/>
        </w:rPr>
      </w:pPr>
      <w:r>
        <w:rPr>
          <w:rFonts w:hint="default"/>
          <w:lang w:val="en-US" w:eastAsia="zh-CN"/>
        </w:rPr>
        <w:t>多重共线性检验中常用方差膨胀因子判断变量是否存在共线性。</w:t>
      </w:r>
    </w:p>
    <w:p w14:paraId="48FE89E3">
      <w:pPr>
        <w:pStyle w:val="特征筛选正文"/>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pStyle w:val="特征筛选正文"/>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pStyle w:val="特征筛选正文"/>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pStyle w:val="特征筛选正文"/>
        <w:rPr>
          <w:rFonts w:hint="default"/>
          <w:lang w:val="en-US" w:eastAsia="zh-CN"/>
        </w:rPr>
      </w:pPr>
      <w:r>
        <w:rPr>
          <w:rFonts w:hint="default"/>
          <w:lang w:val="en-US" w:eastAsia="zh-CN"/>
        </w:rPr>
        <w:t>VIF= 1：无共线性；1 &lt; VIF &lt; 10：轻度共线性；VIF&gt;10：严重共线性</w:t>
      </w:r>
    </w:p>
    <w:p w14:paraId="456FA94C">
      <w:pPr>
        <w:pStyle w:val="特征筛选正文"/>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pStyle w:val="特征筛选正文"/>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特征筛选正文"/>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pStyle w:val="特征筛选正文"/>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pStyle w:val="特征筛选正文"/>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pStyle w:val="特征筛选正文"/>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特征筛选正文"/>
        <w:bidi w:val="0"/>
        <w:rPr>
          <w:rFonts w:hint="eastAsia"/>
          <w:lang w:val="en-US" w:eastAsia="zh-CN"/>
        </w:rPr>
      </w:pPr>
      <w:bookmarkStart w:id="22" w:name="_Toc18044"/>
    </w:p>
    <w:p w14:paraId="558329E5">
      <w:pPr>
        <w:pStyle w:val="特征筛选正文"/>
        <w:bidi w:val="0"/>
        <w:ind w:left="0" w:leftChars="0" w:firstLine="0" w:firstLineChars="0"/>
        <w:jc w:val="both"/>
        <w:rPr>
          <w:rFonts w:hint="eastAsia"/>
          <w:lang w:val="en-US" w:eastAsia="zh-CN"/>
        </w:rPr>
      </w:pPr>
    </w:p>
    <w:p w14:paraId="124B6816">
      <w:pPr>
        <w:pStyle w:val="特征筛选正文"/>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特征筛选正文"/>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pStyle w:val="特征筛选正文"/>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pStyle w:val="特征筛选正文"/>
        <w:rPr>
          <w:rFonts w:hint="default"/>
          <w:lang w:val="en-US" w:eastAsia="zh-CN"/>
        </w:rPr>
      </w:pPr>
      <w:r>
        <w:rPr>
          <w:rFonts w:hint="default"/>
          <w:lang w:val="en-US" w:eastAsia="zh-CN"/>
        </w:rPr>
        <w:t>卡方独立性检验通过比较观测频数与理论期望频数的偏离程度构建检验统计量.</w:t>
      </w:r>
    </w:p>
    <w:p w14:paraId="75C43515">
      <w:pPr>
        <w:pStyle w:val="特征筛选正文"/>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pStyle w:val="特征筛选正文"/>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pStyle w:val="特征筛选正文"/>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pStyle w:val="特征筛选正文"/>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pStyle w:val="特征筛选正文"/>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pStyle w:val="特征筛选正文"/>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pStyle w:val="特征筛选正文"/>
        <w:bidi w:val="0"/>
        <w:rPr>
          <w:rFonts w:hint="eastAsia"/>
          <w:lang w:val="en-US" w:eastAsia="zh-CN"/>
        </w:rPr>
      </w:pPr>
      <w:r>
        <w:rPr>
          <w:rFonts w:hint="eastAsia"/>
          <w:lang w:val="en-US" w:eastAsia="zh-CN"/>
        </w:rPr>
        <w:t>递归特征消除算法：</w:t>
      </w:r>
    </w:p>
    <w:p w14:paraId="53371E5A">
      <w:pPr>
        <w:pStyle w:val="特征筛选正文"/>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pStyle w:val="特征筛选正文"/>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pStyle w:val="特征筛选正文"/>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pStyle w:val="特征筛选正文"/>
        <w:rPr>
          <w:rFonts w:hint="default"/>
          <w:lang w:val="en-US" w:eastAsia="zh-CN"/>
        </w:rPr>
      </w:pPr>
      <w:r>
        <w:rPr>
          <w:rFonts w:hint="default"/>
          <w:lang w:val="en-US" w:eastAsia="zh-CN"/>
        </w:rPr>
        <w:t>医学知识驱动的特征优化</w:t>
      </w:r>
    </w:p>
    <w:p w14:paraId="3D862A2F">
      <w:pPr>
        <w:pStyle w:val="特征筛选正文"/>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pStyle w:val="特征筛选正文"/>
        <w:outlineLvl w:val="2"/>
        <w:rPr>
          <w:rFonts w:hint="default"/>
          <w:lang w:val="en-US" w:eastAsia="zh-CN"/>
        </w:rPr>
      </w:pPr>
      <w:bookmarkStart w:id="25" w:name="_Toc10772"/>
      <w:r>
        <w:rPr>
          <w:rFonts w:hint="default"/>
          <w:lang w:val="en-US" w:eastAsia="zh-CN"/>
        </w:rPr>
        <w:t>1.胸痛类型​​</w:t>
      </w:r>
      <w:bookmarkEnd w:id="25"/>
    </w:p>
    <w:p w14:paraId="637C2FEA">
      <w:pPr>
        <w:pStyle w:val="特征筛选正文"/>
        <w:rPr>
          <w:rFonts w:hint="default"/>
          <w:lang w:val="en-US" w:eastAsia="zh-CN"/>
        </w:rPr>
      </w:pPr>
      <w:r>
        <w:rPr>
          <w:rFonts w:hint="default"/>
          <w:lang w:val="en-US" w:eastAsia="zh-CN"/>
        </w:rPr>
        <w:t>依据：典型心绞痛是心肌缺血的直接症状，为冠心病核心诊断标准。</w:t>
      </w:r>
    </w:p>
    <w:p w14:paraId="3D45500E">
      <w:pPr>
        <w:pStyle w:val="特征筛选正文"/>
        <w:outlineLvl w:val="2"/>
        <w:rPr>
          <w:rFonts w:hint="default"/>
          <w:lang w:val="en-US" w:eastAsia="zh-CN"/>
        </w:rPr>
      </w:pPr>
      <w:bookmarkStart w:id="26" w:name="_Toc2848"/>
      <w:r>
        <w:rPr>
          <w:rFonts w:hint="default"/>
          <w:lang w:val="en-US" w:eastAsia="zh-CN"/>
        </w:rPr>
        <w:t>2.ST段压低值​​</w:t>
      </w:r>
      <w:bookmarkEnd w:id="26"/>
    </w:p>
    <w:p w14:paraId="21E185DA">
      <w:pPr>
        <w:pStyle w:val="特征筛选正文"/>
        <w:rPr>
          <w:rFonts w:hint="default"/>
          <w:lang w:val="en-US" w:eastAsia="zh-CN"/>
        </w:rPr>
      </w:pPr>
      <w:r>
        <w:rPr>
          <w:rFonts w:hint="default"/>
          <w:lang w:val="en-US" w:eastAsia="zh-CN"/>
        </w:rPr>
        <w:t>依据：静息或运动后ST段压低≥0.1mV提示心肌缺血，与冠状动脉狭窄程度显著相关。</w:t>
      </w:r>
    </w:p>
    <w:p w14:paraId="1667AB3C">
      <w:pPr>
        <w:pStyle w:val="特征筛选正文"/>
        <w:outlineLvl w:val="2"/>
        <w:rPr>
          <w:rFonts w:hint="default"/>
          <w:lang w:val="en-US" w:eastAsia="zh-CN"/>
        </w:rPr>
      </w:pPr>
      <w:bookmarkStart w:id="27" w:name="_Toc27475"/>
      <w:r>
        <w:rPr>
          <w:rFonts w:hint="default"/>
          <w:lang w:val="en-US" w:eastAsia="zh-CN"/>
        </w:rPr>
        <w:t>3.静息心电图结果</w:t>
      </w:r>
      <w:bookmarkEnd w:id="27"/>
    </w:p>
    <w:p w14:paraId="6D4AD747">
      <w:pPr>
        <w:pStyle w:val="特征筛选正文"/>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特征筛选正文"/>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pStyle w:val="特征筛选正文"/>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pStyle w:val="特征筛选正文"/>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特征筛选正文"/>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pStyle w:val="特征筛选正文"/>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特征筛选正文"/>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pStyle w:val="特征筛选正文"/>
        <w:bidi w:val="0"/>
        <w:rPr>
          <w:rFonts w:hint="default"/>
          <w:lang w:val="en-US" w:eastAsia="zh-CN"/>
        </w:rPr>
      </w:pPr>
      <w:r>
        <w:rPr>
          <w:rFonts w:hint="default"/>
          <w:lang w:val="en-US" w:eastAsia="zh-CN"/>
        </w:rPr>
        <w:t>筛选后的变量VIF值均在1左右，不存在明显的多重共线性。</w:t>
      </w:r>
    </w:p>
    <w:p w14:paraId="74DE568A">
      <w:pPr>
        <w:pStyle w:val="特征筛选正文"/>
        <w:bidi w:val="0"/>
        <w:rPr>
          <w:rFonts w:hint="default"/>
          <w:lang w:val="en-US" w:eastAsia="zh-CN"/>
        </w:rPr>
      </w:pPr>
    </w:p>
    <w:p w14:paraId="17DDD2BA">
      <w:pPr>
        <w:pStyle w:val="特征筛选正文"/>
        <w:bidi w:val="0"/>
        <w:rPr>
          <w:rFonts w:hint="default"/>
          <w:lang w:val="en-US" w:eastAsia="zh-CN"/>
        </w:rPr>
      </w:pPr>
    </w:p>
    <w:p w14:paraId="6D490F2D">
      <w:pPr>
        <w:pStyle w:val="特征筛选正文"/>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特征筛选正文"/>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pStyle w:val="特征筛选正文"/>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pStyle w:val="特征筛选正文"/>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模型构建正文"/>
        <w:bidi w:val="0"/>
        <w:rPr>
          <w:rFonts w:hint="default"/>
          <w:lang w:val="en-US" w:eastAsia="zh-CN"/>
        </w:rPr>
      </w:pPr>
      <w:bookmarkStart w:id="34" w:name="_Toc19214"/>
      <w:r>
        <w:rPr>
          <w:rFonts w:hint="eastAsia"/>
          <w:lang w:val="en-US" w:eastAsia="zh-CN"/>
        </w:rPr>
        <w:t>（一）单模型</w:t>
      </w:r>
      <w:bookmarkEnd w:id="34"/>
    </w:p>
    <w:p w14:paraId="2B9C1027">
      <w:pPr>
        <w:pStyle w:val="模型构建正文"/>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pStyle w:val="模型构建正文"/>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pStyle w:val="模型构建正文"/>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pStyle w:val="模型构建正文"/>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pStyle w:val="模型构建正文"/>
        <w:bidi w:val="0"/>
        <w:rPr>
          <w:rFonts w:hint="default"/>
          <w:lang w:val="en-US" w:eastAsia="zh-CN"/>
        </w:rPr>
      </w:pPr>
      <w:r>
        <w:rPr>
          <w:rFonts w:hint="default"/>
          <w:lang w:val="en-US" w:eastAsia="zh-CN"/>
        </w:rPr>
        <w:t>其中：</w:t>
      </w:r>
    </w:p>
    <w:p w14:paraId="18BD99B9">
      <w:pPr>
        <w:pStyle w:val="模型构建正文"/>
        <w:bidi w:val="0"/>
        <w:rPr>
          <w:rFonts w:hint="default"/>
          <w:lang w:val="en-US" w:eastAsia="zh-CN"/>
        </w:rPr>
      </w:pPr>
      <w:r>
        <w:rPr>
          <w:rFonts w:hint="default"/>
          <w:lang w:val="en-US" w:eastAsia="zh-CN"/>
        </w:rPr>
        <w:t>P(C)是类别C的先验概率，表示训练数据中类别C出现的频率；</w:t>
      </w:r>
    </w:p>
    <w:p w14:paraId="5E85B43A">
      <w:pPr>
        <w:pStyle w:val="模型构建正文"/>
        <w:bidi w:val="0"/>
        <w:rPr>
          <w:rFonts w:hint="default"/>
          <w:lang w:val="en-US" w:eastAsia="zh-CN"/>
        </w:rPr>
      </w:pPr>
      <w:r>
        <w:rPr>
          <w:rFonts w:hint="default"/>
          <w:lang w:val="en-US" w:eastAsia="zh-CN"/>
        </w:rPr>
        <w:t>P(X|C)是似然函数，表示在类别C下数据X出现的概率；</w:t>
      </w:r>
    </w:p>
    <w:p w14:paraId="12114E6A">
      <w:pPr>
        <w:pStyle w:val="模型构建正文"/>
        <w:bidi w:val="0"/>
        <w:rPr>
          <w:rFonts w:hint="default"/>
          <w:lang w:val="en-US" w:eastAsia="zh-CN"/>
        </w:rPr>
      </w:pPr>
      <w:r>
        <w:rPr>
          <w:rFonts w:hint="default"/>
          <w:lang w:val="en-US" w:eastAsia="zh-CN"/>
        </w:rPr>
        <w:t>P(X)是证据因子，对所有类别为常数，可忽略以简化计算。</w:t>
      </w:r>
    </w:p>
    <w:p w14:paraId="28BA04FB">
      <w:pPr>
        <w:pStyle w:val="模型构建正文"/>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pStyle w:val="模型构建正文"/>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pStyle w:val="模型构建正文"/>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pStyle w:val="模型构建正文"/>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pStyle w:val="模型构建正文"/>
        <w:bidi w:val="0"/>
        <w:rPr>
          <w:rFonts w:hint="default"/>
          <w:lang w:val="en-US" w:eastAsia="zh-CN"/>
        </w:rPr>
      </w:pPr>
      <w:r>
        <w:rPr>
          <w:rFonts w:hint="default"/>
          <w:lang w:val="en-US" w:eastAsia="zh-CN"/>
        </w:rPr>
        <w:t>随机森林通过两种关键随机化策略提升基学习器的多样性：</w:t>
      </w:r>
    </w:p>
    <w:p w14:paraId="295D8FAC">
      <w:pPr>
        <w:pStyle w:val="模型构建正文"/>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pStyle w:val="模型构建正文"/>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pStyle w:val="模型构建正文"/>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模型构建正文"/>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pStyle w:val="模型构建正文"/>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pStyle w:val="模型构建正文"/>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pStyle w:val="模型构建正文"/>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pStyle w:val="模型构建正文"/>
        <w:bidi w:val="0"/>
        <w:rPr>
          <w:rFonts w:hint="default"/>
          <w:lang w:val="en-US" w:eastAsia="zh-CN"/>
        </w:rPr>
      </w:pPr>
      <w:r>
        <w:rPr>
          <w:rFonts w:hint="default"/>
          <w:lang w:val="en-US" w:eastAsia="zh-CN"/>
        </w:rPr>
        <w:t xml:space="preserve">公式表述： </w:t>
      </w:r>
    </w:p>
    <w:p w14:paraId="36792CAC">
      <w:pPr>
        <w:pStyle w:val="模型构建正文"/>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pStyle w:val="模型构建正文"/>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pStyle w:val="模型构建正文"/>
        <w:bidi w:val="0"/>
        <w:rPr>
          <w:rFonts w:hint="default"/>
          <w:lang w:val="en-US" w:eastAsia="zh-CN"/>
        </w:rPr>
      </w:pPr>
      <w:r>
        <w:rPr>
          <w:rFonts w:hint="default"/>
          <w:lang w:val="en-US" w:eastAsia="zh-CN"/>
        </w:rPr>
        <w:t>损失函数的一般形式为：</w:t>
      </w:r>
    </w:p>
    <w:p w14:paraId="50AA6394">
      <w:pPr>
        <w:pStyle w:val="模型构建正文"/>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pStyle w:val="模型构建正文"/>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pStyle w:val="模型构建正文"/>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pStyle w:val="模型构建正文"/>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模型构建正文"/>
        <w:bidi w:val="0"/>
        <w:rPr>
          <w:rFonts w:hint="eastAsia"/>
          <w:lang w:val="en-US" w:eastAsia="zh-CN"/>
        </w:rPr>
      </w:pPr>
      <w:bookmarkStart w:id="42" w:name="_Toc9654"/>
      <w:r>
        <w:rPr>
          <w:rFonts w:hint="eastAsia"/>
          <w:lang w:val="en-US" w:eastAsia="zh-CN"/>
        </w:rPr>
        <w:t>（二）stacking集成方法</w:t>
      </w:r>
      <w:bookmarkEnd w:id="42"/>
    </w:p>
    <w:p w14:paraId="28F7B9C9">
      <w:pPr>
        <w:pStyle w:val="模型构建正文"/>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pStyle w:val="模型构建正文"/>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pStyle w:val="模型构建正文"/>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pStyle w:val="模型构建正文"/>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pStyle w:val="模型构建正文"/>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pStyle w:val="模型构建正文"/>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pStyle w:val="模型构建正文"/>
        <w:bidi w:val="0"/>
        <w:rPr>
          <w:rFonts w:hint="default"/>
          <w:lang w:val="en-US" w:eastAsia="zh-CN"/>
        </w:rPr>
      </w:pPr>
      <w:r>
        <w:rPr>
          <w:rFonts w:hint="eastAsia"/>
          <w:lang w:val="en-US" w:eastAsia="zh-CN"/>
        </w:rPr>
        <w:t>4</w:t>
      </w:r>
      <w:r>
        <w:rPr>
          <w:rFonts w:hint="default"/>
          <w:lang w:val="en-US" w:eastAsia="zh-CN"/>
        </w:rPr>
        <w:t>. 模型评估与可视化</w:t>
      </w:r>
    </w:p>
    <w:p w14:paraId="4DDA6A02">
      <w:pPr>
        <w:pStyle w:val="模型构建正文"/>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pStyle w:val="模型构建正文"/>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pStyle w:val="模型构建正文"/>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模型构建正文"/>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评估与分析正文"/>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pStyle w:val="评估与分析正文"/>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pStyle w:val="评估与分析正文"/>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pStyle w:val="评估与分析正文"/>
        <w:widowControl/>
        <w:snapToGrid/>
        <w:spacing w:line="360" w:lineRule="auto"/>
        <w:ind w:firstLine="0" w:firstLineChars="0"/>
      </w:pPr>
    </w:p>
    <w:p w14:paraId="10138AE6">
      <w:pPr>
        <w:pStyle w:val="评估与分析正文"/>
        <w:widowControl/>
        <w:snapToGrid/>
        <w:spacing w:line="360" w:lineRule="auto"/>
        <w:ind w:firstLine="0" w:firstLineChars="0"/>
      </w:pPr>
      <w:r>
        <w:rPr>
          <w:rFonts w:hint="eastAsia"/>
        </w:rPr>
        <w:t>模型预测结果</w:t>
      </w:r>
    </w:p>
    <w:p w14:paraId="0DD8BC47">
      <w:pPr>
        <w:pStyle w:val="评估与分析正文"/>
        <w:widowControl/>
        <w:snapToGrid/>
        <w:spacing w:line="360" w:lineRule="auto"/>
        <w:ind w:firstLine="0" w:firstLineChars="0"/>
        <w:rPr>
          <w:rFonts w:hint="eastAsia"/>
        </w:rPr>
      </w:pPr>
    </w:p>
    <w:p w14:paraId="7F7BE222">
      <w:pPr>
        <w:pStyle w:val="评估与分析正文"/>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评估与分析正文"/>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pStyle w:val="评估与分析正文"/>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评估与分析正文"/>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pStyle w:val="评估与分析正文"/>
        <w:widowControl/>
        <w:snapToGrid/>
        <w:spacing w:line="360" w:lineRule="auto"/>
        <w:ind w:firstLine="0" w:firstLineChars="0"/>
      </w:pPr>
    </w:p>
    <w:p w14:paraId="3478F054">
      <w:pPr>
        <w:pStyle w:val="评估与分析正文"/>
        <w:widowControl/>
        <w:snapToGrid/>
        <w:spacing w:line="360" w:lineRule="auto"/>
        <w:ind w:firstLine="0" w:firstLineChars="0"/>
      </w:pPr>
    </w:p>
    <w:p w14:paraId="54AEB618">
      <w:pPr>
        <w:pStyle w:val="评估与分析正文"/>
        <w:bidi w:val="0"/>
        <w:rPr>
          <w:rFonts w:hint="eastAsia"/>
          <w:lang w:val="en-US" w:eastAsia="zh-CN"/>
        </w:rPr>
      </w:pPr>
      <w:bookmarkStart w:id="52" w:name="_Toc25359"/>
      <w:r>
        <w:rPr>
          <w:rFonts w:hint="eastAsia"/>
          <w:lang w:val="en-US" w:eastAsia="zh-CN"/>
        </w:rPr>
        <w:t>（二）.随机森林</w:t>
      </w:r>
      <w:bookmarkEnd w:id="52"/>
    </w:p>
    <w:p w14:paraId="26D3BB50">
      <w:pPr>
        <w:pStyle w:val="评估与分析正文"/>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pStyle w:val="评估与分析正文"/>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pPr>
        <w:pStyle w:val="评估与分析正文"/>
      </w:pPr>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pStyle w:val="评估与分析正文"/>
        <w:widowControl/>
        <w:snapToGrid/>
        <w:spacing w:line="360" w:lineRule="auto"/>
        <w:ind w:firstLine="0" w:firstLineChars="0"/>
      </w:pPr>
    </w:p>
    <w:p w14:paraId="1B3F80FC">
      <w:pPr>
        <w:pStyle w:val="评估与分析正文"/>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pStyle w:val="评估与分析正文"/>
        <w:widowControl/>
        <w:snapToGrid/>
        <w:spacing w:line="360" w:lineRule="auto"/>
        <w:ind w:firstLine="0" w:firstLineChars="0"/>
      </w:pPr>
    </w:p>
    <w:p w14:paraId="31FCFAE0">
      <w:pPr>
        <w:pStyle w:val="评估与分析正文"/>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评估与分析正文"/>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pStyle w:val="评估与分析正文"/>
        <w:widowControl/>
        <w:snapToGrid/>
        <w:spacing w:line="360" w:lineRule="auto"/>
        <w:ind w:firstLine="0" w:firstLineChars="0"/>
        <w:jc w:val="center"/>
      </w:pPr>
    </w:p>
    <w:p w14:paraId="0CC28DCC">
      <w:pPr>
        <w:pStyle w:val="评估与分析正文"/>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评估与分析正文"/>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评估与分析正文"/>
        <w:bidi w:val="0"/>
        <w:rPr>
          <w:rFonts w:hint="eastAsia"/>
          <w:lang w:val="en-US" w:eastAsia="zh-CN"/>
        </w:rPr>
      </w:pPr>
      <w:bookmarkStart w:id="59" w:name="_Toc17379"/>
      <w:r>
        <w:rPr>
          <w:rFonts w:hint="eastAsia"/>
          <w:lang w:val="en-US" w:eastAsia="zh-CN"/>
        </w:rPr>
        <w:t>（三）.XGBoost</w:t>
      </w:r>
      <w:bookmarkEnd w:id="59"/>
    </w:p>
    <w:p w14:paraId="2B66F66D">
      <w:pPr>
        <w:pStyle w:val="评估与分析正文"/>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pStyle w:val="评估与分析正文"/>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pStyle w:val="评估与分析正文"/>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pStyle w:val="评估与分析正文"/>
        <w:widowControl/>
        <w:snapToGrid/>
        <w:spacing w:line="360" w:lineRule="auto"/>
        <w:ind w:firstLine="0" w:firstLineChars="0"/>
      </w:pPr>
      <w:r>
        <w:rPr>
          <w:rFonts w:hint="eastAsia"/>
        </w:rPr>
        <w:t>跟加符合本次研究的需求。</w:t>
      </w:r>
    </w:p>
    <w:p w14:paraId="4BBDF68D">
      <w:pPr>
        <w:pStyle w:val="评估与分析正文"/>
        <w:widowControl/>
        <w:snapToGrid/>
        <w:spacing w:line="360" w:lineRule="auto"/>
        <w:ind w:firstLine="0" w:firstLineChars="0"/>
      </w:pPr>
    </w:p>
    <w:p w14:paraId="29CE5964">
      <w:pPr>
        <w:pStyle w:val="评估与分析正文"/>
        <w:widowControl/>
        <w:snapToGrid/>
        <w:spacing w:line="360" w:lineRule="auto"/>
        <w:ind w:firstLine="0" w:firstLineChars="0"/>
      </w:pPr>
    </w:p>
    <w:p w14:paraId="3F066DDA">
      <w:pPr>
        <w:pStyle w:val="评估与分析正文"/>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pStyle w:val="评估与分析正文"/>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评估与分析正文"/>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pStyle w:val="评估与分析正文"/>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评估与分析正文"/>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pStyle w:val="评估与分析正文"/>
        <w:widowControl/>
        <w:snapToGrid/>
        <w:spacing w:line="360" w:lineRule="auto"/>
        <w:ind w:firstLine="0" w:firstLineChars="0"/>
      </w:pPr>
    </w:p>
    <w:p w14:paraId="0BC53FBC">
      <w:pPr>
        <w:pStyle w:val="评估与分析正文"/>
        <w:widowControl/>
        <w:snapToGrid/>
        <w:spacing w:line="360" w:lineRule="auto"/>
        <w:ind w:firstLine="0" w:firstLineChars="0"/>
      </w:pPr>
    </w:p>
    <w:p w14:paraId="4D0CC465">
      <w:pPr>
        <w:pStyle w:val="评估与分析正文"/>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pStyle w:val="评估与分析正文"/>
        <w:widowControl/>
        <w:snapToGrid/>
        <w:spacing w:line="360" w:lineRule="auto"/>
        <w:ind w:firstLine="0" w:firstLineChars="0"/>
      </w:pPr>
    </w:p>
    <w:p w14:paraId="3AEF63CD">
      <w:pPr>
        <w:pStyle w:val="评估与分析正文"/>
        <w:bidi w:val="0"/>
        <w:rPr>
          <w:rFonts w:hint="eastAsia"/>
          <w:lang w:val="en-US" w:eastAsia="zh-CN"/>
        </w:rPr>
      </w:pPr>
      <w:bookmarkStart w:id="68" w:name="_Toc17407"/>
      <w:r>
        <w:rPr>
          <w:rFonts w:hint="eastAsia"/>
          <w:lang w:val="en-US" w:eastAsia="zh-CN"/>
        </w:rPr>
        <w:t>（四）stacking</w:t>
      </w:r>
      <w:bookmarkEnd w:id="68"/>
    </w:p>
    <w:p w14:paraId="0F6A9BB5">
      <w:pPr>
        <w:pStyle w:val="评估与分析正文"/>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评估与分析正文"/>
        <w:bidi w:val="0"/>
        <w:rPr>
          <w:rFonts w:hint="default"/>
          <w:lang w:val="en-US" w:eastAsia="zh-CN"/>
        </w:rPr>
      </w:pPr>
      <w:bookmarkStart w:id="69" w:name="_Toc27499"/>
      <w:r>
        <w:rPr>
          <w:rFonts w:hint="eastAsia"/>
          <w:lang w:val="en-US" w:eastAsia="zh-CN"/>
        </w:rPr>
        <w:t>图十一  混淆矩阵</w:t>
      </w:r>
      <w:bookmarkEnd w:id="69"/>
    </w:p>
    <w:p w14:paraId="1EDD72CE">
      <w:pPr>
        <w:pStyle w:val="评估与分析正文"/>
        <w:bidi w:val="0"/>
        <w:rPr>
          <w:rFonts w:hint="default"/>
          <w:lang w:val="en-US" w:eastAsia="zh-CN"/>
        </w:rPr>
      </w:pPr>
    </w:p>
    <w:p w14:paraId="5B8636C8">
      <w:pPr>
        <w:pStyle w:val="评估与分析正文"/>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pStyle w:val="评估与分析正文"/>
        <w:rPr>
          <w:rFonts w:hint="default"/>
          <w:lang w:val="en-US" w:eastAsia="zh-CN"/>
        </w:rPr>
      </w:pPr>
    </w:p>
    <w:p w14:paraId="70A882D4">
      <w:pPr>
        <w:pStyle w:val="评估与分析正文"/>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评估与分析正文"/>
        <w:bidi w:val="0"/>
        <w:rPr>
          <w:rFonts w:hint="default"/>
          <w:lang w:val="en-US" w:eastAsia="zh-CN"/>
        </w:rPr>
      </w:pPr>
      <w:bookmarkStart w:id="70" w:name="_Toc16770"/>
      <w:r>
        <w:rPr>
          <w:rFonts w:hint="eastAsia"/>
          <w:lang w:val="en-US" w:eastAsia="zh-CN"/>
        </w:rPr>
        <w:t>图十二Stacking+Logistic元模型ROC曲线</w:t>
      </w:r>
      <w:bookmarkEnd w:id="70"/>
    </w:p>
    <w:p w14:paraId="6145F091">
      <w:pPr>
        <w:pStyle w:val="评估与分析正文"/>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pStyle w:val="评估与分析正文"/>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评估与分析正文"/>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pStyle w:val="评估与分析正文"/>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评估与分析正文"/>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pStyle w:val="评估与分析正文"/>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pStyle w:val="评估与分析正文"/>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pStyle w:val="评估与分析正文"/>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pStyle w:val="评估与分析正文"/>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pStyle w:val="评估与分析正文"/>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评估与分析正文"/>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pStyle w:val="评估与分析正文"/>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pStyle w:val="评估与分析正文"/>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pStyle w:val="评估与分析正文"/>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pStyle w:val="评估与分析正文"/>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pStyle w:val="评估与分析正文"/>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绪论正文">
    <w:name w:val="绪论正文"/>
    <w:basedOn w:val="1"/>
    <w:pPr>
      <w:spacing w:lineRule="auto" w:line="360"/>
      <w:ind w:firstLineChars="200"/>
    </w:pPr>
    <w:rPr>
      <w:rFonts w:ascii="宋体" w:hAnsi="宋体" w:eastAsia="宋体" w:cs="宋体"/>
      <w:sz w:val="24"/>
    </w:rPr>
  </w:style>
  <w:style w:type="paragraph" w:customStyle="1" w:styleId="数据来源正文">
    <w:name w:val="数据来源正文"/>
    <w:basedOn w:val="1"/>
    <w:pPr>
      <w:spacing w:lineRule="auto" w:line="360"/>
      <w:ind w:firstLineChars="200"/>
    </w:pPr>
    <w:rPr>
      <w:rFonts w:ascii="宋体" w:hAnsi="宋体" w:eastAsia="宋体" w:cs="宋体"/>
      <w:sz w:val="24"/>
    </w:rPr>
  </w:style>
  <w:style w:type="paragraph" w:customStyle="1" w:styleId="数据预处理正文">
    <w:name w:val="数据预处理正文"/>
    <w:basedOn w:val="1"/>
    <w:pPr>
      <w:spacing w:lineRule="auto" w:line="360"/>
      <w:ind w:firstLineChars="200"/>
    </w:pPr>
    <w:rPr>
      <w:rFonts w:ascii="宋体" w:hAnsi="宋体" w:eastAsia="宋体" w:cs="宋体"/>
      <w:sz w:val="24"/>
    </w:rPr>
  </w:style>
  <w:style w:type="paragraph" w:customStyle="1" w:styleId="特征筛选正文">
    <w:name w:val="特征筛选正文"/>
    <w:basedOn w:val="1"/>
    <w:pPr>
      <w:spacing w:lineRule="auto" w:line="360"/>
      <w:ind w:firstLineChars="200"/>
    </w:pPr>
    <w:rPr>
      <w:rFonts w:ascii="宋体" w:hAnsi="宋体" w:eastAsia="宋体" w:cs="宋体"/>
      <w:sz w:val="24"/>
    </w:rPr>
  </w:style>
  <w:style w:type="paragraph" w:customStyle="1" w:styleId="模型构建正文">
    <w:name w:val="模型构建正文"/>
    <w:basedOn w:val="1"/>
    <w:pPr>
      <w:spacing w:lineRule="auto" w:line="360"/>
      <w:ind w:firstLineChars="200"/>
    </w:pPr>
    <w:rPr>
      <w:rFonts w:ascii="宋体" w:hAnsi="宋体" w:eastAsia="宋体" w:cs="宋体"/>
      <w:sz w:val="24"/>
    </w:rPr>
  </w:style>
  <w:style w:type="paragraph" w:customStyle="1" w:styleId="评估与分析正文">
    <w:name w:val="评估与分析正文"/>
    <w:basedOn w:val="1"/>
    <w:pPr>
      <w:spacing w:lineRule="auto" w:line="360"/>
      <w:ind w:firstLineChars="200"/>
    </w:pPr>
    <w:rPr>
      <w:rFonts w:ascii="宋体" w:hAnsi="宋体" w:eastAsia="宋体" w:cs="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