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jc w:val="center"/>
        <w:rPr>
          <w:rFonts w:hint="eastAsia"/>
        </w:rPr>
      </w:pPr>
      <w:bookmarkStart w:id="0" w:name="_Toc22711"/>
      <w:bookmarkStart w:id="1" w:name="_Toc27266"/>
      <w:bookmarkStart w:id="2" w:name="_Toc16672"/>
      <w:r>
        <w:rPr>
          <w:rFonts w:hint="eastAsia" w:ascii="黑体" w:hAnsi="黑体" w:eastAsia="黑体" w:cs="黑体"/>
          <w:sz w:val="32"/>
        </w:rPr>
        <w:t>高阶机器学习模型在心脏病预测中协同优化</w:t>
      </w:r>
      <w:bookmarkEnd w:id="0"/>
      <w:bookmarkEnd w:id="1"/>
      <w:bookmarkEnd w:id="2"/>
    </w:p>
    <w:p w14:paraId="0573D056">
      <w:pPr>
        <w:pStyle w:val="2"/>
        <w:bidi w:val="0"/>
        <w:jc w:val="center"/>
        <w:rPr>
          <w:rFonts w:hint="eastAsia"/>
          <w:sz w:val="28"/>
          <w:szCs w:val="28"/>
          <w:lang w:val="en-US" w:eastAsia="zh-CN"/>
        </w:rPr>
      </w:pPr>
      <w:bookmarkStart w:id="3" w:name="_Toc14850"/>
      <w:r>
        <w:rPr>
          <w:rFonts w:hint="eastAsia" w:ascii="黑体" w:hAnsi="黑体" w:eastAsia="黑体" w:cs="黑体"/>
          <w:sz w:val="32"/>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jc w:val="center"/>
        <w:rPr>
          <w:rFonts w:hint="eastAsia"/>
          <w:lang w:val="en-US" w:eastAsia="zh-CN"/>
        </w:rPr>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jc w:val="center"/>
        <w:rPr>
          <w:rFonts w:hint="eastAsia"/>
          <w:lang w:val="en-US" w:eastAsia="zh-CN"/>
        </w:rPr>
      </w:pPr>
      <w:bookmarkStart w:id="4" w:name="_Toc21314"/>
      <w:r>
        <w:rPr>
          <w:rFonts w:hint="eastAsia" w:ascii="黑体" w:hAnsi="黑体" w:eastAsia="黑体" w:cs="黑体"/>
          <w:sz w:val="32"/>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jc w:val="center"/>
        <w:rPr>
          <w:rFonts w:hint="eastAsia"/>
          <w:sz w:val="30"/>
          <w:szCs w:val="30"/>
          <w:lang w:val="en-US" w:eastAsia="zh-CN"/>
        </w:rPr>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jc w:val="center"/>
        <w:rPr>
          <w:rFonts w:hint="eastAsia"/>
          <w:sz w:val="30"/>
          <w:szCs w:val="30"/>
          <w:lang w:val="en-US" w:eastAsia="zh-CN"/>
        </w:rPr>
      </w:pPr>
      <w:bookmarkStart w:id="19" w:name="_Toc29843"/>
      <w:r>
        <w:rPr>
          <w:rFonts w:hint="eastAsia" w:ascii="黑体" w:hAnsi="黑体" w:eastAsia="黑体" w:cs="黑体"/>
          <w:sz w:val="32"/>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jc w:val="center"/>
        <w:rPr>
          <w:rFonts w:hint="default"/>
          <w:lang w:val="en-US" w:eastAsia="zh-CN"/>
        </w:rPr>
      </w:pPr>
      <w:bookmarkStart w:id="33"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33"/>
      <w:r>
        <w:rPr>
          <w:rFonts w:hint="default" w:ascii="黑体" w:hAnsi="黑体" w:eastAsia="黑体" w:cs="黑体"/>
          <w:sz w:val="32"/>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jc w:val="center"/>
        <w:rPr>
          <w:rFonts w:hint="default"/>
          <w:lang w:val="en-US" w:eastAsia="zh-CN"/>
        </w:rPr>
      </w:pPr>
      <w:bookmarkStart w:id="44"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jc w:val="center"/>
        <w:rPr>
          <w:rFonts w:hint="eastAsia"/>
          <w:lang w:val="en-US" w:eastAsia="zh-CN"/>
        </w:rPr>
      </w:pPr>
      <w:bookmarkStart w:id="74" w:name="_Toc13296"/>
      <w:r>
        <w:rPr>
          <w:rFonts w:hint="eastAsia" w:ascii="黑体" w:hAnsi="黑体" w:eastAsia="黑体" w:cs="黑体"/>
          <w:sz w:val="32"/>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jc w:val="center"/>
      </w:pPr>
      <w:bookmarkStart w:id="75" w:name="_Toc3624"/>
      <w:r>
        <w:rPr>
          <w:rFonts w:hint="eastAsia" w:ascii="黑体" w:hAnsi="黑体" w:eastAsia="黑体" w:cs="黑体"/>
          <w:sz w:val="32"/>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jc w:val="center"/>
      </w:pPr>
      <w:bookmarkStart w:id="76" w:name="_Toc21430"/>
      <w:r>
        <w:rPr>
          <w:rFonts w:hint="eastAsia" w:ascii="黑体" w:hAnsi="黑体" w:eastAsia="黑体" w:cs="黑体"/>
          <w:sz w:val="32"/>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