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7266"/>
      <w:bookmarkStart w:id="1" w:name="_Toc16672"/>
      <w:bookmarkStart w:id="2" w:name="_Toc22711"/>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tbl>
      <w:tblPr>
        <w:tblStyle w:val="13"/>
        <w:tblpPr w:leftFromText="180" w:rightFromText="180" w:vertAnchor="text" w:horzAnchor="page" w:tblpX="2208" w:tblpY="377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81AC3AC">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2B9B187B">
            <w:pPr>
              <w:bidi w:val="0"/>
              <w:rPr>
                <w:rFonts w:hint="eastAsia" w:eastAsia="宋体"/>
                <w:vertAlign w:val="baseline"/>
                <w:lang w:val="en-US" w:eastAsia="zh-CN"/>
              </w:rPr>
            </w:pPr>
            <w:r>
              <w:rPr>
                <w:rFonts w:hint="eastAsia"/>
                <w:vertAlign w:val="baseline"/>
                <w:lang w:val="en-US" w:eastAsia="zh-CN"/>
              </w:rPr>
              <w:t>1</w:t>
            </w:r>
          </w:p>
        </w:tc>
        <w:tc>
          <w:tcPr>
            <w:tcW w:w="852" w:type="dxa"/>
          </w:tcPr>
          <w:p w14:paraId="25C3D918">
            <w:pPr>
              <w:bidi w:val="0"/>
              <w:rPr>
                <w:rFonts w:hint="eastAsia" w:eastAsia="宋体"/>
                <w:vertAlign w:val="baseline"/>
                <w:lang w:val="en-US" w:eastAsia="zh-CN"/>
              </w:rPr>
            </w:pPr>
            <w:r>
              <w:rPr>
                <w:rFonts w:hint="eastAsia"/>
                <w:vertAlign w:val="baseline"/>
                <w:lang w:val="en-US" w:eastAsia="zh-CN"/>
              </w:rPr>
              <w:t>2</w:t>
            </w:r>
          </w:p>
        </w:tc>
        <w:tc>
          <w:tcPr>
            <w:tcW w:w="853" w:type="dxa"/>
          </w:tcPr>
          <w:p w14:paraId="26B4AC0B">
            <w:pPr>
              <w:bidi w:val="0"/>
              <w:rPr>
                <w:rFonts w:hint="eastAsia" w:eastAsia="宋体"/>
                <w:vertAlign w:val="baseline"/>
                <w:lang w:val="en-US" w:eastAsia="zh-CN"/>
              </w:rPr>
            </w:pPr>
            <w:r>
              <w:rPr>
                <w:rFonts w:hint="eastAsia"/>
                <w:vertAlign w:val="baseline"/>
                <w:lang w:val="en-US" w:eastAsia="zh-CN"/>
              </w:rPr>
              <w:t>3</w:t>
            </w:r>
          </w:p>
        </w:tc>
        <w:tc>
          <w:tcPr>
            <w:tcW w:w="853" w:type="dxa"/>
          </w:tcPr>
          <w:p w14:paraId="6E84A23E">
            <w:pPr>
              <w:bidi w:val="0"/>
              <w:rPr>
                <w:rFonts w:hint="eastAsia" w:eastAsia="宋体"/>
                <w:vertAlign w:val="baseline"/>
                <w:lang w:val="en-US" w:eastAsia="zh-CN"/>
              </w:rPr>
            </w:pPr>
            <w:r>
              <w:rPr>
                <w:rFonts w:hint="eastAsia"/>
                <w:vertAlign w:val="baseline"/>
                <w:lang w:val="en-US" w:eastAsia="zh-CN"/>
              </w:rPr>
              <w:t>4</w:t>
            </w:r>
          </w:p>
        </w:tc>
        <w:tc>
          <w:tcPr>
            <w:tcW w:w="853" w:type="dxa"/>
          </w:tcPr>
          <w:p w14:paraId="7B52B58B">
            <w:pPr>
              <w:bidi w:val="0"/>
              <w:rPr>
                <w:rFonts w:hint="eastAsia" w:eastAsia="宋体"/>
                <w:vertAlign w:val="baseline"/>
                <w:lang w:val="en-US" w:eastAsia="zh-CN"/>
              </w:rPr>
            </w:pPr>
            <w:r>
              <w:rPr>
                <w:rFonts w:hint="eastAsia"/>
                <w:vertAlign w:val="baseline"/>
                <w:lang w:val="en-US" w:eastAsia="zh-CN"/>
              </w:rPr>
              <w:t>5</w:t>
            </w:r>
          </w:p>
        </w:tc>
        <w:tc>
          <w:tcPr>
            <w:tcW w:w="853" w:type="dxa"/>
          </w:tcPr>
          <w:p w14:paraId="78790A31">
            <w:pPr>
              <w:bidi w:val="0"/>
              <w:rPr>
                <w:rFonts w:hint="default" w:eastAsia="宋体"/>
                <w:vertAlign w:val="baseline"/>
                <w:lang w:val="en-US" w:eastAsia="zh-CN"/>
              </w:rPr>
            </w:pPr>
            <w:r>
              <w:rPr>
                <w:rFonts w:hint="eastAsia"/>
                <w:vertAlign w:val="baseline"/>
                <w:lang w:val="en-US" w:eastAsia="zh-CN"/>
              </w:rPr>
              <w:t>6</w:t>
            </w:r>
            <w:bookmarkStart w:id="79" w:name="_GoBack"/>
            <w:bookmarkEnd w:id="79"/>
          </w:p>
        </w:tc>
        <w:tc>
          <w:tcPr>
            <w:tcW w:w="853" w:type="dxa"/>
          </w:tcPr>
          <w:p w14:paraId="294B909A">
            <w:pPr>
              <w:bidi w:val="0"/>
              <w:rPr>
                <w:vertAlign w:val="baseline"/>
              </w:rPr>
            </w:pPr>
          </w:p>
        </w:tc>
        <w:tc>
          <w:tcPr>
            <w:tcW w:w="853" w:type="dxa"/>
          </w:tcPr>
          <w:p w14:paraId="13F31F70">
            <w:pPr>
              <w:bidi w:val="0"/>
              <w:rPr>
                <w:vertAlign w:val="baseline"/>
              </w:rPr>
            </w:pPr>
          </w:p>
        </w:tc>
        <w:tc>
          <w:tcPr>
            <w:tcW w:w="853" w:type="dxa"/>
          </w:tcPr>
          <w:p w14:paraId="585209AE">
            <w:pPr>
              <w:bidi w:val="0"/>
              <w:rPr>
                <w:vertAlign w:val="baseline"/>
              </w:rPr>
            </w:pPr>
          </w:p>
        </w:tc>
        <w:tc>
          <w:tcPr>
            <w:tcW w:w="853" w:type="dxa"/>
          </w:tcPr>
          <w:p w14:paraId="2A6DAB16">
            <w:pPr>
              <w:bidi w:val="0"/>
              <w:rPr>
                <w:vertAlign w:val="baseline"/>
              </w:rPr>
            </w:pPr>
          </w:p>
        </w:tc>
      </w:tr>
      <w:tr w14:paraId="7FB2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1C515A8A">
            <w:pPr>
              <w:bidi w:val="0"/>
              <w:rPr>
                <w:vertAlign w:val="baseline"/>
              </w:rPr>
            </w:pPr>
          </w:p>
        </w:tc>
        <w:tc>
          <w:tcPr>
            <w:tcW w:w="852" w:type="dxa"/>
          </w:tcPr>
          <w:p w14:paraId="6DBECA8F">
            <w:pPr>
              <w:bidi w:val="0"/>
              <w:rPr>
                <w:vertAlign w:val="baseline"/>
              </w:rPr>
            </w:pPr>
          </w:p>
        </w:tc>
        <w:tc>
          <w:tcPr>
            <w:tcW w:w="853" w:type="dxa"/>
          </w:tcPr>
          <w:p w14:paraId="65673758">
            <w:pPr>
              <w:bidi w:val="0"/>
              <w:rPr>
                <w:vertAlign w:val="baseline"/>
              </w:rPr>
            </w:pPr>
          </w:p>
        </w:tc>
        <w:tc>
          <w:tcPr>
            <w:tcW w:w="853" w:type="dxa"/>
          </w:tcPr>
          <w:p w14:paraId="7621EB62">
            <w:pPr>
              <w:bidi w:val="0"/>
              <w:rPr>
                <w:vertAlign w:val="baseline"/>
              </w:rPr>
            </w:pPr>
          </w:p>
        </w:tc>
        <w:tc>
          <w:tcPr>
            <w:tcW w:w="853" w:type="dxa"/>
          </w:tcPr>
          <w:p w14:paraId="53A6B9C5">
            <w:pPr>
              <w:bidi w:val="0"/>
              <w:rPr>
                <w:vertAlign w:val="baseline"/>
              </w:rPr>
            </w:pPr>
          </w:p>
        </w:tc>
        <w:tc>
          <w:tcPr>
            <w:tcW w:w="853" w:type="dxa"/>
          </w:tcPr>
          <w:p w14:paraId="05A062FD">
            <w:pPr>
              <w:bidi w:val="0"/>
              <w:rPr>
                <w:vertAlign w:val="baseline"/>
              </w:rPr>
            </w:pPr>
          </w:p>
        </w:tc>
        <w:tc>
          <w:tcPr>
            <w:tcW w:w="853" w:type="dxa"/>
          </w:tcPr>
          <w:p w14:paraId="0D46A660">
            <w:pPr>
              <w:bidi w:val="0"/>
              <w:rPr>
                <w:vertAlign w:val="baseline"/>
              </w:rPr>
            </w:pPr>
          </w:p>
        </w:tc>
        <w:tc>
          <w:tcPr>
            <w:tcW w:w="853" w:type="dxa"/>
          </w:tcPr>
          <w:p w14:paraId="3B3BCF8B">
            <w:pPr>
              <w:bidi w:val="0"/>
              <w:rPr>
                <w:vertAlign w:val="baseline"/>
              </w:rPr>
            </w:pPr>
          </w:p>
        </w:tc>
        <w:tc>
          <w:tcPr>
            <w:tcW w:w="853" w:type="dxa"/>
          </w:tcPr>
          <w:p w14:paraId="7F328851">
            <w:pPr>
              <w:bidi w:val="0"/>
              <w:rPr>
                <w:vertAlign w:val="baseline"/>
              </w:rPr>
            </w:pPr>
          </w:p>
        </w:tc>
        <w:tc>
          <w:tcPr>
            <w:tcW w:w="853" w:type="dxa"/>
          </w:tcPr>
          <w:p w14:paraId="0F5BED9E">
            <w:pPr>
              <w:bidi w:val="0"/>
              <w:rPr>
                <w:vertAlign w:val="baseline"/>
              </w:rPr>
            </w:pPr>
          </w:p>
        </w:tc>
      </w:tr>
      <w:tr w14:paraId="40D5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AEFB06A">
            <w:pPr>
              <w:bidi w:val="0"/>
              <w:rPr>
                <w:vertAlign w:val="baseline"/>
              </w:rPr>
            </w:pPr>
          </w:p>
        </w:tc>
        <w:tc>
          <w:tcPr>
            <w:tcW w:w="852" w:type="dxa"/>
          </w:tcPr>
          <w:p w14:paraId="5994ACAC">
            <w:pPr>
              <w:bidi w:val="0"/>
              <w:rPr>
                <w:vertAlign w:val="baseline"/>
              </w:rPr>
            </w:pPr>
          </w:p>
        </w:tc>
        <w:tc>
          <w:tcPr>
            <w:tcW w:w="853" w:type="dxa"/>
          </w:tcPr>
          <w:p w14:paraId="5E0F7EF5">
            <w:pPr>
              <w:bidi w:val="0"/>
              <w:rPr>
                <w:vertAlign w:val="baseline"/>
              </w:rPr>
            </w:pPr>
          </w:p>
        </w:tc>
        <w:tc>
          <w:tcPr>
            <w:tcW w:w="853" w:type="dxa"/>
          </w:tcPr>
          <w:p w14:paraId="2829E6B7">
            <w:pPr>
              <w:bidi w:val="0"/>
              <w:rPr>
                <w:vertAlign w:val="baseline"/>
              </w:rPr>
            </w:pPr>
          </w:p>
        </w:tc>
        <w:tc>
          <w:tcPr>
            <w:tcW w:w="853" w:type="dxa"/>
          </w:tcPr>
          <w:p w14:paraId="55922C14">
            <w:pPr>
              <w:bidi w:val="0"/>
              <w:rPr>
                <w:vertAlign w:val="baseline"/>
              </w:rPr>
            </w:pPr>
          </w:p>
        </w:tc>
        <w:tc>
          <w:tcPr>
            <w:tcW w:w="853" w:type="dxa"/>
          </w:tcPr>
          <w:p w14:paraId="4C2E1DB5">
            <w:pPr>
              <w:bidi w:val="0"/>
              <w:rPr>
                <w:vertAlign w:val="baseline"/>
              </w:rPr>
            </w:pPr>
          </w:p>
        </w:tc>
        <w:tc>
          <w:tcPr>
            <w:tcW w:w="853" w:type="dxa"/>
          </w:tcPr>
          <w:p w14:paraId="2EBF8903">
            <w:pPr>
              <w:bidi w:val="0"/>
              <w:rPr>
                <w:vertAlign w:val="baseline"/>
              </w:rPr>
            </w:pPr>
          </w:p>
        </w:tc>
        <w:tc>
          <w:tcPr>
            <w:tcW w:w="853" w:type="dxa"/>
          </w:tcPr>
          <w:p w14:paraId="4DEE3D24">
            <w:pPr>
              <w:bidi w:val="0"/>
              <w:rPr>
                <w:vertAlign w:val="baseline"/>
              </w:rPr>
            </w:pPr>
          </w:p>
        </w:tc>
        <w:tc>
          <w:tcPr>
            <w:tcW w:w="853" w:type="dxa"/>
          </w:tcPr>
          <w:p w14:paraId="5B2E1CE1">
            <w:pPr>
              <w:bidi w:val="0"/>
              <w:rPr>
                <w:vertAlign w:val="baseline"/>
              </w:rPr>
            </w:pPr>
          </w:p>
        </w:tc>
        <w:tc>
          <w:tcPr>
            <w:tcW w:w="853" w:type="dxa"/>
          </w:tcPr>
          <w:p w14:paraId="1AA275C4">
            <w:pPr>
              <w:bidi w:val="0"/>
              <w:rPr>
                <w:vertAlign w:val="baseline"/>
              </w:rPr>
            </w:pPr>
          </w:p>
        </w:tc>
      </w:tr>
      <w:tr w14:paraId="3467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D68422E">
            <w:pPr>
              <w:bidi w:val="0"/>
              <w:rPr>
                <w:vertAlign w:val="baseline"/>
              </w:rPr>
            </w:pPr>
          </w:p>
        </w:tc>
        <w:tc>
          <w:tcPr>
            <w:tcW w:w="852" w:type="dxa"/>
          </w:tcPr>
          <w:p w14:paraId="53153061">
            <w:pPr>
              <w:bidi w:val="0"/>
              <w:rPr>
                <w:vertAlign w:val="baseline"/>
              </w:rPr>
            </w:pPr>
          </w:p>
        </w:tc>
        <w:tc>
          <w:tcPr>
            <w:tcW w:w="853" w:type="dxa"/>
          </w:tcPr>
          <w:p w14:paraId="4284BB0C">
            <w:pPr>
              <w:bidi w:val="0"/>
              <w:rPr>
                <w:vertAlign w:val="baseline"/>
              </w:rPr>
            </w:pPr>
          </w:p>
        </w:tc>
        <w:tc>
          <w:tcPr>
            <w:tcW w:w="853" w:type="dxa"/>
          </w:tcPr>
          <w:p w14:paraId="506DCF74">
            <w:pPr>
              <w:bidi w:val="0"/>
              <w:rPr>
                <w:vertAlign w:val="baseline"/>
              </w:rPr>
            </w:pPr>
          </w:p>
        </w:tc>
        <w:tc>
          <w:tcPr>
            <w:tcW w:w="853" w:type="dxa"/>
          </w:tcPr>
          <w:p w14:paraId="0BDAF287">
            <w:pPr>
              <w:bidi w:val="0"/>
              <w:rPr>
                <w:vertAlign w:val="baseline"/>
              </w:rPr>
            </w:pPr>
          </w:p>
        </w:tc>
        <w:tc>
          <w:tcPr>
            <w:tcW w:w="853" w:type="dxa"/>
          </w:tcPr>
          <w:p w14:paraId="57F6CFB6">
            <w:pPr>
              <w:bidi w:val="0"/>
              <w:rPr>
                <w:vertAlign w:val="baseline"/>
              </w:rPr>
            </w:pPr>
          </w:p>
        </w:tc>
        <w:tc>
          <w:tcPr>
            <w:tcW w:w="853" w:type="dxa"/>
          </w:tcPr>
          <w:p w14:paraId="052FE122">
            <w:pPr>
              <w:bidi w:val="0"/>
              <w:rPr>
                <w:vertAlign w:val="baseline"/>
              </w:rPr>
            </w:pPr>
          </w:p>
        </w:tc>
        <w:tc>
          <w:tcPr>
            <w:tcW w:w="853" w:type="dxa"/>
          </w:tcPr>
          <w:p w14:paraId="095C51E5">
            <w:pPr>
              <w:bidi w:val="0"/>
              <w:rPr>
                <w:vertAlign w:val="baseline"/>
              </w:rPr>
            </w:pPr>
          </w:p>
        </w:tc>
        <w:tc>
          <w:tcPr>
            <w:tcW w:w="853" w:type="dxa"/>
          </w:tcPr>
          <w:p w14:paraId="598E08D8">
            <w:pPr>
              <w:bidi w:val="0"/>
              <w:rPr>
                <w:vertAlign w:val="baseline"/>
              </w:rPr>
            </w:pPr>
          </w:p>
        </w:tc>
        <w:tc>
          <w:tcPr>
            <w:tcW w:w="853" w:type="dxa"/>
          </w:tcPr>
          <w:p w14:paraId="15417FB4">
            <w:pPr>
              <w:bidi w:val="0"/>
              <w:rPr>
                <w:vertAlign w:val="baseline"/>
              </w:rPr>
            </w:pPr>
          </w:p>
        </w:tc>
      </w:tr>
    </w:tbl>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24811"/>
      <w:bookmarkStart w:id="9" w:name="_Toc27198"/>
      <w:bookmarkStart w:id="10" w:name="_Toc12276"/>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19" w:name="_Toc29843"/>
      <w:r>
        <w:rPr>
          <w:rFonts w:hint="eastAsia"/>
          <w:sz w:val="30"/>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blHeader/>
          <w:cantSpli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blHeader/>
          <w:cantSpli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blHeader/>
          <w:cantSpli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blHeader/>
          <w:cantSpli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33" w:name="_Toc32079"/>
      <w:r>
        <w:rPr>
          <w:rFonts w:hint="eastAsia"/>
          <w:lang w:val="en-US" w:eastAsia="zh-CN"/>
        </w:rPr>
        <w:t>五、</w:t>
      </w:r>
      <w:r>
        <w:rPr>
          <w:rFonts w:hint="default"/>
          <w:lang w:val="en-US" w:eastAsia="zh-CN"/>
        </w:rPr>
        <w:t>模型构建</w:t>
      </w:r>
      <w:bookmarkEnd w:id="33"/>
      <w:r>
        <w:rPr>
          <w:rFonts w:hint="default"/>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m:oMath>
        <w:bookmarkStart w:id="36" w:name="_Toc10619"/>
        <w:bookmarkStart w:id="37"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rPr>
          <w:rFonts w:hint="default"/>
          <w:lang w:val="en-US" w:eastAsia="zh-CN"/>
        </w:rPr>
      </w:pPr>
      <w:bookmarkStart w:id="44" w:name="_Toc11171"/>
      <w:r>
        <w:rPr>
          <w:rFonts w:hint="eastAsia"/>
          <w:lang w:val="en-US" w:eastAsia="zh-CN"/>
        </w:rPr>
        <w:t>六、</w:t>
      </w:r>
      <w:r>
        <w:rPr>
          <w:rFonts w:hint="default"/>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552"/>
      <w:bookmarkStart w:id="50" w:name="_Toc297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8300"/>
      <w:bookmarkStart w:id="55" w:name="_Toc25285"/>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449"/>
      <w:bookmarkStart w:id="58" w:name="_Toc1294"/>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17557"/>
      <w:bookmarkStart w:id="65" w:name="_Toc26119"/>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20190"/>
      <w:bookmarkStart w:id="67" w:name="_Toc19449"/>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blHeader/>
          <w:cantSpli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74" w:name="_Toc13296"/>
      <w:r>
        <w:rPr>
          <w:rFonts w:hint="eastAsia"/>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75" w:name="_Toc3624"/>
      <w:r>
        <w:rPr>
          <w:rFonts w:hint="eastAsia"/>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76" w:name="_Toc21430"/>
      <w:r>
        <w:rPr>
          <w:rFonts w:hint="eastAsia"/>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6035A2C"/>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7038</Words>
  <Characters>8520</Characters>
  <Lines>0</Lines>
  <Paragraphs>0</Paragraphs>
  <TotalTime>0</TotalTime>
  <ScaleCrop>false</ScaleCrop>
  <LinksUpToDate>false</LinksUpToDate>
  <CharactersWithSpaces>8921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2026-05-11T11:41:34Z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