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16672"/>
      <w:bookmarkStart w:id="1" w:name="_Toc22711"/>
      <w:bookmarkStart w:id="2" w:name="_Toc27266"/>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6A654131">
            <w:pPr>
              <w:bidi w:val="0"/>
              <w:rPr>
                <w:vertAlign w:val="baseline"/>
              </w:rPr>
            </w:pPr>
            <w:bookmarkStart w:id="87" w:name="_GoBack"/>
            <w:bookmarkEnd w:id="87"/>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b/>
        </w:rPr>
        <w:t xml:space="preserve">  关键词：</w:t>
      </w:r>
      <w:r>
        <w:rPr>
          <w:b w:val="0"/>
        </w:rPr>
        <w:t>心脏病心脏病预测；Stacking 集成学习；贝叶斯优化；SHAP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6159640D">
      <w:pPr>
        <w:spacing w:line="240" w:lineRule="auto"/>
        <w:ind w:firstLine="0" w:firstLineChars="0"/>
        <w:jc w:val="center"/>
        <w:rPr>
          <w:rStyle w:val="27"/>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12276"/>
      <w:bookmarkStart w:id="9" w:name="_Toc27198"/>
      <w:bookmarkStart w:id="10" w:name="_Toc24811"/>
      <w:r>
        <w:rPr>
          <w:rStyle w:val="27"/>
          <w:rFonts w:hint="eastAsia"/>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547"/>
      <w:bookmarkStart w:id="15" w:name="_Toc27308"/>
      <w:bookmarkStart w:id="16" w:name="_Toc10789"/>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8464"/>
      <w:bookmarkStart w:id="19" w:name="_Toc10230"/>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24153"/>
      <w:bookmarkStart w:id="28" w:name="_Toc13370"/>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lang w:val="en-US" w:eastAsia="zh-CN"/>
        </w:rPr>
        <w:t>1.胸痛类型​​</w:t>
      </w:r>
      <w:bookmarkEnd w:id="33"/>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lang w:val="en-US" w:eastAsia="zh-CN"/>
        </w:rPr>
        <w:t>2.ST段压低值​​</w:t>
      </w:r>
      <w:bookmarkEnd w:id="34"/>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lang w:val="en-US" w:eastAsia="zh-CN"/>
        </w:rPr>
        <w:t>3.静息心电图结果</w:t>
      </w:r>
      <w:bookmarkEnd w:id="35"/>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lang w:val="en-US" w:eastAsia="zh-CN"/>
        </w:rPr>
        <w:t>五、</w:t>
      </w:r>
      <w:r>
        <w:rPr>
          <w:rFonts w:hint="default"/>
          <w:lang w:val="en-US" w:eastAsia="zh-CN"/>
        </w:rPr>
        <w:t>模型构建</w:t>
      </w:r>
      <w:bookmarkEnd w:id="41"/>
      <w:r>
        <w:rPr>
          <w:rFonts w:hint="default"/>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m:oMath>
        <w:bookmarkStart w:id="44" w:name="_Toc10619"/>
        <w:bookmarkStart w:id="45"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lang w:val="en-US" w:eastAsia="zh-CN"/>
        </w:rPr>
        <w:t>3.2</w:t>
      </w:r>
      <w:r>
        <w:rPr>
          <w:rFonts w:hint="default"/>
          <w:lang w:val="en-US" w:eastAsia="zh-CN"/>
        </w:rPr>
        <w:t xml:space="preserve"> 弱学习器的构建：</w:t>
      </w:r>
      <w:bookmarkEnd w:id="49"/>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lang w:val="en-US" w:eastAsia="zh-CN"/>
        </w:rPr>
        <w:t>六、</w:t>
      </w:r>
      <w:r>
        <w:rPr>
          <w:rFonts w:hint="default"/>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25447"/>
      <w:bookmarkStart w:id="55" w:name="_Toc13160"/>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6869"/>
      <w:bookmarkStart w:id="58" w:name="_Toc552"/>
      <w:bookmarkStart w:id="59" w:name="_Toc29752"/>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449"/>
      <w:bookmarkStart w:id="65" w:name="_Toc4948"/>
      <w:bookmarkStart w:id="66" w:name="_Toc1294"/>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1371"/>
      <w:bookmarkStart w:id="69" w:name="_Toc22175"/>
      <w:bookmarkStart w:id="70" w:name="_Toc2399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17557"/>
      <w:bookmarkStart w:id="73" w:name="_Toc26119"/>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lang w:val="en-US" w:eastAsia="zh-CN"/>
        </w:rPr>
        <w:t>七、结论与展望</w:t>
      </w:r>
      <w:bookmarkEnd w:id="82"/>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rPr>
        <w:t>参考文献</w:t>
      </w:r>
      <w:bookmarkEnd w:id="83"/>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7267</Words>
  <Characters>8959</Characters>
  <Lines>0</Lines>
  <Paragraphs>0</Paragraphs>
  <TotalTime>9</TotalTime>
  <ScaleCrop>false</ScaleCrop>
  <LinksUpToDate>false</LinksUpToDate>
  <CharactersWithSpaces>9375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2026-05-06T07:38:58Z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