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B686" w14:textId="3633079B" w:rsidR="009F2206" w:rsidRPr="009F2206" w:rsidRDefault="009F2206" w:rsidP="009F2206">
      <w:pPr>
        <w:jc w:val="both"/>
        <w:rPr>
          <w:rFonts w:ascii="Times New Roman" w:hAnsi="Times New Roman" w:cs="Times New Roman"/>
        </w:rPr>
      </w:pPr>
      <w:r w:rsidRPr="009F2206">
        <w:rPr>
          <w:rFonts w:ascii="Times New Roman" w:hAnsi="Times New Roman" w:cs="Times New Roman"/>
        </w:rPr>
        <w:t xml:space="preserve">With profound and escalating impacts on human societies, climate and environmental change </w:t>
      </w:r>
      <w:r w:rsidRPr="009F2206">
        <w:rPr>
          <w:rFonts w:ascii="Times New Roman" w:hAnsi="Times New Roman" w:cs="Times New Roman"/>
        </w:rPr>
        <w:t>have</w:t>
      </w:r>
      <w:r w:rsidRPr="009F2206">
        <w:rPr>
          <w:rFonts w:ascii="Times New Roman" w:hAnsi="Times New Roman" w:cs="Times New Roman"/>
        </w:rPr>
        <w:t xml:space="preserve"> become one of the most urgent global challenges of our time. The increasing and unequal vulnerability and risk of exposure among people </w:t>
      </w:r>
      <w:r w:rsidRPr="009F2206">
        <w:rPr>
          <w:rFonts w:ascii="Times New Roman" w:hAnsi="Times New Roman" w:cs="Times New Roman"/>
        </w:rPr>
        <w:t>lead</w:t>
      </w:r>
      <w:r w:rsidRPr="009F2206">
        <w:rPr>
          <w:rFonts w:ascii="Times New Roman" w:hAnsi="Times New Roman" w:cs="Times New Roman"/>
        </w:rPr>
        <w:t xml:space="preserve"> to many consequences and </w:t>
      </w:r>
      <w:r w:rsidRPr="009F2206">
        <w:rPr>
          <w:rFonts w:ascii="Times New Roman" w:hAnsi="Times New Roman" w:cs="Times New Roman"/>
        </w:rPr>
        <w:t>call</w:t>
      </w:r>
      <w:r w:rsidRPr="009F2206">
        <w:rPr>
          <w:rFonts w:ascii="Times New Roman" w:hAnsi="Times New Roman" w:cs="Times New Roman"/>
        </w:rPr>
        <w:t xml:space="preserve"> for our actions to adapt. Among many responses to climate and environmental change, human (</w:t>
      </w:r>
      <w:proofErr w:type="spellStart"/>
      <w:r w:rsidRPr="009F2206">
        <w:rPr>
          <w:rFonts w:ascii="Times New Roman" w:hAnsi="Times New Roman" w:cs="Times New Roman"/>
        </w:rPr>
        <w:t>im</w:t>
      </w:r>
      <w:proofErr w:type="spellEnd"/>
      <w:r w:rsidRPr="009F2206">
        <w:rPr>
          <w:rFonts w:ascii="Times New Roman" w:hAnsi="Times New Roman" w:cs="Times New Roman"/>
        </w:rPr>
        <w:t>)mobility plays a central role, whether as a form of adaptation, a coping strategy, or a result of displacement. As the World Bank’s ‘Groundswell’ report stated, at the most pessimistic reference scenario, 216 million people across 6 world regions will be forced to take internal migrations by 2050, while at the climate-friendly scenario, this number could be reduced to 44 million, considering reducing greenhouse gases, closing development gaps, restoring vital ecosystems, and helping people to adapt. The field of climate mobility, situated within Geography and the Social Sciences, examines this interaction from multiple aspects.</w:t>
      </w:r>
    </w:p>
    <w:p w14:paraId="11B808DA" w14:textId="77777777" w:rsidR="009F2206" w:rsidRPr="009F2206" w:rsidRDefault="009F2206" w:rsidP="009F2206">
      <w:pPr>
        <w:jc w:val="both"/>
        <w:rPr>
          <w:rFonts w:ascii="Times New Roman" w:hAnsi="Times New Roman" w:cs="Times New Roman"/>
        </w:rPr>
      </w:pPr>
    </w:p>
    <w:p w14:paraId="5C384253" w14:textId="28A0CD02" w:rsidR="009F2206" w:rsidRPr="009F2206" w:rsidRDefault="009F2206" w:rsidP="009F2206">
      <w:pPr>
        <w:jc w:val="both"/>
        <w:rPr>
          <w:rFonts w:ascii="Times New Roman" w:hAnsi="Times New Roman" w:cs="Times New Roman"/>
        </w:rPr>
      </w:pPr>
      <w:r w:rsidRPr="009F2206">
        <w:rPr>
          <w:rFonts w:ascii="Times New Roman" w:hAnsi="Times New Roman" w:cs="Times New Roman"/>
        </w:rPr>
        <w:t xml:space="preserve">The climate–mobility nexus is multidimensional, non-linear, and non-deterministic, although early research in this field tended to concentrate narrowly on direct causation, portraying environmental factors as isolated triggers of migration and displacement. First, climate and environmental change </w:t>
      </w:r>
      <w:proofErr w:type="gramStart"/>
      <w:r w:rsidRPr="009F2206">
        <w:rPr>
          <w:rFonts w:ascii="Times New Roman" w:hAnsi="Times New Roman" w:cs="Times New Roman"/>
        </w:rPr>
        <w:t>takes</w:t>
      </w:r>
      <w:proofErr w:type="gramEnd"/>
      <w:r w:rsidRPr="009F2206">
        <w:rPr>
          <w:rFonts w:ascii="Times New Roman" w:hAnsi="Times New Roman" w:cs="Times New Roman"/>
        </w:rPr>
        <w:t xml:space="preserve"> diverse forms with distinct severity, ranging from slow-onset processes such as sea-level rise, salinization, and desertification to extreme and fast-onset events like cyclones, floods, and landslides. Different stressors, as well as their interactions or cumulations, can lead to distinct responses regarding human mobility. Moreover, the decision </w:t>
      </w:r>
      <w:r w:rsidRPr="009F2206">
        <w:rPr>
          <w:rFonts w:ascii="Times New Roman" w:hAnsi="Times New Roman" w:cs="Times New Roman"/>
        </w:rPr>
        <w:t>to</w:t>
      </w:r>
      <w:r w:rsidRPr="009F2206">
        <w:rPr>
          <w:rFonts w:ascii="Times New Roman" w:hAnsi="Times New Roman" w:cs="Times New Roman"/>
        </w:rPr>
        <w:t xml:space="preserve"> move or stay is influenced by intersecting macro-, meso-, and micro-factors, such as economic opportunities, social networks, cultural norms, education and work, land tenure, marriage, demography, and political conditions etc. They impact migration decisions jointly, making it infrequent for environment to act as an independent driver. Also, environmental change can lead to change in intermediate factors, such as agriculture, food security, health, conflict dynamics, and local economies etc., which in turn shape wellbeing, resilience, livelihood stability and the agency and capacity to move. Such </w:t>
      </w:r>
      <w:r w:rsidRPr="009F2206">
        <w:rPr>
          <w:rFonts w:ascii="Times New Roman" w:hAnsi="Times New Roman" w:cs="Times New Roman"/>
        </w:rPr>
        <w:t>inequality</w:t>
      </w:r>
      <w:r w:rsidRPr="009F2206">
        <w:rPr>
          <w:rFonts w:ascii="Times New Roman" w:hAnsi="Times New Roman" w:cs="Times New Roman"/>
        </w:rPr>
        <w:t xml:space="preserve"> can lead to the circumstance that some people are displaced </w:t>
      </w:r>
      <w:r w:rsidRPr="009F2206">
        <w:rPr>
          <w:rFonts w:ascii="Times New Roman" w:hAnsi="Times New Roman" w:cs="Times New Roman"/>
        </w:rPr>
        <w:t>with</w:t>
      </w:r>
      <w:r w:rsidRPr="009F2206">
        <w:rPr>
          <w:rFonts w:ascii="Times New Roman" w:hAnsi="Times New Roman" w:cs="Times New Roman"/>
        </w:rPr>
        <w:t xml:space="preserve"> their will, while others who wish to migrate may become involuntarily immobile or trapped. These outcomes reflect broader questions of equity and climate justice. Third, human mobility and migration </w:t>
      </w:r>
      <w:r w:rsidRPr="009F2206">
        <w:rPr>
          <w:rFonts w:ascii="Times New Roman" w:hAnsi="Times New Roman" w:cs="Times New Roman"/>
        </w:rPr>
        <w:t>are</w:t>
      </w:r>
      <w:r w:rsidRPr="009F2206">
        <w:rPr>
          <w:rFonts w:ascii="Times New Roman" w:hAnsi="Times New Roman" w:cs="Times New Roman"/>
        </w:rPr>
        <w:t xml:space="preserve"> not </w:t>
      </w:r>
      <w:r w:rsidRPr="009F2206">
        <w:rPr>
          <w:rFonts w:ascii="Times New Roman" w:hAnsi="Times New Roman" w:cs="Times New Roman"/>
        </w:rPr>
        <w:t>simple</w:t>
      </w:r>
      <w:r w:rsidRPr="009F2206">
        <w:rPr>
          <w:rFonts w:ascii="Times New Roman" w:hAnsi="Times New Roman" w:cs="Times New Roman"/>
        </w:rPr>
        <w:t xml:space="preserve"> phenomenon. Patterns of mobility are diverse, including internal, rural-to-urban movement, short or </w:t>
      </w:r>
      <w:r w:rsidRPr="009F2206">
        <w:rPr>
          <w:rFonts w:ascii="Times New Roman" w:hAnsi="Times New Roman" w:cs="Times New Roman"/>
        </w:rPr>
        <w:t>long-distance</w:t>
      </w:r>
      <w:r w:rsidRPr="009F2206">
        <w:rPr>
          <w:rFonts w:ascii="Times New Roman" w:hAnsi="Times New Roman" w:cs="Times New Roman"/>
        </w:rPr>
        <w:t xml:space="preserve"> migration, translocal livelihood networks, international migration etc., as well as permanent migration, seasonal mobility etc. Policy frameworks at local, national, regional, and global scales, from adaptation planning to migration and refugee governance, also play a critical role in shaping the possibilities and constraints of mobility in a changing climate. Finally, mobility is only one of the climate response and adaptation strategies apart from selling assets, intensifying livelihood activities, and investing in in situ resilience measures, etc. In all, environmental stressors are experienced differently among people, therefore, human mobility induced by climate and </w:t>
      </w:r>
      <w:r w:rsidRPr="009F2206">
        <w:rPr>
          <w:rFonts w:ascii="Times New Roman" w:hAnsi="Times New Roman" w:cs="Times New Roman"/>
        </w:rPr>
        <w:t>environmental</w:t>
      </w:r>
      <w:r w:rsidRPr="009F2206">
        <w:rPr>
          <w:rFonts w:ascii="Times New Roman" w:hAnsi="Times New Roman" w:cs="Times New Roman"/>
        </w:rPr>
        <w:t xml:space="preserve"> change can’t be understood without considering broader context.</w:t>
      </w:r>
    </w:p>
    <w:p w14:paraId="75554DA7" w14:textId="77777777" w:rsidR="009F2206" w:rsidRPr="009F2206" w:rsidRDefault="009F2206" w:rsidP="009F2206">
      <w:pPr>
        <w:jc w:val="both"/>
        <w:rPr>
          <w:rFonts w:ascii="Times New Roman" w:hAnsi="Times New Roman" w:cs="Times New Roman"/>
        </w:rPr>
      </w:pPr>
    </w:p>
    <w:p w14:paraId="64910843" w14:textId="4F61902E" w:rsidR="009F2206" w:rsidRPr="009F2206" w:rsidRDefault="009F2206" w:rsidP="009F2206">
      <w:pPr>
        <w:jc w:val="both"/>
        <w:rPr>
          <w:rFonts w:ascii="Times New Roman" w:hAnsi="Times New Roman" w:cs="Times New Roman"/>
        </w:rPr>
      </w:pPr>
      <w:r w:rsidRPr="009F2206">
        <w:rPr>
          <w:rFonts w:ascii="Times New Roman" w:hAnsi="Times New Roman" w:cs="Times New Roman"/>
        </w:rPr>
        <w:lastRenderedPageBreak/>
        <w:t xml:space="preserve">This inherent complexity has led to a decentralized climate mobility research landscape. In </w:t>
      </w:r>
      <w:r w:rsidRPr="009F2206">
        <w:rPr>
          <w:rFonts w:ascii="Times New Roman" w:hAnsi="Times New Roman" w:cs="Times New Roman"/>
        </w:rPr>
        <w:t>detail</w:t>
      </w:r>
      <w:r w:rsidRPr="009F2206">
        <w:rPr>
          <w:rFonts w:ascii="Times New Roman" w:hAnsi="Times New Roman" w:cs="Times New Roman"/>
        </w:rPr>
        <w:t xml:space="preserve">, scholars tend to concentrate on diverse research problems, regarding distinct climatic events, mobility patterns, modifying factors and intermediate pathways, etc., in specific research areas with heterogeneous spatio-temporal scales. Besides, the heterogeneity in research data and designs further intensify the fragmentation of climate mobility field. As studies in this field spans many analytical scales, research data range from highly localized case studies based on household surveys, to country level administrative records, large-scale census data, remote sensing imagery, and outputs of climate models etc. Research methods, on the other hand, include qualitative field works, quantitative demographic statistics or data analysis, mixed methods, and furthermore, new intelligent approaches like climate monitoring, </w:t>
      </w:r>
      <w:r w:rsidRPr="009F2206">
        <w:rPr>
          <w:rFonts w:ascii="Times New Roman" w:hAnsi="Times New Roman" w:cs="Times New Roman"/>
        </w:rPr>
        <w:t>agent-based</w:t>
      </w:r>
      <w:r w:rsidRPr="009F2206">
        <w:rPr>
          <w:rFonts w:ascii="Times New Roman" w:hAnsi="Times New Roman" w:cs="Times New Roman"/>
        </w:rPr>
        <w:t xml:space="preserve"> modelling etc. Such diversity in data and methods leads to different ways of knowledge production, then diverse or even contradictory results and conclusions. Put </w:t>
      </w:r>
      <w:r>
        <w:rPr>
          <w:rFonts w:ascii="Times New Roman" w:hAnsi="Times New Roman" w:cs="Times New Roman" w:hint="eastAsia"/>
        </w:rPr>
        <w:t xml:space="preserve">it </w:t>
      </w:r>
      <w:r w:rsidRPr="009F2206">
        <w:rPr>
          <w:rFonts w:ascii="Times New Roman" w:hAnsi="Times New Roman" w:cs="Times New Roman"/>
        </w:rPr>
        <w:t xml:space="preserve">differently, it is hard to find a unified approach that adequately represents this field. Different conceptual framings and various related disciplinaries further deepen the complexity. Different topics like migration as adaptation, social resilience and habitability, translocal social resilience, political ecology, well-being, vulnerability and sustainability etc. focus on specific aspects of climate mobility, while others from natural sciences, social sciences, legal studies etc. also prioritize different explanatory variables and adopt divergent methods to examine climate mobility. </w:t>
      </w:r>
    </w:p>
    <w:p w14:paraId="2AF6D147" w14:textId="77777777" w:rsidR="009F2206" w:rsidRPr="009F2206" w:rsidRDefault="009F2206" w:rsidP="009F2206">
      <w:pPr>
        <w:jc w:val="both"/>
        <w:rPr>
          <w:rFonts w:ascii="Times New Roman" w:hAnsi="Times New Roman" w:cs="Times New Roman"/>
        </w:rPr>
      </w:pPr>
    </w:p>
    <w:p w14:paraId="5F0E45FB" w14:textId="600CE095" w:rsidR="00472854" w:rsidRPr="009F2206" w:rsidRDefault="009F2206" w:rsidP="009F2206">
      <w:pPr>
        <w:jc w:val="both"/>
        <w:rPr>
          <w:rFonts w:ascii="Times New Roman" w:hAnsi="Times New Roman" w:cs="Times New Roman"/>
        </w:rPr>
      </w:pPr>
      <w:r w:rsidRPr="009F2206">
        <w:rPr>
          <w:rFonts w:ascii="Times New Roman" w:hAnsi="Times New Roman" w:cs="Times New Roman"/>
        </w:rPr>
        <w:t xml:space="preserve">Although this diversity leads to the development of climate mobility discipline, it also hinders comprehensive overviews and coherent understanding on research dynamics and state of the art, trans-disciplinary collaboration, and coordinated decision-making among scholars. With summarizing such knowledge in climate mobility into merely several </w:t>
      </w:r>
      <w:r w:rsidRPr="009F2206">
        <w:rPr>
          <w:rFonts w:ascii="Times New Roman" w:hAnsi="Times New Roman" w:cs="Times New Roman"/>
        </w:rPr>
        <w:t>pieces</w:t>
      </w:r>
      <w:r w:rsidRPr="009F2206">
        <w:rPr>
          <w:rFonts w:ascii="Times New Roman" w:hAnsi="Times New Roman" w:cs="Times New Roman"/>
        </w:rPr>
        <w:t xml:space="preserve"> of papers, things become more implicit, limiting the usability, comparability and reusability of knowledge for both human and machine. These challenges highlight an urgent need for systematic knowledge organization, via for example, systematic literature reviews. Strengthening knowledge management in the climate mobility field is essential for improving communication across disciplines, informing policy and planning, and supporting more equitable and effective responses to climate change.</w:t>
      </w:r>
    </w:p>
    <w:sectPr w:rsidR="00472854" w:rsidRPr="009F2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854"/>
    <w:rsid w:val="00472854"/>
    <w:rsid w:val="009F2206"/>
    <w:rsid w:val="00B96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9BD9"/>
  <w15:chartTrackingRefBased/>
  <w15:docId w15:val="{82BBEB63-9F1D-4C92-9CD5-9A175A7E3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854"/>
    <w:rPr>
      <w:rFonts w:eastAsiaTheme="majorEastAsia" w:cstheme="majorBidi"/>
      <w:color w:val="272727" w:themeColor="text1" w:themeTint="D8"/>
    </w:rPr>
  </w:style>
  <w:style w:type="paragraph" w:styleId="Title">
    <w:name w:val="Title"/>
    <w:basedOn w:val="Normal"/>
    <w:next w:val="Normal"/>
    <w:link w:val="TitleChar"/>
    <w:uiPriority w:val="10"/>
    <w:qFormat/>
    <w:rsid w:val="00472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854"/>
    <w:pPr>
      <w:spacing w:before="160"/>
      <w:jc w:val="center"/>
    </w:pPr>
    <w:rPr>
      <w:i/>
      <w:iCs/>
      <w:color w:val="404040" w:themeColor="text1" w:themeTint="BF"/>
    </w:rPr>
  </w:style>
  <w:style w:type="character" w:customStyle="1" w:styleId="QuoteChar">
    <w:name w:val="Quote Char"/>
    <w:basedOn w:val="DefaultParagraphFont"/>
    <w:link w:val="Quote"/>
    <w:uiPriority w:val="29"/>
    <w:rsid w:val="00472854"/>
    <w:rPr>
      <w:i/>
      <w:iCs/>
      <w:color w:val="404040" w:themeColor="text1" w:themeTint="BF"/>
    </w:rPr>
  </w:style>
  <w:style w:type="paragraph" w:styleId="ListParagraph">
    <w:name w:val="List Paragraph"/>
    <w:basedOn w:val="Normal"/>
    <w:uiPriority w:val="34"/>
    <w:qFormat/>
    <w:rsid w:val="00472854"/>
    <w:pPr>
      <w:ind w:left="720"/>
      <w:contextualSpacing/>
    </w:pPr>
  </w:style>
  <w:style w:type="character" w:styleId="IntenseEmphasis">
    <w:name w:val="Intense Emphasis"/>
    <w:basedOn w:val="DefaultParagraphFont"/>
    <w:uiPriority w:val="21"/>
    <w:qFormat/>
    <w:rsid w:val="00472854"/>
    <w:rPr>
      <w:i/>
      <w:iCs/>
      <w:color w:val="0F4761" w:themeColor="accent1" w:themeShade="BF"/>
    </w:rPr>
  </w:style>
  <w:style w:type="paragraph" w:styleId="IntenseQuote">
    <w:name w:val="Intense Quote"/>
    <w:basedOn w:val="Normal"/>
    <w:next w:val="Normal"/>
    <w:link w:val="IntenseQuoteChar"/>
    <w:uiPriority w:val="30"/>
    <w:qFormat/>
    <w:rsid w:val="00472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854"/>
    <w:rPr>
      <w:i/>
      <w:iCs/>
      <w:color w:val="0F4761" w:themeColor="accent1" w:themeShade="BF"/>
    </w:rPr>
  </w:style>
  <w:style w:type="character" w:styleId="IntenseReference">
    <w:name w:val="Intense Reference"/>
    <w:basedOn w:val="DefaultParagraphFont"/>
    <w:uiPriority w:val="32"/>
    <w:qFormat/>
    <w:rsid w:val="00472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Songlin Wang</dc:creator>
  <cp:keywords/>
  <dc:description/>
  <cp:lastModifiedBy>Songlin Wang</cp:lastModifiedBy>
  <cp:revision>2</cp:revision>
  <dcterms:created xsi:type="dcterms:W3CDTF">2025-11-11T19:43:00Z</dcterms:created>
  <dcterms:modified xsi:type="dcterms:W3CDTF">2025-11-11T19:45:00Z</dcterms:modified>
</cp:coreProperties>
</file>