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Validation Results</w:t>
      </w:r>
    </w:p>
    <w:p>
      <w:pPr>
        <w:pStyle w:val="Heading1"/>
      </w:pPr>
      <w:r>
        <w:t>Patient Exclusion Summary</w:t>
      </w:r>
    </w:p>
    <w:p>
      <w:r>
        <w:t>Total patients: 200</w:t>
      </w:r>
    </w:p>
    <w:p>
      <w:r>
        <w:t>Excluded due to missing death information: 0</w:t>
      </w:r>
    </w:p>
    <w:p>
      <w:r>
        <w:t>Excluded due to negative OS months (invalid): 25</w:t>
      </w:r>
    </w:p>
    <w:p>
      <w:r>
        <w:t>Excluded due to missing OS months: 0</w:t>
      </w:r>
    </w:p>
    <w:p>
      <w:r>
        <w:t>Included in survival analysis: 175</w:t>
      </w:r>
    </w:p>
    <w:p>
      <w:r>
        <w:t>Excluded from binary model (censored &lt;12 months, outcome unknown): 18</w:t>
      </w:r>
    </w:p>
    <w:p>
      <w:r>
        <w:t>Included in binary models: 157</w:t>
      </w:r>
    </w:p>
    <w:p>
      <w:pPr>
        <w:pStyle w:val="Heading1"/>
      </w:pPr>
      <w:r>
        <w:t>Summary Table: Age at Diagnosis and OS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Missing (n)</w:t>
            </w:r>
          </w:p>
        </w:tc>
        <w:tc>
          <w:tcPr>
            <w:tcW w:type="dxa" w:w="1234"/>
          </w:tcPr>
          <w:p>
            <w:r>
              <w:t>Missing (%)</w:t>
            </w:r>
          </w:p>
        </w:tc>
      </w:tr>
      <w:tr>
        <w:tc>
          <w:tcPr>
            <w:tcW w:type="dxa" w:w="1234"/>
          </w:tcPr>
          <w:p>
            <w:r>
              <w:t>age_at_diagnosis</w:t>
            </w:r>
          </w:p>
        </w:tc>
        <w:tc>
          <w:tcPr>
            <w:tcW w:type="dxa" w:w="1234"/>
          </w:tcPr>
          <w:p>
            <w:r>
              <w:t>54.15</w:t>
            </w:r>
          </w:p>
        </w:tc>
        <w:tc>
          <w:tcPr>
            <w:tcW w:type="dxa" w:w="1234"/>
          </w:tcPr>
          <w:p>
            <w:r>
              <w:t>57.0</w:t>
            </w:r>
          </w:p>
        </w:tc>
        <w:tc>
          <w:tcPr>
            <w:tcW w:type="dxa" w:w="1234"/>
          </w:tcPr>
          <w:p>
            <w:r>
              <w:t>18.0</w:t>
            </w:r>
          </w:p>
        </w:tc>
        <w:tc>
          <w:tcPr>
            <w:tcW w:type="dxa" w:w="1234"/>
          </w:tcPr>
          <w:p>
            <w:r>
              <w:t>88.0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os_months</w:t>
            </w:r>
          </w:p>
        </w:tc>
        <w:tc>
          <w:tcPr>
            <w:tcW w:type="dxa" w:w="1234"/>
          </w:tcPr>
          <w:p>
            <w:r>
              <w:t>19.67</w:t>
            </w:r>
          </w:p>
        </w:tc>
        <w:tc>
          <w:tcPr>
            <w:tcW w:type="dxa" w:w="1234"/>
          </w:tcPr>
          <w:p>
            <w:r>
              <w:t>12.02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93.99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p>
      <w:pPr>
        <w:pStyle w:val="Heading1"/>
      </w:pPr>
      <w:r>
        <w:t>Gene Mutation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Gene</w:t>
            </w:r>
          </w:p>
        </w:tc>
        <w:tc>
          <w:tcPr>
            <w:tcW w:type="dxa" w:w="1234"/>
          </w:tcPr>
          <w:p>
            <w:r>
              <w:t>Positive (n)</w:t>
            </w:r>
          </w:p>
        </w:tc>
        <w:tc>
          <w:tcPr>
            <w:tcW w:type="dxa" w:w="1234"/>
          </w:tcPr>
          <w:p>
            <w:r>
              <w:t>Positive (%)</w:t>
            </w:r>
          </w:p>
        </w:tc>
        <w:tc>
          <w:tcPr>
            <w:tcW w:type="dxa" w:w="1234"/>
          </w:tcPr>
          <w:p>
            <w:r>
              <w:t>Negative (n)</w:t>
            </w:r>
          </w:p>
        </w:tc>
        <w:tc>
          <w:tcPr>
            <w:tcW w:type="dxa" w:w="1234"/>
          </w:tcPr>
          <w:p>
            <w:r>
              <w:t>Negative (%)</w:t>
            </w:r>
          </w:p>
        </w:tc>
        <w:tc>
          <w:tcPr>
            <w:tcW w:type="dxa" w:w="1234"/>
          </w:tcPr>
          <w:p>
            <w:r>
              <w:t>Missing (n)</w:t>
            </w:r>
          </w:p>
        </w:tc>
        <w:tc>
          <w:tcPr>
            <w:tcW w:type="dxa" w:w="1234"/>
          </w:tcPr>
          <w:p>
            <w:r>
              <w:t>Missing (%)</w:t>
            </w:r>
          </w:p>
        </w:tc>
      </w:tr>
      <w:tr>
        <w:tc>
          <w:tcPr>
            <w:tcW w:type="dxa" w:w="1234"/>
          </w:tcPr>
          <w:p>
            <w:r>
              <w:t>flt3_itd_cat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1.14</w:t>
            </w:r>
          </w:p>
        </w:tc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98.86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npm1_cat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3.43</w:t>
            </w:r>
          </w:p>
        </w:tc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96.57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runx1_cat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2.29</w:t>
            </w:r>
          </w:p>
        </w:tc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97.71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asxl1_cat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1.71</w:t>
            </w:r>
          </w:p>
        </w:tc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98.29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tp53_cat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2.86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97.14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p>
      <w:pPr>
        <w:pStyle w:val="Heading1"/>
      </w:pPr>
      <w:r>
        <w:t>Sex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male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54.29</w:t>
            </w:r>
          </w:p>
        </w:tc>
      </w:tr>
      <w:tr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45.71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Denovo Category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denovo_cat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93.71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6.29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ELN 2017 Classification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ELN 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favorable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32.0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32.57</w:t>
            </w:r>
          </w:p>
        </w:tc>
      </w:tr>
      <w:tr>
        <w:tc>
          <w:tcPr>
            <w:tcW w:type="dxa" w:w="2880"/>
          </w:tcPr>
          <w:p>
            <w:r>
              <w:t>adverse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35.43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OS Months by ELN2017 Classification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eln2017mode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median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</w:tr>
      <w:tr>
        <w:tc>
          <w:tcPr>
            <w:tcW w:type="dxa" w:w="1440"/>
          </w:tcPr>
          <w:p>
            <w:r>
              <w:t>adverse</w:t>
            </w:r>
          </w:p>
        </w:tc>
        <w:tc>
          <w:tcPr>
            <w:tcW w:type="dxa" w:w="1440"/>
          </w:tcPr>
          <w:p>
            <w:r>
              <w:t>19.64</w:t>
            </w:r>
          </w:p>
        </w:tc>
        <w:tc>
          <w:tcPr>
            <w:tcW w:type="dxa" w:w="1440"/>
          </w:tcPr>
          <w:p>
            <w:r>
              <w:t>11.5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84.0</w:t>
            </w:r>
          </w:p>
        </w:tc>
        <w:tc>
          <w:tcPr>
            <w:tcW w:type="dxa" w:w="1440"/>
          </w:tcPr>
          <w:p>
            <w:r>
              <w:t>62</w:t>
            </w:r>
          </w:p>
        </w:tc>
      </w:tr>
      <w:tr>
        <w:tc>
          <w:tcPr>
            <w:tcW w:type="dxa" w:w="1440"/>
          </w:tcPr>
          <w:p>
            <w:r>
              <w:t>favorable</w:t>
            </w:r>
          </w:p>
        </w:tc>
        <w:tc>
          <w:tcPr>
            <w:tcW w:type="dxa" w:w="1440"/>
          </w:tcPr>
          <w:p>
            <w:r>
              <w:t>19.41</w:t>
            </w:r>
          </w:p>
        </w:tc>
        <w:tc>
          <w:tcPr>
            <w:tcW w:type="dxa" w:w="1440"/>
          </w:tcPr>
          <w:p>
            <w:r>
              <w:t>13.49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68.99</w:t>
            </w:r>
          </w:p>
        </w:tc>
        <w:tc>
          <w:tcPr>
            <w:tcW w:type="dxa" w:w="1440"/>
          </w:tcPr>
          <w:p>
            <w:r>
              <w:t>56</w:t>
            </w:r>
          </w:p>
        </w:tc>
      </w:tr>
      <w:tr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19.97</w:t>
            </w:r>
          </w:p>
        </w:tc>
        <w:tc>
          <w:tcPr>
            <w:tcW w:type="dxa" w:w="1440"/>
          </w:tcPr>
          <w:p>
            <w:r>
              <w:t>12.91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93.99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</w:tbl>
    <w:p>
      <w:pPr>
        <w:pStyle w:val="Heading1"/>
      </w:pPr>
      <w:r>
        <w:t>Chromosome Category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chromosome cat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63.43</w:t>
            </w:r>
          </w:p>
        </w:tc>
      </w:tr>
      <w:tr>
        <w:tc>
          <w:tcPr>
            <w:tcW w:type="dxa" w:w="2880"/>
          </w:tcPr>
          <w:p>
            <w:r>
              <w:t>complex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36.57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Survival Models Harrell's C-index Comparison and AUROC at 12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C-index</w:t>
            </w:r>
          </w:p>
        </w:tc>
      </w:tr>
      <w:tr>
        <w:tc>
          <w:tcPr>
            <w:tcW w:type="dxa" w:w="4320"/>
          </w:tcPr>
          <w:p>
            <w:r>
              <w:t>Penalized Cox (ElasticNet)</w:t>
            </w:r>
          </w:p>
        </w:tc>
        <w:tc>
          <w:tcPr>
            <w:tcW w:type="dxa" w:w="4320"/>
          </w:tcPr>
          <w:p>
            <w:r>
              <w:t>0.595</w:t>
            </w:r>
          </w:p>
        </w:tc>
      </w:tr>
      <w:tr>
        <w:tc>
          <w:tcPr>
            <w:tcW w:type="dxa" w:w="4320"/>
          </w:tcPr>
          <w:p>
            <w:r>
              <w:t>Random Survival Forest</w:t>
            </w:r>
          </w:p>
        </w:tc>
        <w:tc>
          <w:tcPr>
            <w:tcW w:type="dxa" w:w="4320"/>
          </w:tcPr>
          <w:p>
            <w:r>
              <w:t>0.621</w:t>
            </w:r>
          </w:p>
        </w:tc>
      </w:tr>
      <w:tr>
        <w:tc>
          <w:tcPr>
            <w:tcW w:type="dxa" w:w="4320"/>
          </w:tcPr>
          <w:p>
            <w:r>
              <w:t>Gradient Boosted Survival Models</w:t>
            </w:r>
          </w:p>
        </w:tc>
        <w:tc>
          <w:tcPr>
            <w:tcW w:type="dxa" w:w="4320"/>
          </w:tcPr>
          <w:p>
            <w:r>
              <w:t>0.605</w:t>
            </w:r>
          </w:p>
        </w:tc>
      </w:tr>
    </w:tbl>
    <w:p>
      <w:pPr>
        <w:pStyle w:val="Heading1"/>
      </w:pPr>
      <w:r>
        <w:t>Binary Models Performance (AUROCs and Brier 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AUROC</w:t>
            </w:r>
          </w:p>
        </w:tc>
        <w:tc>
          <w:tcPr>
            <w:tcW w:type="dxa" w:w="2880"/>
          </w:tcPr>
          <w:p>
            <w:r>
              <w:t>Brier</w:t>
            </w:r>
          </w:p>
        </w:tc>
      </w:tr>
      <w:tr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0.635</w:t>
            </w:r>
          </w:p>
        </w:tc>
        <w:tc>
          <w:tcPr>
            <w:tcW w:type="dxa" w:w="2880"/>
          </w:tcPr>
          <w:p>
            <w:r>
              <w:t>0.242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0.568</w:t>
            </w:r>
          </w:p>
        </w:tc>
        <w:tc>
          <w:tcPr>
            <w:tcW w:type="dxa" w:w="2880"/>
          </w:tcPr>
          <w:p>
            <w:r>
              <w:t>0.293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0.553</w:t>
            </w:r>
          </w:p>
        </w:tc>
        <w:tc>
          <w:tcPr>
            <w:tcW w:type="dxa" w:w="2880"/>
          </w:tcPr>
          <w:p>
            <w:r>
              <w:t>0.334</w:t>
            </w:r>
          </w:p>
        </w:tc>
      </w:tr>
      <w:tr>
        <w:tc>
          <w:tcPr>
            <w:tcW w:type="dxa" w:w="2880"/>
          </w:tcPr>
          <w:p>
            <w:r>
              <w:t>MLP</w:t>
            </w:r>
          </w:p>
        </w:tc>
        <w:tc>
          <w:tcPr>
            <w:tcW w:type="dxa" w:w="2880"/>
          </w:tcPr>
          <w:p>
            <w:r>
              <w:t>0.551</w:t>
            </w:r>
          </w:p>
        </w:tc>
        <w:tc>
          <w:tcPr>
            <w:tcW w:type="dxa" w:w="2880"/>
          </w:tcPr>
          <w:p>
            <w:r>
              <w:t>0.325</w:t>
            </w:r>
          </w:p>
        </w:tc>
      </w:tr>
    </w:tbl>
    <w:p>
      <w:pPr>
        <w:pStyle w:val="Heading1"/>
      </w:pPr>
      <w:r>
        <w:t>1000 Bootstrap Summary: C-index (Cox / RSF / GBM)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Cindex_Cox</w:t>
            </w:r>
          </w:p>
        </w:tc>
        <w:tc>
          <w:tcPr>
            <w:tcW w:type="dxa" w:w="2160"/>
          </w:tcPr>
          <w:p>
            <w:r>
              <w:t>0.594</w:t>
            </w:r>
          </w:p>
        </w:tc>
        <w:tc>
          <w:tcPr>
            <w:tcW w:type="dxa" w:w="2160"/>
          </w:tcPr>
          <w:p>
            <w:r>
              <w:t>0.543</w:t>
            </w:r>
          </w:p>
        </w:tc>
        <w:tc>
          <w:tcPr>
            <w:tcW w:type="dxa" w:w="2160"/>
          </w:tcPr>
          <w:p>
            <w:r>
              <w:t>0.641</w:t>
            </w:r>
          </w:p>
        </w:tc>
      </w:tr>
      <w:tr>
        <w:tc>
          <w:tcPr>
            <w:tcW w:type="dxa" w:w="2160"/>
          </w:tcPr>
          <w:p>
            <w:r>
              <w:t>Cindex_RSF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0.557</w:t>
            </w:r>
          </w:p>
        </w:tc>
        <w:tc>
          <w:tcPr>
            <w:tcW w:type="dxa" w:w="2160"/>
          </w:tcPr>
          <w:p>
            <w:r>
              <w:t>0.681</w:t>
            </w:r>
          </w:p>
        </w:tc>
      </w:tr>
      <w:tr>
        <w:tc>
          <w:tcPr>
            <w:tcW w:type="dxa" w:w="2160"/>
          </w:tcPr>
          <w:p>
            <w:r>
              <w:t>Cindex_GBM</w:t>
            </w:r>
          </w:p>
        </w:tc>
        <w:tc>
          <w:tcPr>
            <w:tcW w:type="dxa" w:w="2160"/>
          </w:tcPr>
          <w:p>
            <w:r>
              <w:t>0.603</w:t>
            </w:r>
          </w:p>
        </w:tc>
        <w:tc>
          <w:tcPr>
            <w:tcW w:type="dxa" w:w="2160"/>
          </w:tcPr>
          <w:p>
            <w:r>
              <w:t>0.544</w:t>
            </w:r>
          </w:p>
        </w:tc>
        <w:tc>
          <w:tcPr>
            <w:tcW w:type="dxa" w:w="2160"/>
          </w:tcPr>
          <w:p>
            <w:r>
              <w:t>0.659</w:t>
            </w:r>
          </w:p>
        </w:tc>
      </w:tr>
    </w:tbl>
    <w:p>
      <w:pPr>
        <w:pStyle w:val="Heading1"/>
      </w:pPr>
      <w:r>
        <w:t>1000 Bootstrap Summary: AUROC (Logistic / RF / XGB)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AUROC_Logistic</w:t>
            </w:r>
          </w:p>
        </w:tc>
        <w:tc>
          <w:tcPr>
            <w:tcW w:type="dxa" w:w="2160"/>
          </w:tcPr>
          <w:p>
            <w:r>
              <w:t>0.636</w:t>
            </w:r>
          </w:p>
        </w:tc>
        <w:tc>
          <w:tcPr>
            <w:tcW w:type="dxa" w:w="2160"/>
          </w:tcPr>
          <w:p>
            <w:r>
              <w:t>0.545</w:t>
            </w:r>
          </w:p>
        </w:tc>
        <w:tc>
          <w:tcPr>
            <w:tcW w:type="dxa" w:w="2160"/>
          </w:tcPr>
          <w:p>
            <w:r>
              <w:t>0.721</w:t>
            </w:r>
          </w:p>
        </w:tc>
      </w:tr>
      <w:tr>
        <w:tc>
          <w:tcPr>
            <w:tcW w:type="dxa" w:w="2160"/>
          </w:tcPr>
          <w:p>
            <w:r>
              <w:t>AUROC_RF</w:t>
            </w:r>
          </w:p>
        </w:tc>
        <w:tc>
          <w:tcPr>
            <w:tcW w:type="dxa" w:w="2160"/>
          </w:tcPr>
          <w:p>
            <w:r>
              <w:t>0.57</w:t>
            </w:r>
          </w:p>
        </w:tc>
        <w:tc>
          <w:tcPr>
            <w:tcW w:type="dxa" w:w="2160"/>
          </w:tcPr>
          <w:p>
            <w:r>
              <w:t>0.479</w:t>
            </w:r>
          </w:p>
        </w:tc>
        <w:tc>
          <w:tcPr>
            <w:tcW w:type="dxa" w:w="2160"/>
          </w:tcPr>
          <w:p>
            <w:r>
              <w:t>0.661</w:t>
            </w:r>
          </w:p>
        </w:tc>
      </w:tr>
      <w:tr>
        <w:tc>
          <w:tcPr>
            <w:tcW w:type="dxa" w:w="2160"/>
          </w:tcPr>
          <w:p>
            <w:r>
              <w:t>AUROC_XGB</w:t>
            </w:r>
          </w:p>
        </w:tc>
        <w:tc>
          <w:tcPr>
            <w:tcW w:type="dxa" w:w="2160"/>
          </w:tcPr>
          <w:p>
            <w:r>
              <w:t>0.554</w:t>
            </w:r>
          </w:p>
        </w:tc>
        <w:tc>
          <w:tcPr>
            <w:tcW w:type="dxa" w:w="2160"/>
          </w:tcPr>
          <w:p>
            <w:r>
              <w:t>0.462</w:t>
            </w:r>
          </w:p>
        </w:tc>
        <w:tc>
          <w:tcPr>
            <w:tcW w:type="dxa" w:w="2160"/>
          </w:tcPr>
          <w:p>
            <w:r>
              <w:t>0.644</w:t>
            </w:r>
          </w:p>
        </w:tc>
      </w:tr>
    </w:tbl>
    <w:p>
      <w:pPr>
        <w:pStyle w:val="Heading1"/>
      </w:pPr>
      <w:r>
        <w:t>Time-dependent AUROC for Cox, RSF, GBM survival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survival_roc_12m_ex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ROC Curves for Binary Models (Logistic Regression, Random Forest, XGBoost, MLP)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binary_models_ex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Calibration Plots for Binary Models (Logistic Regression, Random Forest, XGBoost, MLP)</w:t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1yr_models_ex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