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10212" w14:textId="77777777" w:rsidR="005F5ADD" w:rsidRDefault="00704920">
      <w:pPr>
        <w:pStyle w:val="a5"/>
      </w:pPr>
      <w:r>
        <w:t xml:space="preserve">Institutional shifts and sustainable water use of the Yellow River Basin </w:t>
      </w:r>
    </w:p>
    <w:p w14:paraId="1D56F069" w14:textId="3E142691" w:rsidR="005F5ADD" w:rsidRPr="00575A21" w:rsidRDefault="00704920" w:rsidP="00575A21">
      <w:pPr>
        <w:pStyle w:val="Author"/>
        <w:rPr>
          <w:sz w:val="22"/>
          <w:szCs w:val="22"/>
        </w:rPr>
      </w:pPr>
      <w:r w:rsidRPr="00575A21">
        <w:rPr>
          <w:sz w:val="22"/>
          <w:szCs w:val="22"/>
        </w:rPr>
        <w:t>Shuang Song</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1</m:t>
            </m:r>
          </m:sup>
        </m:sSup>
      </m:oMath>
      <w:r w:rsidR="00575A21" w:rsidRPr="00575A21">
        <w:rPr>
          <w:rFonts w:hint="eastAsia"/>
          <w:sz w:val="22"/>
          <w:szCs w:val="22"/>
          <w:lang w:eastAsia="zh-CN"/>
        </w:rPr>
        <w:t>,</w:t>
      </w:r>
      <w:r w:rsidR="00575A21" w:rsidRPr="00575A21">
        <w:rPr>
          <w:sz w:val="22"/>
          <w:szCs w:val="22"/>
          <w:lang w:eastAsia="zh-CN"/>
        </w:rPr>
        <w:t xml:space="preserve"> </w:t>
      </w:r>
      <w:r w:rsidRPr="00575A21">
        <w:rPr>
          <w:sz w:val="22"/>
          <w:szCs w:val="22"/>
        </w:rPr>
        <w:t>Huiyu Wen</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2</m:t>
            </m:r>
          </m:sup>
        </m:sSup>
      </m:oMath>
      <w:r w:rsidR="00575A21" w:rsidRPr="00575A21">
        <w:rPr>
          <w:rFonts w:hint="eastAsia"/>
          <w:sz w:val="22"/>
          <w:szCs w:val="22"/>
        </w:rPr>
        <w:t>,</w:t>
      </w:r>
      <w:r w:rsidR="00575A21" w:rsidRPr="00575A21">
        <w:rPr>
          <w:sz w:val="22"/>
          <w:szCs w:val="22"/>
        </w:rPr>
        <w:t xml:space="preserve"> </w:t>
      </w:r>
      <w:r w:rsidRPr="00575A21">
        <w:rPr>
          <w:sz w:val="22"/>
          <w:szCs w:val="22"/>
        </w:rPr>
        <w:t>*Shuai Wang</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1</m:t>
            </m:r>
          </m:sup>
        </m:sSup>
      </m:oMath>
      <w:r w:rsidR="00575A21" w:rsidRPr="00575A21">
        <w:rPr>
          <w:rFonts w:hint="eastAsia"/>
          <w:sz w:val="22"/>
          <w:szCs w:val="22"/>
        </w:rPr>
        <w:t>,</w:t>
      </w:r>
      <w:r w:rsidR="00575A21" w:rsidRPr="00575A21">
        <w:rPr>
          <w:sz w:val="22"/>
          <w:szCs w:val="22"/>
        </w:rPr>
        <w:t xml:space="preserve"> </w:t>
      </w:r>
      <w:r w:rsidRPr="00575A21">
        <w:rPr>
          <w:sz w:val="22"/>
          <w:szCs w:val="22"/>
        </w:rPr>
        <w:t>Xutong Wu</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1</m:t>
            </m:r>
          </m:sup>
        </m:sSup>
      </m:oMath>
      <w:r w:rsidR="00575A21" w:rsidRPr="00575A21">
        <w:rPr>
          <w:rFonts w:hint="eastAsia"/>
          <w:sz w:val="22"/>
          <w:szCs w:val="22"/>
        </w:rPr>
        <w:t>,</w:t>
      </w:r>
      <w:r w:rsidR="00575A21" w:rsidRPr="00575A21">
        <w:rPr>
          <w:sz w:val="22"/>
          <w:szCs w:val="22"/>
        </w:rPr>
        <w:t xml:space="preserve"> </w:t>
      </w:r>
      <w:r w:rsidRPr="00575A21">
        <w:rPr>
          <w:sz w:val="22"/>
          <w:szCs w:val="22"/>
        </w:rPr>
        <w:t>Graeme S. Cumming</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3</m:t>
            </m:r>
          </m:sup>
        </m:sSup>
      </m:oMath>
      <w:r w:rsidR="00575A21" w:rsidRPr="00575A21">
        <w:rPr>
          <w:rFonts w:hint="eastAsia"/>
          <w:sz w:val="22"/>
          <w:szCs w:val="22"/>
        </w:rPr>
        <w:t>,</w:t>
      </w:r>
      <w:r w:rsidR="00575A21" w:rsidRPr="00575A21">
        <w:rPr>
          <w:sz w:val="22"/>
          <w:szCs w:val="22"/>
        </w:rPr>
        <w:t xml:space="preserve"> </w:t>
      </w:r>
      <w:r w:rsidRPr="00575A21">
        <w:rPr>
          <w:sz w:val="22"/>
          <w:szCs w:val="22"/>
        </w:rPr>
        <w:t>Bojie Fu</w:t>
      </w:r>
      <m:oMath>
        <m:sSup>
          <m:sSupPr>
            <m:ctrlPr>
              <w:rPr>
                <w:rFonts w:ascii="Cambria Math" w:hAnsi="Cambria Math"/>
                <w:sz w:val="22"/>
                <w:szCs w:val="22"/>
              </w:rPr>
            </m:ctrlPr>
          </m:sSupPr>
          <m:e>
            <m:r>
              <w:rPr>
                <w:rFonts w:ascii="Cambria Math" w:hAnsi="Cambria Math"/>
                <w:sz w:val="22"/>
                <w:szCs w:val="22"/>
              </w:rPr>
              <m:t>​</m:t>
            </m:r>
          </m:e>
          <m:sup>
            <m:r>
              <w:rPr>
                <w:rFonts w:ascii="Cambria Math" w:hAnsi="Cambria Math"/>
                <w:sz w:val="22"/>
                <w:szCs w:val="22"/>
              </w:rPr>
              <m:t>1</m:t>
            </m:r>
            <m:r>
              <m:rPr>
                <m:sty m:val="p"/>
              </m:rPr>
              <w:rPr>
                <w:rFonts w:ascii="Cambria Math" w:hAnsi="Cambria Math"/>
                <w:sz w:val="22"/>
                <w:szCs w:val="22"/>
              </w:rPr>
              <m:t>,</m:t>
            </m:r>
            <m:r>
              <w:rPr>
                <w:rFonts w:ascii="Cambria Math" w:hAnsi="Cambria Math"/>
                <w:sz w:val="22"/>
                <w:szCs w:val="22"/>
              </w:rPr>
              <m:t>4</m:t>
            </m:r>
          </m:sup>
        </m:sSup>
      </m:oMath>
    </w:p>
    <w:p w14:paraId="2CE707A5" w14:textId="77777777" w:rsidR="008F12AB" w:rsidRPr="005D4269" w:rsidRDefault="008F12AB" w:rsidP="008F12AB">
      <w:pPr>
        <w:pStyle w:val="a0"/>
        <w:rPr>
          <w:sz w:val="21"/>
          <w:szCs w:val="21"/>
        </w:rPr>
      </w:pPr>
      <w:bookmarkStart w:id="0" w:name="_Hlk105925993"/>
      <w:r w:rsidRPr="005D4269">
        <w:rPr>
          <w:sz w:val="21"/>
          <w:szCs w:val="21"/>
          <w:vertAlign w:val="superscript"/>
        </w:rPr>
        <w:t>1</w:t>
      </w:r>
      <w:r w:rsidRPr="005D4269">
        <w:rPr>
          <w:sz w:val="21"/>
          <w:szCs w:val="21"/>
        </w:rPr>
        <w:t xml:space="preserve">State Key Laboratory of Earth Surface Processes and Resource Ecology, Faculty of Geographical Science, Beijing Normal University, Beijing 100875, P.R. China; </w:t>
      </w:r>
    </w:p>
    <w:p w14:paraId="361D1497" w14:textId="77777777" w:rsidR="008F12AB" w:rsidRPr="005D4269" w:rsidRDefault="008F12AB" w:rsidP="008F12AB">
      <w:pPr>
        <w:pStyle w:val="a0"/>
        <w:rPr>
          <w:sz w:val="21"/>
          <w:szCs w:val="21"/>
        </w:rPr>
      </w:pPr>
      <w:r w:rsidRPr="005D4269">
        <w:rPr>
          <w:sz w:val="21"/>
          <w:szCs w:val="21"/>
          <w:vertAlign w:val="superscript"/>
        </w:rPr>
        <w:t>2</w:t>
      </w:r>
      <w:r w:rsidRPr="005D4269">
        <w:rPr>
          <w:sz w:val="21"/>
          <w:szCs w:val="21"/>
        </w:rPr>
        <w:t xml:space="preserve">School of Finance, Renmin University of China, Beijing 100875, P.R. China; </w:t>
      </w:r>
    </w:p>
    <w:p w14:paraId="14ABC1EB" w14:textId="77777777" w:rsidR="008F12AB" w:rsidRPr="005D4269" w:rsidRDefault="008F12AB" w:rsidP="008F12AB">
      <w:pPr>
        <w:pStyle w:val="a0"/>
        <w:rPr>
          <w:sz w:val="21"/>
          <w:szCs w:val="21"/>
        </w:rPr>
      </w:pPr>
      <w:r w:rsidRPr="005D4269">
        <w:rPr>
          <w:sz w:val="21"/>
          <w:szCs w:val="21"/>
          <w:vertAlign w:val="superscript"/>
        </w:rPr>
        <w:t>3</w:t>
      </w:r>
      <w:r w:rsidRPr="005D4269">
        <w:rPr>
          <w:sz w:val="21"/>
          <w:szCs w:val="21"/>
        </w:rPr>
        <w:t xml:space="preserve">ARC Centre of Excellence for Coral Reef Studies, James Cook University, Townsville 4811, QLD, Australia; </w:t>
      </w:r>
    </w:p>
    <w:p w14:paraId="1C3B1EC7" w14:textId="77777777" w:rsidR="008F12AB" w:rsidRPr="005D4269" w:rsidRDefault="008F12AB" w:rsidP="008F12AB">
      <w:pPr>
        <w:pStyle w:val="a0"/>
        <w:rPr>
          <w:sz w:val="21"/>
          <w:szCs w:val="21"/>
        </w:rPr>
      </w:pPr>
      <w:r w:rsidRPr="005D4269">
        <w:rPr>
          <w:sz w:val="21"/>
          <w:szCs w:val="21"/>
          <w:vertAlign w:val="superscript"/>
        </w:rPr>
        <w:t>4</w:t>
      </w:r>
      <w:r w:rsidRPr="001660EB">
        <w:rPr>
          <w:sz w:val="21"/>
          <w:szCs w:val="21"/>
        </w:rPr>
        <w:t>The research for this article was financed by the National Natural Science Foundation of China (CN) (Grant Nos. NSFC 42041007). The authors thank Fuqiang Tian for his insightful comments. A supplementary online appendix is available with this article at the</w:t>
      </w:r>
      <w:r w:rsidRPr="005D4269">
        <w:rPr>
          <w:sz w:val="21"/>
          <w:szCs w:val="21"/>
        </w:rPr>
        <w:t xml:space="preserve"> National Science Review website.</w:t>
      </w:r>
    </w:p>
    <w:p w14:paraId="231879EF" w14:textId="77777777" w:rsidR="008F12AB" w:rsidRPr="005D4269" w:rsidRDefault="008F12AB" w:rsidP="008F12AB">
      <w:pPr>
        <w:pStyle w:val="a0"/>
        <w:rPr>
          <w:sz w:val="21"/>
          <w:szCs w:val="21"/>
        </w:rPr>
      </w:pPr>
      <w:r w:rsidRPr="005D4269">
        <w:rPr>
          <w:sz w:val="21"/>
          <w:szCs w:val="21"/>
        </w:rPr>
        <w:t xml:space="preserve">*Corresponding authors. Email: </w:t>
      </w:r>
      <w:hyperlink r:id="rId7" w:history="1">
        <w:r w:rsidRPr="005D4269">
          <w:rPr>
            <w:rStyle w:val="af2"/>
            <w:sz w:val="21"/>
            <w:szCs w:val="21"/>
          </w:rPr>
          <w:t>shuaiwang@bnu.edu.cn</w:t>
        </w:r>
      </w:hyperlink>
      <w:r w:rsidRPr="005D4269">
        <w:rPr>
          <w:sz w:val="21"/>
          <w:szCs w:val="21"/>
        </w:rPr>
        <w:t>.</w:t>
      </w:r>
    </w:p>
    <w:p w14:paraId="7D0A7DCB" w14:textId="77777777" w:rsidR="008F12AB" w:rsidRPr="005D4269" w:rsidRDefault="008F12AB" w:rsidP="008F12AB">
      <w:pPr>
        <w:pStyle w:val="a0"/>
        <w:rPr>
          <w:sz w:val="21"/>
          <w:szCs w:val="21"/>
        </w:rPr>
      </w:pPr>
      <w:r w:rsidRPr="005D4269">
        <w:rPr>
          <w:sz w:val="21"/>
          <w:szCs w:val="21"/>
        </w:rPr>
        <w:t>Received: XX XX Year; Revised: XX XX Year; Accepted: XX XX Year</w:t>
      </w:r>
    </w:p>
    <w:p w14:paraId="1688C8E3" w14:textId="77777777" w:rsidR="008F12AB" w:rsidRDefault="008F12AB" w:rsidP="008F12AB">
      <w:pPr>
        <w:pStyle w:val="a0"/>
        <w:rPr>
          <w:sz w:val="21"/>
          <w:szCs w:val="21"/>
        </w:rPr>
      </w:pPr>
      <w:r w:rsidRPr="005D4269">
        <w:rPr>
          <w:sz w:val="21"/>
          <w:szCs w:val="21"/>
        </w:rPr>
        <w:t>© The Author(s) Year. Published by Oxford University Press on behalf of China Science Publishing &amp; Media Ltd. This is an Open Access article distributed under the terms of the Creative Commons Attribution License (http://creativecommons.org/licenses/by/4.0/), which permits unrestricted reuse, distribution, and reproduction in any medium, provided the original work is properly cited</w:t>
      </w:r>
      <w:r>
        <w:rPr>
          <w:sz w:val="21"/>
          <w:szCs w:val="21"/>
        </w:rPr>
        <w:t>.</w:t>
      </w:r>
    </w:p>
    <w:bookmarkEnd w:id="0"/>
    <w:p w14:paraId="188F74EC" w14:textId="77777777" w:rsidR="008F12AB" w:rsidRDefault="008F12AB" w:rsidP="008F12AB">
      <w:pPr>
        <w:pStyle w:val="a0"/>
        <w:rPr>
          <w:b/>
          <w:bCs/>
        </w:rPr>
      </w:pPr>
    </w:p>
    <w:p w14:paraId="52854E03" w14:textId="77777777" w:rsidR="008F12AB" w:rsidRPr="000E03FF" w:rsidRDefault="008F12AB" w:rsidP="008F12AB">
      <w:pPr>
        <w:pStyle w:val="a0"/>
      </w:pPr>
      <w:r w:rsidRPr="000E03FF">
        <w:rPr>
          <w:b/>
          <w:bCs/>
        </w:rPr>
        <w:t xml:space="preserve">Abstract: </w:t>
      </w:r>
      <w:r w:rsidRPr="000E03FF">
        <w:t>Increasing competition for water is leading to depletion of freshwater globally and calls for an urgent transformation of water governance. To better understand how institutions contribute to water governance, we quantified institutional shifts for the Yellow River Basin (YRB).  The YRB is a valuable case study because it is one of the most anthropogenically altered large river basins. It was first overdrawn, then dried up, and finally has been successfully restored. Our results suggest that two institutional shifts, the Water Allocation Scheme that began in 1987 (87-WAS) and the Unified Basinal Regulation that took over in 1998 (98-UBR), framed different social-ecological system (SES) structures. During the decade following the introduction of the 87-WAS, observed water use of the YRB increased by 8.57% more than expected, while 98-UBR ultimately decreased total water use. Furthermore, these heterogeneous effects and a further theoretical economic model support the hypothesis that SES structural changes play a vital role in YRB's restoration. This quasi-natural experiment of the YRB offers profound insights into the links between SESs structures and outcomes, providing valuable guidelines for water depletion basins worldwide.</w:t>
      </w:r>
    </w:p>
    <w:p w14:paraId="7FA66113" w14:textId="77777777" w:rsidR="008F12AB" w:rsidRPr="008F12AB" w:rsidRDefault="008F12AB" w:rsidP="008F12AB">
      <w:pPr>
        <w:pStyle w:val="a0"/>
      </w:pPr>
    </w:p>
    <w:p w14:paraId="2B51A491" w14:textId="77777777" w:rsidR="005F5ADD" w:rsidRDefault="00704920">
      <w:pPr>
        <w:pStyle w:val="1"/>
      </w:pPr>
      <w:bookmarkStart w:id="1" w:name="sec:introduction"/>
      <w:r>
        <w:t>1</w:t>
      </w:r>
      <w:r>
        <w:tab/>
        <w:t>INTRODUCTION</w:t>
      </w:r>
    </w:p>
    <w:p w14:paraId="76231FE5" w14:textId="77777777" w:rsidR="005F5ADD" w:rsidRDefault="00704920">
      <w:pPr>
        <w:pStyle w:val="FirstParagraph"/>
      </w:pPr>
      <w:r>
        <w:t>Widespread freshwater scarcity and overuse challenge the sustainability of large river basins, resulting in systematic risks to economies, societies, and ecosystems globally</w:t>
      </w:r>
      <w:r>
        <w:rPr>
          <w:vertAlign w:val="superscript"/>
        </w:rPr>
        <w:t>1–4</w:t>
      </w:r>
      <w:r>
        <w:t>. With steadily increasing demand, competition for water causes depletion of fre</w:t>
      </w:r>
      <w:r>
        <w:t>shwater globally. Therefore, it creates a strong need for an urgent transformation of the water governance system to improve water use conservation</w:t>
      </w:r>
      <w:r>
        <w:rPr>
          <w:vertAlign w:val="superscript"/>
        </w:rPr>
        <w:t>5–7</w:t>
      </w:r>
      <w:r>
        <w:t>. Despite worldwide efforts to govern water sustainably, overuse and the resulting degradation of large ri</w:t>
      </w:r>
      <w:r>
        <w:t xml:space="preserve">ver basins are not easily reversible. Thus, there have been relatively few successful governance practices and theory </w:t>
      </w:r>
      <w:r>
        <w:lastRenderedPageBreak/>
        <w:t>re-alignments</w:t>
      </w:r>
      <w:r>
        <w:rPr>
          <w:vertAlign w:val="superscript"/>
        </w:rPr>
        <w:t>8–10</w:t>
      </w:r>
      <w:r>
        <w:t>. In the context of future climate change, the gap between supply and demand for water resources in large river basins is</w:t>
      </w:r>
      <w:r>
        <w:t xml:space="preserve"> expected to become increasingly more prominent</w:t>
      </w:r>
      <w:r>
        <w:rPr>
          <w:vertAlign w:val="superscript"/>
        </w:rPr>
        <w:t>11,12</w:t>
      </w:r>
      <w:r>
        <w:t>. Balancing the water demands of ecosystems and development in heavily human-dominated river basins is a challenge not just for China but also across many large river basins worldwide.</w:t>
      </w:r>
    </w:p>
    <w:p w14:paraId="3C8B907F" w14:textId="759FD2CC" w:rsidR="005F5ADD" w:rsidRDefault="00704920">
      <w:pPr>
        <w:pStyle w:val="a0"/>
      </w:pPr>
      <w:r>
        <w:t>The Yellow River Ba</w:t>
      </w:r>
      <w:r>
        <w:t xml:space="preserve">sin (YRB), the fifth-largest river basin worldwide, is known for its vital role in the socio-economic development of China. It supports </w:t>
      </w:r>
      <m:oMath>
        <m:r>
          <w:rPr>
            <w:rFonts w:ascii="Cambria Math" w:hAnsi="Cambria Math"/>
          </w:rPr>
          <m:t>35.63</m:t>
        </m:r>
        <m:r>
          <m:rPr>
            <m:sty m:val="p"/>
          </m:rPr>
          <w:rPr>
            <w:rFonts w:ascii="Cambria Math" w:hAnsi="Cambria Math"/>
          </w:rPr>
          <m:t>%</m:t>
        </m:r>
      </m:oMath>
      <w:r>
        <w:t xml:space="preserve"> of China’s irrigation and </w:t>
      </w:r>
      <m:oMath>
        <m:r>
          <w:rPr>
            <w:rFonts w:ascii="Cambria Math" w:hAnsi="Cambria Math"/>
          </w:rPr>
          <m:t>30</m:t>
        </m:r>
        <m:r>
          <m:rPr>
            <m:sty m:val="p"/>
          </m:rPr>
          <w:rPr>
            <w:rFonts w:ascii="Cambria Math" w:hAnsi="Cambria Math"/>
          </w:rPr>
          <m:t>%</m:t>
        </m:r>
      </m:oMath>
      <w:r>
        <w:t xml:space="preserve"> of its population while containing only </w:t>
      </w:r>
      <m:oMath>
        <m:r>
          <w:rPr>
            <w:rFonts w:ascii="Cambria Math" w:hAnsi="Cambria Math"/>
          </w:rPr>
          <m:t>2.66</m:t>
        </m:r>
        <m:r>
          <m:rPr>
            <m:sty m:val="p"/>
          </m:rPr>
          <w:rPr>
            <w:rFonts w:ascii="Cambria Math" w:hAnsi="Cambria Math"/>
          </w:rPr>
          <m:t>%</m:t>
        </m:r>
      </m:oMath>
      <w:r>
        <w:t xml:space="preserve"> of its water resources (data from </w:t>
      </w:r>
      <w:hyperlink r:id="rId8">
        <w:r>
          <w:rPr>
            <w:rStyle w:val="af2"/>
          </w:rPr>
          <w:t>http://www.yrcc.gov.cn</w:t>
        </w:r>
      </w:hyperlink>
      <w:r>
        <w:t xml:space="preserve">, last access: </w:t>
      </w:r>
      <w:r w:rsidR="00E841E5">
        <w:t>2022-06-12</w:t>
      </w:r>
      <w:r>
        <w:t xml:space="preserve">). In the 1980s, intense water use, accounting for about </w:t>
      </w:r>
      <m:oMath>
        <m:r>
          <w:rPr>
            <w:rFonts w:ascii="Cambria Math" w:hAnsi="Cambria Math"/>
          </w:rPr>
          <m:t>80</m:t>
        </m:r>
        <m:r>
          <m:rPr>
            <m:sty m:val="p"/>
          </m:rPr>
          <w:rPr>
            <w:rFonts w:ascii="Cambria Math" w:hAnsi="Cambria Math"/>
          </w:rPr>
          <m:t>%</m:t>
        </m:r>
      </m:oMath>
      <w:r>
        <w:t xml:space="preserve"> of Yellow River surface runoff, combined with other forms of human interference (e.g., soil conservation and water cons</w:t>
      </w:r>
      <w:r>
        <w:t>ervancy projects), caused consecutive drying events and substantial ecological, economic, and social crises (e.g., wetland shrinkage, agriculture reduction, and a scramble for water).</w:t>
      </w:r>
    </w:p>
    <w:p w14:paraId="51333F2A" w14:textId="77777777" w:rsidR="005F5ADD" w:rsidRDefault="00704920">
      <w:pPr>
        <w:pStyle w:val="a0"/>
      </w:pPr>
      <w:r>
        <w:t>In response, Chinese authorities implemented several ambitious water man</w:t>
      </w:r>
      <w:r>
        <w:t>agement practices in the YRB to relieve water stress, such as reservoir regulation, the South-to-north Water Diversion Project (WDP), the 1987 Water Allocation Scheme (87-WAS), and the 1998 Unified Basinal Regulation (98-UBR)</w:t>
      </w:r>
      <w:r>
        <w:rPr>
          <w:vertAlign w:val="superscript"/>
        </w:rPr>
        <w:t>7,13</w:t>
      </w:r>
      <w:r>
        <w:t>. Those efforts led to ecol</w:t>
      </w:r>
      <w:r>
        <w:t>ogical restoration of wetlands and estuarine delta, and drying up has been avoided for over 20 years, widely considered considerable management achievements. Unlike engineering providing further water supply, institutional strategies like the 87-WAS (which</w:t>
      </w:r>
      <w:r>
        <w:t xml:space="preserve"> assigned water quotas for provinces in the YRB) and the 98-UBR (under which provinces had to obtain permits from the Yellow River Conservancy Commission, YRCC, authority at a basin-level) focused mainly on limiting demands of water use. Such institutions </w:t>
      </w:r>
      <w:r>
        <w:t>(policies, laws, and norms) can influence regional sustainability by changing the structure of the coupled human and natural system, including interplays between social actors, ecological units, or between social and ecological system elements</w:t>
      </w:r>
      <w:r>
        <w:rPr>
          <w:vertAlign w:val="superscript"/>
        </w:rPr>
        <w:t>14–17</w:t>
      </w:r>
      <w:r>
        <w:t>. Theref</w:t>
      </w:r>
      <w:r>
        <w:t>ore, understanding those complex interplays is crucial for developing strategies to effectively manage natural resources and enhance the resilience of social-ecological systems (SES)</w:t>
      </w:r>
      <w:r>
        <w:rPr>
          <w:vertAlign w:val="superscript"/>
        </w:rPr>
        <w:t>18</w:t>
      </w:r>
      <w:r>
        <w:t>.</w:t>
      </w:r>
    </w:p>
    <w:p w14:paraId="360AFEBB" w14:textId="77777777" w:rsidR="005F5ADD" w:rsidRDefault="00704920">
      <w:pPr>
        <w:pStyle w:val="a0"/>
      </w:pPr>
      <w:r>
        <w:t xml:space="preserve">While researchers have carefully evaluated and quantified the effects </w:t>
      </w:r>
      <w:r>
        <w:t>of engineering solutions</w:t>
      </w:r>
      <w:r>
        <w:rPr>
          <w:vertAlign w:val="superscript"/>
        </w:rPr>
        <w:t>13</w:t>
      </w:r>
      <w:r>
        <w:t xml:space="preserve">, there have been few attempts to assess institutional contributions to successful water governance in the YRB. In addition to widespread recognition of the rising importance of governmental institutions for sustainable water use </w:t>
      </w:r>
      <w:r>
        <w:t>within large river basins (especially in the case of transboundary basins like the YRB), the best approach to designing effective institutions remains an open question</w:t>
      </w:r>
      <w:r>
        <w:rPr>
          <w:vertAlign w:val="superscript"/>
        </w:rPr>
        <w:t>19–21</w:t>
      </w:r>
      <w:r>
        <w:t>. Effective (“matched” or “fit”) institutions operate at appropriate spatial, tempor</w:t>
      </w:r>
      <w:r>
        <w:t>al, and functional scales to manage and balance different relationships and interactions between human and water systems, supporting (but not guaranteeing) the sustainability of SES</w:t>
      </w:r>
      <w:r>
        <w:rPr>
          <w:vertAlign w:val="superscript"/>
        </w:rPr>
        <w:t>7,22</w:t>
      </w:r>
      <w:r>
        <w:t>. Some institutional advances have had desirable water governance outco</w:t>
      </w:r>
      <w:r>
        <w:t>mes (e.g., the Ecological Water Diversion Project in Heihe River Basin, China</w:t>
      </w:r>
      <w:r>
        <w:rPr>
          <w:vertAlign w:val="superscript"/>
        </w:rPr>
        <w:t>7</w:t>
      </w:r>
      <w:r>
        <w:t>, and collaborative water governance systems in Europe</w:t>
      </w:r>
      <w:r>
        <w:rPr>
          <w:vertAlign w:val="superscript"/>
        </w:rPr>
        <w:t>23</w:t>
      </w:r>
      <w:r>
        <w:t>). However, imposing institutional changes on a large, complex river basin may create or destroy hundreds of connections b</w:t>
      </w:r>
      <w:r>
        <w:t>etween social agents and ecological units, where matched social-ecological structures are not ubiquitous.</w:t>
      </w:r>
    </w:p>
    <w:p w14:paraId="5EDB28EB" w14:textId="77777777" w:rsidR="005F5ADD" w:rsidRDefault="00704920">
      <w:pPr>
        <w:pStyle w:val="a0"/>
      </w:pPr>
      <w:r>
        <w:t>To better understand how water management institutions can be designed to fit their social-ecological context, we used data on changes in official doc</w:t>
      </w:r>
      <w:r>
        <w:t>uments following institutional shifts (the 87-WAS and the 98-UBR) to describe changes in the SES structures associated with the YRB from 1979 to 2008. We then used Differenced Synthetic Control (DSC) method</w:t>
      </w:r>
      <w:r>
        <w:rPr>
          <w:vertAlign w:val="superscript"/>
        </w:rPr>
        <w:t>24</w:t>
      </w:r>
      <w:r>
        <w:t>, which considers economic growth and natural ba</w:t>
      </w:r>
      <w:r>
        <w:t>ckground, to estimate theoretical water use scenarios without institutional shifts (</w:t>
      </w:r>
      <w:hyperlink w:anchor="X1982e2a9af88e3f09b472fec5c68d816410f611">
        <w:r>
          <w:rPr>
            <w:rStyle w:val="af2"/>
            <w:i/>
            <w:iCs/>
          </w:rPr>
          <w:t>Methods</w:t>
        </w:r>
      </w:hyperlink>
      <w:r>
        <w:t xml:space="preserve"> and </w:t>
      </w:r>
      <w:r>
        <w:rPr>
          <w:i/>
          <w:iCs/>
        </w:rPr>
        <w:t>Appendix </w:t>
      </w:r>
      <w:r>
        <w:t xml:space="preserve">). It allowed us to </w:t>
      </w:r>
      <w:r>
        <w:lastRenderedPageBreak/>
        <w:t>create a counterfactual against which to explore the mechanisms link</w:t>
      </w:r>
      <w:r>
        <w:t>ing SESs structure and outcomes for a deeper understanding of the potential role of institutions in water governance worldwide.</w:t>
      </w:r>
    </w:p>
    <w:p w14:paraId="18BDA92C" w14:textId="77777777" w:rsidR="005F5ADD" w:rsidRDefault="00704920">
      <w:pPr>
        <w:pStyle w:val="1"/>
      </w:pPr>
      <w:bookmarkStart w:id="2" w:name="sec:results"/>
      <w:bookmarkEnd w:id="1"/>
      <w:r>
        <w:t>2</w:t>
      </w:r>
      <w:r>
        <w:tab/>
        <w:t>RESULTS</w:t>
      </w:r>
    </w:p>
    <w:p w14:paraId="3F0FC2BE" w14:textId="77777777" w:rsidR="005F5ADD" w:rsidRDefault="00704920">
      <w:pPr>
        <w:pStyle w:val="2"/>
      </w:pPr>
      <w:bookmarkStart w:id="3" w:name="results-1"/>
      <w:r>
        <w:t>2.1</w:t>
      </w:r>
      <w:r>
        <w:tab/>
        <w:t>Institutional shifts and structures</w:t>
      </w:r>
    </w:p>
    <w:p w14:paraId="5AAED0FB" w14:textId="11CF18FA" w:rsidR="005F5ADD" w:rsidRDefault="00704920">
      <w:pPr>
        <w:pStyle w:val="FirstParagraph"/>
      </w:pPr>
      <w:r>
        <w:t>The institutional shifts in the YRB in 1987 (87-WAS) and 1998 (98-UBR) were two widely recognized milestones in restricting water use among YRB’s water governance practices (</w:t>
      </w:r>
      <w:r>
        <w:rPr>
          <w:i/>
          <w:iCs/>
        </w:rPr>
        <w:t>Appendix</w:t>
      </w:r>
      <w:r>
        <w:t> ). Until the 87-WAS, stakeholders (the provinces in the YRB) had free acc</w:t>
      </w:r>
      <w:r>
        <w:t>ess to the YR water resources for development, but there were geographic and temporal differences between freshwater demand and availability. Therefore, the YRCC had no links to the provinces regarding water use before 1987, and the provinces could link di</w:t>
      </w:r>
      <w:r>
        <w:t>rectly to the Yellow River reaches (</w:t>
      </w:r>
      <w:r w:rsidR="00952736">
        <w:t>Figure 1</w:t>
      </w:r>
      <w:r>
        <w:t xml:space="preserve"> C). To shrink water deficits, in 87-WAS, national authorities proposed in 87-WAS allocating specific water quotas between </w:t>
      </w:r>
      <m:oMath>
        <m:r>
          <w:rPr>
            <w:rFonts w:ascii="Cambria Math" w:hAnsi="Cambria Math"/>
          </w:rPr>
          <m:t>10</m:t>
        </m:r>
      </m:oMath>
      <w:r>
        <w:t xml:space="preserve"> provinces (or regions) along the YR </w:t>
      </w:r>
      <w:r>
        <w:t>basin (Table </w:t>
      </w:r>
      <w:hyperlink w:anchor="tab:quota">
        <w:r>
          <w:rPr>
            <w:rStyle w:val="af2"/>
          </w:rPr>
          <w:t>[tab:quota]</w:t>
        </w:r>
      </w:hyperlink>
      <w:r>
        <w:t>). Simultaneously, according to the extracted information from documents of the 87-WAS issued by national ministries, the YRCC started to report water use in each reach. As it was the first time YRCC’</w:t>
      </w:r>
      <w:r>
        <w:t>s responsibility involved water use, we introduced new links between the YRCC and the ecological nodes (</w:t>
      </w:r>
      <w:r w:rsidR="00952736">
        <w:t>Figure 1</w:t>
      </w:r>
      <w:r>
        <w:t> C). However, the controversial 87-WAS did not resolve water depletion. In 1998, another strat</w:t>
      </w:r>
      <w:r>
        <w:t>egy (98-UBR) was developed to strengthen the responsibilities of the YRCC for integrated managing water use. Information from the 98-UBR documents demonstrated that the provinces had to apply their plan for an annual water use license to YRCC instead of di</w:t>
      </w:r>
      <w:r>
        <w:t>rect access to the Yellow River water. Thus, the YRCC has been linked to the provinces since 1998 (</w:t>
      </w:r>
      <w:r w:rsidR="00952736">
        <w:t>Figure 1</w:t>
      </w:r>
      <w:r>
        <w:t> C).</w:t>
      </w:r>
    </w:p>
    <w:p w14:paraId="0A16308B" w14:textId="77777777" w:rsidR="000476BC" w:rsidRDefault="000476BC" w:rsidP="000476BC">
      <w:pPr>
        <w:pStyle w:val="a0"/>
      </w:pPr>
      <w:r>
        <w:rPr>
          <w:noProof/>
        </w:rPr>
        <w:drawing>
          <wp:inline distT="0" distB="0" distL="0" distR="0" wp14:anchorId="0B32150F" wp14:editId="1B5E8E9C">
            <wp:extent cx="5727700" cy="3880656"/>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24" name="Picture" descr="diagrams/diagram.pdf"/>
                    <pic:cNvPicPr>
                      <a:picLocks noChangeAspect="1" noChangeArrowheads="1"/>
                    </pic:cNvPicPr>
                  </pic:nvPicPr>
                  <pic:blipFill>
                    <a:blip r:embed="rId9"/>
                    <a:stretch>
                      <a:fillRect/>
                    </a:stretch>
                  </pic:blipFill>
                  <pic:spPr bwMode="auto">
                    <a:xfrm>
                      <a:off x="0" y="0"/>
                      <a:ext cx="5727700" cy="3880656"/>
                    </a:xfrm>
                    <a:prstGeom prst="rect">
                      <a:avLst/>
                    </a:prstGeom>
                    <a:noFill/>
                    <a:ln w="9525">
                      <a:noFill/>
                      <a:headEnd/>
                      <a:tailEnd/>
                    </a:ln>
                  </pic:spPr>
                </pic:pic>
              </a:graphicData>
            </a:graphic>
          </wp:inline>
        </w:drawing>
      </w:r>
    </w:p>
    <w:p w14:paraId="7F9424D7" w14:textId="5166D7A4" w:rsidR="005F5ADD" w:rsidRDefault="000476BC">
      <w:pPr>
        <w:pStyle w:val="a0"/>
      </w:pPr>
      <w:bookmarkStart w:id="4" w:name="_Hlk104824705"/>
      <w:r w:rsidRPr="008402B7">
        <w:rPr>
          <w:rFonts w:hint="eastAsia"/>
          <w:b/>
          <w:bCs/>
          <w:sz w:val="21"/>
          <w:szCs w:val="21"/>
          <w:lang w:eastAsia="zh-CN"/>
        </w:rPr>
        <w:lastRenderedPageBreak/>
        <w:t>Figure</w:t>
      </w:r>
      <w:r w:rsidRPr="008402B7">
        <w:rPr>
          <w:b/>
          <w:bCs/>
          <w:sz w:val="21"/>
          <w:szCs w:val="21"/>
          <w:lang w:eastAsia="zh-CN"/>
        </w:rPr>
        <w:t xml:space="preserve"> 1.</w:t>
      </w:r>
      <w:bookmarkEnd w:id="4"/>
      <w:r w:rsidRPr="008402B7">
        <w:rPr>
          <w:b/>
          <w:bCs/>
          <w:sz w:val="21"/>
          <w:szCs w:val="21"/>
          <w:lang w:eastAsia="zh-CN"/>
        </w:rPr>
        <w:t xml:space="preserve"> </w:t>
      </w:r>
      <w:r w:rsidRPr="000A19D3">
        <w:rPr>
          <w:sz w:val="21"/>
          <w:szCs w:val="21"/>
        </w:rPr>
        <w:t>Institutional shifts and related SES structures in the Yellow River Basin (YRB).</w:t>
      </w:r>
      <w:r w:rsidRPr="000A19D3">
        <w:rPr>
          <w:rFonts w:hint="eastAsia"/>
          <w:sz w:val="21"/>
          <w:szCs w:val="21"/>
        </w:rPr>
        <w:t xml:space="preserve"> </w:t>
      </w:r>
      <w:r w:rsidRPr="000A19D3">
        <w:rPr>
          <w:b/>
          <w:bCs/>
          <w:sz w:val="21"/>
          <w:szCs w:val="21"/>
        </w:rPr>
        <w:t>A.</w:t>
      </w:r>
      <w:r w:rsidRPr="000A19D3">
        <w:rPr>
          <w:sz w:val="21"/>
          <w:szCs w:val="21"/>
        </w:rPr>
        <w:t xml:space="preserve"> The YBR crosses 10 provinces or the same-level administrative regions, 8 of which are highly relying on the water resources from the YRB (see </w:t>
      </w:r>
      <w:r w:rsidRPr="00526B2B">
        <w:rPr>
          <w:i/>
          <w:iCs/>
          <w:sz w:val="21"/>
          <w:szCs w:val="21"/>
        </w:rPr>
        <w:t>Appendix S1</w:t>
      </w:r>
      <w:r w:rsidRPr="00526B2B">
        <w:rPr>
          <w:rFonts w:hint="eastAsia"/>
          <w:i/>
          <w:iCs/>
          <w:sz w:val="21"/>
          <w:szCs w:val="21"/>
          <w:lang w:eastAsia="zh-CN"/>
        </w:rPr>
        <w:t>:</w:t>
      </w:r>
      <w:r>
        <w:rPr>
          <w:sz w:val="21"/>
          <w:szCs w:val="21"/>
          <w:lang w:eastAsia="zh-CN"/>
        </w:rPr>
        <w:t xml:space="preserve"> </w:t>
      </w:r>
      <w:r w:rsidRPr="00526B2B">
        <w:rPr>
          <w:rFonts w:hint="eastAsia"/>
          <w:i/>
          <w:iCs/>
          <w:sz w:val="21"/>
          <w:szCs w:val="21"/>
          <w:lang w:eastAsia="zh-CN"/>
        </w:rPr>
        <w:t>C</w:t>
      </w:r>
      <w:r w:rsidRPr="00526B2B">
        <w:rPr>
          <w:i/>
          <w:iCs/>
          <w:sz w:val="21"/>
          <w:szCs w:val="21"/>
          <w:lang w:eastAsia="zh-CN"/>
        </w:rPr>
        <w:t>ontexts of institutional</w:t>
      </w:r>
      <w:r w:rsidRPr="00526B2B">
        <w:rPr>
          <w:i/>
          <w:iCs/>
          <w:sz w:val="21"/>
          <w:szCs w:val="21"/>
        </w:rPr>
        <w:t xml:space="preserve"> shift</w:t>
      </w:r>
      <w:r>
        <w:rPr>
          <w:sz w:val="21"/>
          <w:szCs w:val="21"/>
        </w:rPr>
        <w:t xml:space="preserve"> </w:t>
      </w:r>
      <w:r w:rsidRPr="000A19D3">
        <w:rPr>
          <w:sz w:val="21"/>
          <w:szCs w:val="21"/>
        </w:rPr>
        <w:t>Table</w:t>
      </w:r>
      <w:r>
        <w:rPr>
          <w:sz w:val="21"/>
          <w:szCs w:val="21"/>
        </w:rPr>
        <w:t xml:space="preserve"> 1</w:t>
      </w:r>
      <w:r w:rsidRPr="000A19D3">
        <w:rPr>
          <w:sz w:val="21"/>
          <w:szCs w:val="21"/>
        </w:rPr>
        <w:t>). The national administrations are the ultimate authority in issuing water governance policies, which are often implemented by basin-level agency (the Yellow River Conservancy Commission, YRCC) and each province-level agency.</w:t>
      </w:r>
      <w:r>
        <w:rPr>
          <w:rFonts w:hint="eastAsia"/>
          <w:sz w:val="21"/>
          <w:szCs w:val="21"/>
        </w:rPr>
        <w:t xml:space="preserve"> </w:t>
      </w:r>
      <w:r w:rsidRPr="000A19D3">
        <w:rPr>
          <w:b/>
          <w:bCs/>
          <w:sz w:val="21"/>
          <w:szCs w:val="21"/>
        </w:rPr>
        <w:t>B.</w:t>
      </w:r>
      <w:r w:rsidRPr="000A19D3">
        <w:rPr>
          <w:sz w:val="21"/>
          <w:szCs w:val="21"/>
        </w:rPr>
        <w:t xml:space="preserve"> Provincial administrative agencies are the major stakeholders. Since the 87-WAS, with surface water withdrawal from the Yellow River restricted by specific quotas, each stakeholder plan and use water resources for development. However, the natural hydrological processes are connected. Although the institutions focus mainly on surface water (Sur.), it can also influence groundwater inside (Gro.) or water resources outside (Sur. and Gro.') through systematic socio-hydrological processes within the YRB. The YRCC only monitors water withdrawals at that time.</w:t>
      </w:r>
      <w:r>
        <w:rPr>
          <w:rFonts w:hint="eastAsia"/>
          <w:sz w:val="21"/>
          <w:szCs w:val="21"/>
        </w:rPr>
        <w:t xml:space="preserve"> </w:t>
      </w:r>
      <w:r w:rsidRPr="000A19D3">
        <w:rPr>
          <w:b/>
          <w:bCs/>
          <w:sz w:val="21"/>
          <w:szCs w:val="21"/>
        </w:rPr>
        <w:t>C.</w:t>
      </w:r>
      <w:r w:rsidRPr="000A19D3">
        <w:rPr>
          <w:sz w:val="21"/>
          <w:szCs w:val="21"/>
        </w:rPr>
        <w:t xml:space="preserve"> Institutional shifts and following structures changes (details in Appendix</w:t>
      </w:r>
      <w:r>
        <w:rPr>
          <w:sz w:val="21"/>
          <w:szCs w:val="21"/>
        </w:rPr>
        <w:t xml:space="preserve"> S1:</w:t>
      </w:r>
      <w:r w:rsidRPr="000A19D3">
        <w:rPr>
          <w:sz w:val="21"/>
          <w:szCs w:val="21"/>
        </w:rPr>
        <w:t xml:space="preserve"> </w:t>
      </w:r>
      <w:r w:rsidRPr="0098143F">
        <w:rPr>
          <w:rFonts w:hint="eastAsia"/>
          <w:i/>
          <w:iCs/>
          <w:sz w:val="21"/>
          <w:szCs w:val="21"/>
        </w:rPr>
        <w:t>C</w:t>
      </w:r>
      <w:r w:rsidRPr="0098143F">
        <w:rPr>
          <w:i/>
          <w:iCs/>
          <w:sz w:val="21"/>
          <w:szCs w:val="21"/>
        </w:rPr>
        <w:t>ontexts of institutional shift</w:t>
      </w:r>
      <w:r w:rsidRPr="000A19D3">
        <w:rPr>
          <w:sz w:val="21"/>
          <w:szCs w:val="21"/>
        </w:rPr>
        <w:t>). (1) From 1979 to 1987, water resources were freely accessible to each stakeholder (denoted by red circles) from the connected ecological unit (the reach of Yellow River, denoted by the blue circles). (2) After 1987-WAS, the YRCC (the yellow circles) was monitoring (the dot-line links) river reaches with the water use quota. (3) Since the 98-UBR, stakeholders have to apply for water use licenses from the YRCC (the connections between the red and yellow circles).</w:t>
      </w:r>
    </w:p>
    <w:p w14:paraId="71564F61" w14:textId="77777777" w:rsidR="005F5ADD" w:rsidRDefault="00704920">
      <w:pPr>
        <w:pStyle w:val="2"/>
      </w:pPr>
      <w:bookmarkStart w:id="5" w:name="result-2"/>
      <w:bookmarkEnd w:id="3"/>
      <w:r>
        <w:t>2.2</w:t>
      </w:r>
      <w:r>
        <w:tab/>
        <w:t>Institutional shifts impact on water use</w:t>
      </w:r>
    </w:p>
    <w:p w14:paraId="17301F12" w14:textId="03626DD0" w:rsidR="005F5ADD" w:rsidRDefault="00704920">
      <w:pPr>
        <w:pStyle w:val="FirstParagraph"/>
      </w:pPr>
      <w:bookmarkStart w:id="6" w:name="result-1-p2"/>
      <w:r>
        <w:t>[result-1-p2]</w:t>
      </w:r>
      <w:bookmarkEnd w:id="6"/>
      <w:r>
        <w:t xml:space="preserve"> Our estimation of theoretical wat</w:t>
      </w:r>
      <w:r>
        <w:t>er use suggests that the institutional shift in 1987 (87-WAS) stimulated the provinces to withdraw more water than would have been used without an institutional shift (</w:t>
      </w:r>
      <w:r w:rsidR="00952736">
        <w:t>Figure 2</w:t>
      </w:r>
      <w:r>
        <w:t>A). From 1988 to 1998, o</w:t>
      </w:r>
      <w:r>
        <w:t xml:space="preserve">n average, while the estimation of annual water use only suggests </w:t>
      </w:r>
      <m:oMath>
        <m:r>
          <w:rPr>
            <w:rFonts w:ascii="Cambria Math" w:hAnsi="Cambria Math"/>
          </w:rPr>
          <m:t>974.34</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the observed water use of the YRB provinces reached </w:t>
      </w:r>
      <m:oMath>
        <m:r>
          <w:rPr>
            <w:rFonts w:ascii="Cambria Math" w:hAnsi="Cambria Math"/>
          </w:rPr>
          <m:t>1038.36</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oMath>
      <w:r>
        <w:t xml:space="preserve"> (an increase of </w:t>
      </w:r>
      <m:oMath>
        <m:r>
          <w:rPr>
            <w:rFonts w:ascii="Cambria Math" w:hAnsi="Cambria Math"/>
          </w:rPr>
          <m:t>6.57</m:t>
        </m:r>
        <m:r>
          <m:rPr>
            <m:sty m:val="p"/>
          </m:rPr>
          <w:rPr>
            <w:rFonts w:ascii="Cambria Math" w:hAnsi="Cambria Math"/>
          </w:rPr>
          <m:t>%</m:t>
        </m:r>
      </m:oMath>
      <w:r>
        <w:t>). However, after the institutional change in 1998 (98-UBR), trends of increa</w:t>
      </w:r>
      <w:r>
        <w:t xml:space="preserve">sing water use appeared to be effectively suppressed. From 1998 to 2008, the total observed water use decreased by </w:t>
      </w:r>
      <m:oMath>
        <m:r>
          <w:rPr>
            <w:rFonts w:ascii="Cambria Math" w:hAnsi="Cambria Math"/>
          </w:rPr>
          <m:t>0.49</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r>
          <w:rPr>
            <w:rFonts w:ascii="Cambria Math" w:hAnsi="Cambria Math"/>
          </w:rPr>
          <m:t>yr</m:t>
        </m:r>
      </m:oMath>
      <w:r>
        <w:t xml:space="preserve"> per year, while the estimation of water use still suggests </w:t>
      </w:r>
      <m:oMath>
        <m:r>
          <w:rPr>
            <w:rFonts w:ascii="Cambria Math" w:hAnsi="Cambria Math"/>
          </w:rPr>
          <m:t>0.82</m:t>
        </m:r>
      </m:oMath>
      <w:r>
        <w:t xml:space="preserve"> billion </w:t>
      </w:r>
      <m:oMath>
        <m:sSup>
          <m:sSupPr>
            <m:ctrlPr>
              <w:rPr>
                <w:rFonts w:ascii="Cambria Math" w:hAnsi="Cambria Math"/>
              </w:rPr>
            </m:ctrlPr>
          </m:sSupPr>
          <m:e>
            <m:r>
              <w:rPr>
                <w:rFonts w:ascii="Cambria Math" w:hAnsi="Cambria Math"/>
              </w:rPr>
              <m:t>m</m:t>
            </m:r>
          </m:e>
          <m:sup>
            <m:r>
              <w:rPr>
                <w:rFonts w:ascii="Cambria Math" w:hAnsi="Cambria Math"/>
              </w:rPr>
              <m:t>3</m:t>
            </m:r>
          </m:sup>
        </m:sSup>
        <m:r>
          <m:rPr>
            <m:sty m:val="p"/>
          </m:rPr>
          <w:rPr>
            <w:rFonts w:ascii="Cambria Math" w:hAnsi="Cambria Math"/>
          </w:rPr>
          <m:t>/</m:t>
        </m:r>
        <m:r>
          <w:rPr>
            <w:rFonts w:ascii="Cambria Math" w:hAnsi="Cambria Math"/>
          </w:rPr>
          <m:t>yr</m:t>
        </m:r>
      </m:oMath>
      <w:r>
        <w:t xml:space="preserve"> increases (</w:t>
      </w:r>
      <w:bookmarkStart w:id="7" w:name="_Hlk105926466"/>
      <w:r w:rsidR="00952736">
        <w:t>Figure 2</w:t>
      </w:r>
      <w:r>
        <w:t xml:space="preserve"> </w:t>
      </w:r>
      <w:bookmarkEnd w:id="7"/>
      <w:r>
        <w:t>B). The increased water uses after 87-WAS aligns with the severe drying-down of the surface streamflow from 1987 to 1998, an obvious indicator of river degradation and environmental crisis (</w:t>
      </w:r>
      <w:r w:rsidR="00952736">
        <w:t>Figure 2</w:t>
      </w:r>
      <w:r>
        <w:t xml:space="preserve">C). On the other hand, the 98-UBR ended river depletion, despite subsequent increases in drought intensity (from </w:t>
      </w:r>
      <m:oMath>
        <m:r>
          <w:rPr>
            <w:rFonts w:ascii="Cambria Math" w:hAnsi="Cambria Math"/>
          </w:rPr>
          <m:t>0.47</m:t>
        </m:r>
      </m:oMath>
      <w:r>
        <w:t xml:space="preserve"> after 87-WAS to </w:t>
      </w:r>
      <m:oMath>
        <m:r>
          <w:rPr>
            <w:rFonts w:ascii="Cambria Math" w:hAnsi="Cambria Math"/>
          </w:rPr>
          <m:t>0.62</m:t>
        </m:r>
      </m:oMath>
      <w:r>
        <w:t xml:space="preserve"> after 98-UBR on average) (</w:t>
      </w:r>
      <w:r w:rsidR="00952736">
        <w:t>Figure 2</w:t>
      </w:r>
      <w:r>
        <w:t>C).</w:t>
      </w:r>
    </w:p>
    <w:p w14:paraId="794763DE" w14:textId="77777777" w:rsidR="00200FC0" w:rsidRDefault="00200FC0" w:rsidP="00200FC0">
      <w:pPr>
        <w:pStyle w:val="a0"/>
      </w:pPr>
      <w:r>
        <w:rPr>
          <w:noProof/>
        </w:rPr>
        <w:drawing>
          <wp:inline distT="0" distB="0" distL="0" distR="0" wp14:anchorId="233DABAF" wp14:editId="0FF030B1">
            <wp:extent cx="4876800" cy="2709333"/>
            <wp:effectExtent l="0" t="0" r="0" b="0"/>
            <wp:docPr id="28" name="Picture" descr="image"/>
            <wp:cNvGraphicFramePr/>
            <a:graphic xmlns:a="http://schemas.openxmlformats.org/drawingml/2006/main">
              <a:graphicData uri="http://schemas.openxmlformats.org/drawingml/2006/picture">
                <pic:pic xmlns:pic="http://schemas.openxmlformats.org/drawingml/2006/picture">
                  <pic:nvPicPr>
                    <pic:cNvPr id="29" name="Picture" descr="outputs/main_results2.pdf"/>
                    <pic:cNvPicPr>
                      <a:picLocks noChangeAspect="1" noChangeArrowheads="1"/>
                    </pic:cNvPicPr>
                  </pic:nvPicPr>
                  <pic:blipFill>
                    <a:blip r:embed="rId10"/>
                    <a:stretch>
                      <a:fillRect/>
                    </a:stretch>
                  </pic:blipFill>
                  <pic:spPr bwMode="auto">
                    <a:xfrm>
                      <a:off x="0" y="0"/>
                      <a:ext cx="4876800" cy="2709333"/>
                    </a:xfrm>
                    <a:prstGeom prst="rect">
                      <a:avLst/>
                    </a:prstGeom>
                    <a:noFill/>
                    <a:ln w="9525">
                      <a:noFill/>
                      <a:headEnd/>
                      <a:tailEnd/>
                    </a:ln>
                  </pic:spPr>
                </pic:pic>
              </a:graphicData>
            </a:graphic>
          </wp:inline>
        </w:drawing>
      </w:r>
    </w:p>
    <w:p w14:paraId="42CF3C00" w14:textId="77777777" w:rsidR="00200FC0" w:rsidRPr="000E03FF" w:rsidRDefault="00200FC0" w:rsidP="00200FC0">
      <w:pPr>
        <w:pStyle w:val="a0"/>
        <w:rPr>
          <w:sz w:val="21"/>
          <w:szCs w:val="21"/>
        </w:rPr>
      </w:pPr>
      <w:r w:rsidRPr="000E03FF">
        <w:rPr>
          <w:b/>
          <w:bCs/>
          <w:sz w:val="21"/>
          <w:szCs w:val="21"/>
        </w:rPr>
        <w:t>Figure 2</w:t>
      </w:r>
      <w:r w:rsidRPr="000E03FF">
        <w:rPr>
          <w:sz w:val="21"/>
          <w:szCs w:val="21"/>
        </w:rPr>
        <w:t>. Effects of two institutional shifts on water resources use and allocation in the Yellow River Basin (YRB).</w:t>
      </w:r>
      <w:r w:rsidRPr="000E03FF">
        <w:rPr>
          <w:rFonts w:hint="eastAsia"/>
          <w:sz w:val="21"/>
          <w:szCs w:val="21"/>
        </w:rPr>
        <w:t xml:space="preserve"> </w:t>
      </w:r>
      <w:r w:rsidRPr="000E03FF">
        <w:rPr>
          <w:b/>
          <w:bCs/>
          <w:sz w:val="21"/>
          <w:szCs w:val="21"/>
        </w:rPr>
        <w:t>A.</w:t>
      </w:r>
      <w:r w:rsidRPr="000E03FF">
        <w:rPr>
          <w:sz w:val="21"/>
          <w:szCs w:val="21"/>
        </w:rPr>
        <w:t xml:space="preserve"> water uses of the YRB before and after the institutional shift in 1987 (87-WAS);</w:t>
      </w:r>
      <w:r w:rsidRPr="000E03FF">
        <w:rPr>
          <w:rFonts w:hint="eastAsia"/>
          <w:sz w:val="21"/>
          <w:szCs w:val="21"/>
        </w:rPr>
        <w:t xml:space="preserve"> </w:t>
      </w:r>
      <w:r w:rsidRPr="000E03FF">
        <w:rPr>
          <w:b/>
          <w:bCs/>
          <w:sz w:val="21"/>
          <w:szCs w:val="21"/>
        </w:rPr>
        <w:t>B.</w:t>
      </w:r>
      <w:r w:rsidRPr="000E03FF">
        <w:rPr>
          <w:sz w:val="21"/>
          <w:szCs w:val="21"/>
        </w:rPr>
        <w:t xml:space="preserve"> water uses of the YRB before and after the institutional shift in 1998 (98-UBR). Blue lines are statistics derived from water use data; grey lines are estimates from the Differenced Synthetic Control method with </w:t>
      </w:r>
      <w:r w:rsidRPr="000E03FF">
        <w:rPr>
          <w:sz w:val="21"/>
          <w:szCs w:val="21"/>
        </w:rPr>
        <w:lastRenderedPageBreak/>
        <w:t>economic and environmental background controlled;</w:t>
      </w:r>
      <w:r w:rsidRPr="000E03FF">
        <w:rPr>
          <w:rFonts w:hint="eastAsia"/>
          <w:sz w:val="21"/>
          <w:szCs w:val="21"/>
        </w:rPr>
        <w:t xml:space="preserve"> </w:t>
      </w:r>
      <w:r w:rsidRPr="000E03FF">
        <w:rPr>
          <w:b/>
          <w:bCs/>
          <w:sz w:val="21"/>
          <w:szCs w:val="21"/>
        </w:rPr>
        <w:t>C.</w:t>
      </w:r>
      <w:r w:rsidRPr="000E03FF">
        <w:rPr>
          <w:sz w:val="21"/>
          <w:szCs w:val="21"/>
        </w:rPr>
        <w:t xml:space="preserve"> Drought intensity in the YRB and drying up events of the Yellow River. The size of the grey bubbles denotes the length of drying upstream.</w:t>
      </w:r>
    </w:p>
    <w:p w14:paraId="2C24BF7F" w14:textId="716B8A70" w:rsidR="005F5ADD" w:rsidRDefault="005F5ADD">
      <w:pPr>
        <w:pStyle w:val="a0"/>
      </w:pPr>
    </w:p>
    <w:p w14:paraId="18D32954" w14:textId="77777777" w:rsidR="005F5ADD" w:rsidRDefault="00704920">
      <w:pPr>
        <w:pStyle w:val="2"/>
      </w:pPr>
      <w:bookmarkStart w:id="8" w:name="result-3"/>
      <w:bookmarkEnd w:id="5"/>
      <w:r>
        <w:t>2.3</w:t>
      </w:r>
      <w:r>
        <w:tab/>
        <w:t>Heterogeneous institutional effects</w:t>
      </w:r>
    </w:p>
    <w:p w14:paraId="77E54C36" w14:textId="258B017B" w:rsidR="005F5ADD" w:rsidRDefault="00704920">
      <w:pPr>
        <w:pStyle w:val="FirstParagraph"/>
      </w:pPr>
      <w:r>
        <w:t xml:space="preserve">Our results also suggest differences between patterns of provinces in their responses to the two institutional regulating. </w:t>
      </w:r>
      <w:r>
        <w:t>During the decade after the 87-WAS, the major water-using provinces (e.g., Inner Mongolia, Henan, Shandong) had apparent accelerations (</w:t>
      </w:r>
      <w:r w:rsidR="00952736">
        <w:t>Figure 3</w:t>
      </w:r>
      <w:r>
        <w:t xml:space="preserve">. The proportion of increased (or decreased) water use for </w:t>
      </w:r>
      <w:r>
        <w:t xml:space="preserve">each province (over the estimated water use by the model) correlated significantly (partial correlation coefficient is </w:t>
      </w:r>
      <m:oMath>
        <m:r>
          <w:rPr>
            <w:rFonts w:ascii="Cambria Math" w:hAnsi="Cambria Math"/>
          </w:rPr>
          <m:t>0.77</m:t>
        </m:r>
      </m:oMath>
      <w:r>
        <w:t xml:space="preserve">, </w:t>
      </w:r>
      <m:oMath>
        <m:r>
          <w:rPr>
            <w:rFonts w:ascii="Cambria Math" w:hAnsi="Cambria Math"/>
          </w:rPr>
          <m:t>p</m:t>
        </m:r>
        <m:r>
          <m:rPr>
            <m:sty m:val="p"/>
          </m:rPr>
          <w:rPr>
            <w:rFonts w:ascii="Cambria Math" w:hAnsi="Cambria Math"/>
          </w:rPr>
          <m:t>&lt;</m:t>
        </m:r>
        <m:r>
          <w:rPr>
            <w:rFonts w:ascii="Cambria Math" w:hAnsi="Cambria Math"/>
          </w:rPr>
          <m:t>0.05</m:t>
        </m:r>
      </m:oMath>
      <w:r>
        <w:t>) with actual water use from the Yellow River. On average, the major water users (Shandong, Inner Mongolia, Henan, and Ningx</w:t>
      </w:r>
      <w:r>
        <w:t xml:space="preserve">ia) used </w:t>
      </w:r>
      <m:oMath>
        <m:r>
          <w:rPr>
            <w:rFonts w:ascii="Cambria Math" w:hAnsi="Cambria Math"/>
          </w:rPr>
          <m:t>32.14</m:t>
        </m:r>
        <m:r>
          <m:rPr>
            <m:sty m:val="p"/>
          </m:rPr>
          <w:rPr>
            <w:rFonts w:ascii="Cambria Math" w:hAnsi="Cambria Math"/>
          </w:rPr>
          <m:t>%</m:t>
        </m:r>
      </m:oMath>
      <w:r>
        <w:t xml:space="preserve"> more water than predicted from 1987 to 1998. By contrast, after the 98-UBR (from 1998 to 2008), almost all provinces have seen declines (</w:t>
      </w:r>
      <m:oMath>
        <m:r>
          <m:rPr>
            <m:sty m:val="p"/>
          </m:rPr>
          <w:rPr>
            <w:rFonts w:ascii="Cambria Math" w:hAnsi="Cambria Math"/>
          </w:rPr>
          <m:t>-</m:t>
        </m:r>
        <m:r>
          <w:rPr>
            <w:rFonts w:ascii="Cambria Math" w:hAnsi="Cambria Math"/>
          </w:rPr>
          <m:t>16.54</m:t>
        </m:r>
        <m:r>
          <m:rPr>
            <m:sty m:val="p"/>
          </m:rPr>
          <w:rPr>
            <w:rFonts w:ascii="Cambria Math" w:hAnsi="Cambria Math"/>
          </w:rPr>
          <m:t>%</m:t>
        </m:r>
      </m:oMath>
      <w:r>
        <w:t xml:space="preserve"> on average) in water use. Furthermore, the regulated water use of provinces was unrelated (part</w:t>
      </w:r>
      <w:r>
        <w:t xml:space="preserve">ial correlation coefficient is </w:t>
      </w:r>
      <m:oMath>
        <m:r>
          <w:rPr>
            <w:rFonts w:ascii="Cambria Math" w:hAnsi="Cambria Math"/>
          </w:rPr>
          <m:t>0.33</m:t>
        </m:r>
      </m:oMath>
      <w:r>
        <w:t xml:space="preserve">, </w:t>
      </w:r>
      <m:oMath>
        <m:r>
          <w:rPr>
            <w:rFonts w:ascii="Cambria Math" w:hAnsi="Cambria Math"/>
          </w:rPr>
          <m:t>p</m:t>
        </m:r>
        <m:r>
          <m:rPr>
            <m:sty m:val="p"/>
          </m:rPr>
          <w:rPr>
            <w:rFonts w:ascii="Cambria Math" w:hAnsi="Cambria Math"/>
          </w:rPr>
          <m:t>&gt;</m:t>
        </m:r>
        <m:r>
          <w:rPr>
            <w:rFonts w:ascii="Cambria Math" w:hAnsi="Cambria Math"/>
          </w:rPr>
          <m:t>0.1</m:t>
        </m:r>
      </m:oMath>
      <w:r>
        <w:t>) to their proportional water use from the Yellow River.</w:t>
      </w:r>
    </w:p>
    <w:p w14:paraId="7C967A62" w14:textId="77777777" w:rsidR="00200FC0" w:rsidRDefault="00200FC0" w:rsidP="00200FC0">
      <w:pPr>
        <w:pStyle w:val="a0"/>
      </w:pPr>
      <w:bookmarkStart w:id="9" w:name="_Hlk105925589"/>
      <w:r>
        <w:rPr>
          <w:noProof/>
        </w:rPr>
        <w:drawing>
          <wp:inline distT="0" distB="0" distL="0" distR="0" wp14:anchorId="7E190846" wp14:editId="215F6E40">
            <wp:extent cx="4876800" cy="2786742"/>
            <wp:effectExtent l="0" t="0" r="0" b="0"/>
            <wp:docPr id="32" name="Picture" descr="image"/>
            <wp:cNvGraphicFramePr/>
            <a:graphic xmlns:a="http://schemas.openxmlformats.org/drawingml/2006/main">
              <a:graphicData uri="http://schemas.openxmlformats.org/drawingml/2006/picture">
                <pic:pic xmlns:pic="http://schemas.openxmlformats.org/drawingml/2006/picture">
                  <pic:nvPicPr>
                    <pic:cNvPr id="33" name="Picture" descr="outputs/fig3.pdf"/>
                    <pic:cNvPicPr>
                      <a:picLocks noChangeAspect="1" noChangeArrowheads="1"/>
                    </pic:cNvPicPr>
                  </pic:nvPicPr>
                  <pic:blipFill>
                    <a:blip r:embed="rId11"/>
                    <a:stretch>
                      <a:fillRect/>
                    </a:stretch>
                  </pic:blipFill>
                  <pic:spPr bwMode="auto">
                    <a:xfrm>
                      <a:off x="0" y="0"/>
                      <a:ext cx="4876800" cy="2786742"/>
                    </a:xfrm>
                    <a:prstGeom prst="rect">
                      <a:avLst/>
                    </a:prstGeom>
                    <a:noFill/>
                    <a:ln w="9525">
                      <a:noFill/>
                      <a:headEnd/>
                      <a:tailEnd/>
                    </a:ln>
                  </pic:spPr>
                </pic:pic>
              </a:graphicData>
            </a:graphic>
          </wp:inline>
        </w:drawing>
      </w:r>
    </w:p>
    <w:p w14:paraId="33E1F24B" w14:textId="77777777" w:rsidR="00200FC0" w:rsidRPr="006C0631" w:rsidRDefault="00200FC0" w:rsidP="00200FC0">
      <w:pPr>
        <w:pStyle w:val="a0"/>
        <w:rPr>
          <w:sz w:val="21"/>
          <w:szCs w:val="21"/>
          <w:lang w:eastAsia="zh-CN"/>
        </w:rPr>
      </w:pPr>
      <w:r w:rsidRPr="006C0631">
        <w:rPr>
          <w:rFonts w:hint="eastAsia"/>
          <w:b/>
          <w:bCs/>
          <w:sz w:val="21"/>
          <w:szCs w:val="21"/>
          <w:lang w:eastAsia="zh-CN"/>
        </w:rPr>
        <w:t>Figure</w:t>
      </w:r>
      <w:r w:rsidRPr="006C0631">
        <w:rPr>
          <w:b/>
          <w:bCs/>
          <w:sz w:val="21"/>
          <w:szCs w:val="21"/>
          <w:lang w:eastAsia="zh-CN"/>
        </w:rPr>
        <w:t xml:space="preserve"> 3. </w:t>
      </w:r>
      <w:r w:rsidRPr="006C0631">
        <w:rPr>
          <w:sz w:val="21"/>
          <w:szCs w:val="21"/>
        </w:rPr>
        <w:t>Regulating differences for provinces in the YRB.</w:t>
      </w:r>
      <w:r w:rsidRPr="006C0631">
        <w:rPr>
          <w:rFonts w:hint="eastAsia"/>
          <w:sz w:val="21"/>
          <w:szCs w:val="21"/>
          <w:lang w:eastAsia="zh-CN"/>
        </w:rPr>
        <w:t xml:space="preserve"> </w:t>
      </w:r>
      <w:r w:rsidRPr="006C0631">
        <w:rPr>
          <w:sz w:val="21"/>
          <w:szCs w:val="21"/>
        </w:rPr>
        <w:t>Red (the 87-WAS) and green (the 98-UBR) bars denote an increased or decreased ratio for actual water use relative to the estimate from the model in the decade after the institutional shift.</w:t>
      </w:r>
      <w:r w:rsidRPr="006C0631">
        <w:rPr>
          <w:rFonts w:hint="eastAsia"/>
          <w:sz w:val="21"/>
          <w:szCs w:val="21"/>
          <w:lang w:eastAsia="zh-CN"/>
        </w:rPr>
        <w:t xml:space="preserve"> </w:t>
      </w:r>
      <w:r w:rsidRPr="006C0631">
        <w:rPr>
          <w:sz w:val="21"/>
          <w:szCs w:val="21"/>
        </w:rPr>
        <w:t>The grey bars indicate the proportions of actual water use for each province relative to their total water use in the decade after the institutional shift.</w:t>
      </w:r>
      <w:r w:rsidRPr="006C0631">
        <w:rPr>
          <w:rFonts w:hint="eastAsia"/>
          <w:sz w:val="21"/>
          <w:szCs w:val="21"/>
          <w:lang w:eastAsia="zh-CN"/>
        </w:rPr>
        <w:t xml:space="preserve"> </w:t>
      </w:r>
      <w:r w:rsidRPr="006C0631">
        <w:rPr>
          <w:sz w:val="21"/>
          <w:szCs w:val="21"/>
        </w:rPr>
        <w:t>The triangles mark the water quotas assigned under the institution, converted to ratios by dividing by their sum.</w:t>
      </w:r>
    </w:p>
    <w:bookmarkEnd w:id="9"/>
    <w:p w14:paraId="32A9A582" w14:textId="314D4680" w:rsidR="005F5ADD" w:rsidRDefault="005F5ADD">
      <w:pPr>
        <w:pStyle w:val="a0"/>
      </w:pPr>
    </w:p>
    <w:p w14:paraId="313F49AA" w14:textId="77777777" w:rsidR="005F5ADD" w:rsidRDefault="00704920">
      <w:pPr>
        <w:pStyle w:val="2"/>
      </w:pPr>
      <w:bookmarkStart w:id="10" w:name="result-4"/>
      <w:bookmarkEnd w:id="8"/>
      <w:r>
        <w:t>2.4</w:t>
      </w:r>
      <w:r>
        <w:tab/>
        <w:t>Structure-based marginal benefit analysis</w:t>
      </w:r>
    </w:p>
    <w:p w14:paraId="63F9C5A3" w14:textId="31DBFE18" w:rsidR="005F5ADD" w:rsidRDefault="00704920">
      <w:pPr>
        <w:pStyle w:val="FirstParagraph"/>
      </w:pPr>
      <w:r>
        <w:t>We then compared the marginal returns and optimal water use under three different structural cases theoretic</w:t>
      </w:r>
      <w:r>
        <w:t xml:space="preserve">ally (analogy to </w:t>
      </w:r>
      <w:r w:rsidR="00952736">
        <w:t>Figure 1</w:t>
      </w:r>
      <w:r>
        <w:t> C, see</w:t>
      </w:r>
      <w:r>
        <w:t> Figure </w:t>
      </w:r>
      <w:hyperlink w:anchor="fig:model">
        <w:r w:rsidR="00616976">
          <w:rPr>
            <w:rStyle w:val="af2"/>
          </w:rPr>
          <w:t>4</w:t>
        </w:r>
      </w:hyperlink>
      <w:r>
        <w:t xml:space="preserve">, detailed derivation in </w:t>
      </w:r>
      <w:r>
        <w:rPr>
          <w:i/>
          <w:iCs/>
        </w:rPr>
        <w:t>Appendix </w:t>
      </w:r>
      <w:r>
        <w:t>). Assuming that water is the factor input with decreasing marginal output of each province, resul</w:t>
      </w:r>
      <w:r>
        <w:t>ts show that varying incentive for water use in each province derives from the mismatch between the benefits and costs of water use. Until water-use decisions are consolidated into unified management, each stakeholder’s expectation that current water use h</w:t>
      </w:r>
      <w:r>
        <w:t>elps bargain for a favorable water quota may intensify the incentive to use water, leading to higher water use. Furthermore, water users with higher capability are more stimulated by institutional shifts and away from the theoretically optimal water use un</w:t>
      </w:r>
      <w:r>
        <w:t>der a unified allocation.</w:t>
      </w:r>
    </w:p>
    <w:p w14:paraId="001FF7FA" w14:textId="77777777" w:rsidR="005F5ADD" w:rsidRDefault="00704920">
      <w:pPr>
        <w:pStyle w:val="CaptionedFigure"/>
      </w:pPr>
      <w:bookmarkStart w:id="11" w:name="fig:model"/>
      <w:r>
        <w:rPr>
          <w:noProof/>
        </w:rPr>
        <w:lastRenderedPageBreak/>
        <w:drawing>
          <wp:inline distT="0" distB="0" distL="0" distR="0" wp14:anchorId="78544571" wp14:editId="53F908F2">
            <wp:extent cx="3200400" cy="2743200"/>
            <wp:effectExtent l="0" t="0" r="0" b="0"/>
            <wp:docPr id="36" name="Picture" descr="Figure 1: The proposed relationship of marginal benefits and water use of individual province under varying cases (case 1 to case 3, corresponding to the different SES structures in Figure [structure]) Major water users’ theoretically optimal water use is also larger (see and )."/>
            <wp:cNvGraphicFramePr/>
            <a:graphic xmlns:a="http://schemas.openxmlformats.org/drawingml/2006/main">
              <a:graphicData uri="http://schemas.openxmlformats.org/drawingml/2006/picture">
                <pic:pic xmlns:pic="http://schemas.openxmlformats.org/drawingml/2006/picture">
                  <pic:nvPicPr>
                    <pic:cNvPr id="37" name="Picture" descr="outputs/economic_model.pdf"/>
                    <pic:cNvPicPr>
                      <a:picLocks noChangeAspect="1" noChangeArrowheads="1"/>
                    </pic:cNvPicPr>
                  </pic:nvPicPr>
                  <pic:blipFill>
                    <a:blip r:embed="rId12"/>
                    <a:stretch>
                      <a:fillRect/>
                    </a:stretch>
                  </pic:blipFill>
                  <pic:spPr bwMode="auto">
                    <a:xfrm>
                      <a:off x="0" y="0"/>
                      <a:ext cx="3200400" cy="2743200"/>
                    </a:xfrm>
                    <a:prstGeom prst="rect">
                      <a:avLst/>
                    </a:prstGeom>
                    <a:noFill/>
                    <a:ln w="9525">
                      <a:noFill/>
                      <a:headEnd/>
                      <a:tailEnd/>
                    </a:ln>
                  </pic:spPr>
                </pic:pic>
              </a:graphicData>
            </a:graphic>
          </wp:inline>
        </w:drawing>
      </w:r>
      <w:bookmarkEnd w:id="11"/>
    </w:p>
    <w:p w14:paraId="6578EBAA" w14:textId="02C28075" w:rsidR="005F5ADD" w:rsidRDefault="00704920">
      <w:pPr>
        <w:pStyle w:val="ImageCaption"/>
      </w:pPr>
      <w:r w:rsidRPr="00952736">
        <w:rPr>
          <w:b/>
          <w:bCs/>
          <w:i w:val="0"/>
          <w:sz w:val="21"/>
          <w:szCs w:val="21"/>
        </w:rPr>
        <w:t>Figure 1:</w:t>
      </w:r>
      <w:r w:rsidRPr="00952736">
        <w:rPr>
          <w:i w:val="0"/>
          <w:sz w:val="21"/>
          <w:szCs w:val="21"/>
        </w:rPr>
        <w:t xml:space="preserve"> The proposed relationship of marginal benefits and water use of individual province under varying cases (case 1 to case 3, corresponding to the different SES structures in </w:t>
      </w:r>
      <w:r w:rsidR="00952736">
        <w:rPr>
          <w:i w:val="0"/>
          <w:sz w:val="21"/>
          <w:szCs w:val="21"/>
        </w:rPr>
        <w:t>Figure 1</w:t>
      </w:r>
      <w:r w:rsidRPr="00952736">
        <w:rPr>
          <w:i w:val="0"/>
          <w:sz w:val="21"/>
          <w:szCs w:val="21"/>
        </w:rPr>
        <w:t>) Major water users’ theoretically optimal water use is also larger (see and ).</w:t>
      </w:r>
    </w:p>
    <w:p w14:paraId="6AF5BB4A" w14:textId="77777777" w:rsidR="005F5ADD" w:rsidRDefault="00704920">
      <w:pPr>
        <w:pStyle w:val="1"/>
      </w:pPr>
      <w:bookmarkStart w:id="12" w:name="sec:discussion"/>
      <w:bookmarkEnd w:id="2"/>
      <w:bookmarkEnd w:id="10"/>
      <w:r>
        <w:t>3</w:t>
      </w:r>
      <w:r>
        <w:tab/>
        <w:t>DISCUSSION</w:t>
      </w:r>
    </w:p>
    <w:p w14:paraId="701EE8A3" w14:textId="416DD51D" w:rsidR="005F5ADD" w:rsidRDefault="00704920">
      <w:pPr>
        <w:pStyle w:val="FirstParagraph"/>
      </w:pPr>
      <w:r>
        <w:t>Our results show that while 98-UBR decreased water use in the YRB, 87-WAS increased it. The results challenged previous analyses (i.e., suggesting that 87-WAS ”had little practical effect”) because theoretically, there should be few gaps between actual and</w:t>
      </w:r>
      <w:r>
        <w:t xml:space="preserve"> synthetic YRB’s water use if no effect is present</w:t>
      </w:r>
      <w:r>
        <w:rPr>
          <w:vertAlign w:val="superscript"/>
        </w:rPr>
        <w:t>25,26</w:t>
      </w:r>
      <w:r>
        <w:t xml:space="preserve">. However, the significant net effect indicated by our analysis suggests 87-WAS was followed by more water use even after controlling for environmental and economic variables (see </w:t>
      </w:r>
      <w:r>
        <w:rPr>
          <w:i/>
          <w:iCs/>
        </w:rPr>
        <w:t>Appendix </w:t>
      </w:r>
      <w:r>
        <w:t> Table </w:t>
      </w:r>
      <w:hyperlink w:anchor="tab:variables">
        <w:r>
          <w:rPr>
            <w:rStyle w:val="af2"/>
          </w:rPr>
          <w:t>[tab:variables]</w:t>
        </w:r>
      </w:hyperlink>
      <w:r>
        <w:t>). On the contrary, the 98-UBR reduced water competition, so many studies attributed the restoration mainly to the successful introduction of this institution</w:t>
      </w:r>
      <w:r>
        <w:rPr>
          <w:vertAlign w:val="superscript"/>
        </w:rPr>
        <w:t>27–29</w:t>
      </w:r>
      <w:r>
        <w:t>.</w:t>
      </w:r>
    </w:p>
    <w:p w14:paraId="6CCF9EA3" w14:textId="70106E8C" w:rsidR="005F5ADD" w:rsidRDefault="00704920">
      <w:pPr>
        <w:pStyle w:val="a0"/>
      </w:pPr>
      <w:r>
        <w:t>Increased water use after 87-W</w:t>
      </w:r>
      <w:r>
        <w:t>AS aligns with concerns about frequently scrambling for water in some provinces during this period</w:t>
      </w:r>
      <w:r>
        <w:rPr>
          <w:vertAlign w:val="superscript"/>
        </w:rPr>
        <w:t>30</w:t>
      </w:r>
      <w:r>
        <w:t>. Although reasons for the non-ideal effect of 87-WAS had been widely discussed</w:t>
      </w:r>
      <w:r>
        <w:rPr>
          <w:vertAlign w:val="superscript"/>
        </w:rPr>
        <w:t>28</w:t>
      </w:r>
      <w:r>
        <w:t xml:space="preserve"> (such as enforcement, feasibility, and equity), structural change has rece</w:t>
      </w:r>
      <w:r>
        <w:t>ived limited attention. Our results show that the correlation between current water use and changed (increased or decreased) water use was significant after 87-WAS (</w:t>
      </w:r>
      <w:r w:rsidR="00952736">
        <w:t>Figure 3</w:t>
      </w:r>
      <w:r>
        <w:t xml:space="preserve">. This “major users use more” </w:t>
      </w:r>
      <w:r>
        <w:t>pattern supports the hypothesis that separated stakeholders (individual provinces) will response to structure for utility maximization (interpreted in our structure-based model, see Figure </w:t>
      </w:r>
      <w:hyperlink w:anchor="fig:model">
        <w:r>
          <w:rPr>
            <w:rStyle w:val="af2"/>
          </w:rPr>
          <w:t>1</w:t>
        </w:r>
      </w:hyperlink>
      <w:r>
        <w:t xml:space="preserve">). </w:t>
      </w:r>
      <w:r>
        <w:t>Our theoretical analysis keeps in line with two facts. (1) When links The water quotas of 87-WAS (or the initial water rights) went through a stage of “bargaining” among stakeholders (from 1982 to 1987)</w:t>
      </w:r>
      <w:r>
        <w:rPr>
          <w:vertAlign w:val="superscript"/>
        </w:rPr>
        <w:t>7,31</w:t>
      </w:r>
      <w:r>
        <w:t>, where each province attempted to demonstrate its</w:t>
      </w:r>
      <w:r>
        <w:t xml:space="preserve"> development potential related to water use. The bargaining was also a process for matching their water shares to economic volume because the major water users (like Shandong and Henan) need more water than their quota (if only considering economic potenti</w:t>
      </w:r>
      <w:r>
        <w:t>als when designing the institution)</w:t>
      </w:r>
      <w:r>
        <w:rPr>
          <w:vertAlign w:val="superscript"/>
        </w:rPr>
        <w:t>32</w:t>
      </w:r>
      <w:r>
        <w:t>. (2) Those with more current water use might have greater bargaining power in water use allocation because of information asymmetry between decision-makers and stakeholders. Therefore, stakeholders had considerable inc</w:t>
      </w:r>
      <w:r>
        <w:t>entives to prevent water quotas from hindering their economic potential, which aligns with the fact that they appeared to the higher central government for larger shares</w:t>
      </w:r>
      <w:r>
        <w:rPr>
          <w:vertAlign w:val="superscript"/>
        </w:rPr>
        <w:t>7,31</w:t>
      </w:r>
      <w:r>
        <w:t>.</w:t>
      </w:r>
    </w:p>
    <w:p w14:paraId="7405C2EE" w14:textId="6683F9BB" w:rsidR="005F5ADD" w:rsidRDefault="00704920">
      <w:pPr>
        <w:pStyle w:val="a0"/>
      </w:pPr>
      <w:r>
        <w:lastRenderedPageBreak/>
        <w:t>On the contrary, after YRCC as governing agent coordinated between</w:t>
      </w:r>
      <w:r>
        <w:t xml:space="preserve"> stakeholders since 98-UBR, the external appeal of provinces for larger quotas turned into internal innovation to improve water efficiency (e.g., drastically increased water-conserving equipment)</w:t>
      </w:r>
      <w:r>
        <w:rPr>
          <w:vertAlign w:val="superscript"/>
        </w:rPr>
        <w:t>33,34</w:t>
      </w:r>
      <w:r>
        <w:t>. Then, the YRCC, the authority for approving water appl</w:t>
      </w:r>
      <w:r>
        <w:t>ications from all stakeholders, could adjust water use quotas according to the river conditions of the whole basin. During this period, proportional decreased water use of provinces decoupled with their ability (reflected by current water use volume), indi</w:t>
      </w:r>
      <w:r>
        <w:t>cating a result of the regulation (see ). The 98-UBR thus led to expected institutional outcomes at a basin scale, indicating that successful governance of SES emerged by indirectly (or vertically) creating links between different stakeholders. Based on th</w:t>
      </w:r>
      <w:r>
        <w:t>e structure, our model demonstrates that a unified scale-matched institution is also indispensable for sustainable water use.</w:t>
      </w:r>
    </w:p>
    <w:p w14:paraId="1C141E12" w14:textId="77777777" w:rsidR="005F5ADD" w:rsidRDefault="00704920">
      <w:pPr>
        <w:pStyle w:val="a0"/>
      </w:pPr>
      <w:r>
        <w:t>We explored causal linkages between SES structures and sustainability-related outcomes by quasi-natural experiments (institutional</w:t>
      </w:r>
      <w:r>
        <w:t xml:space="preserve"> shifts imposed by central government) in the YRB. The YRB provides an informative case for two main reasons: (1) The top-down institutional shifts induced sharp changes in SES structures, enabling us to estimate their net effects quantitatively. (2) Since</w:t>
      </w:r>
      <w:r>
        <w:t xml:space="preserve"> few large river basins have experienced such radical institutional shifts more than once, it provides a valuable natural experiment for understanding the impacts of structural changes in SESs on natural resources.</w:t>
      </w:r>
    </w:p>
    <w:p w14:paraId="4AD26AE3" w14:textId="35311272" w:rsidR="005F5ADD" w:rsidRDefault="00704920">
      <w:pPr>
        <w:pStyle w:val="a0"/>
      </w:pPr>
      <w:r>
        <w:t>The structural building blocks we depicte</w:t>
      </w:r>
      <w:r>
        <w:t>d here (</w:t>
      </w:r>
      <w:r w:rsidR="00952736">
        <w:t>Figure 1</w:t>
      </w:r>
      <w:r>
        <w:t>) have also been reported in other SESs worldwide</w:t>
      </w:r>
      <w:r>
        <w:rPr>
          <w:vertAlign w:val="superscript"/>
        </w:rPr>
        <w:t>18,35,36</w:t>
      </w:r>
      <w:r>
        <w:t>. Before 98-UBR, SES structure (i.e., fragment ecological units linked to separate social actors) was more likely to be mismatched be</w:t>
      </w:r>
      <w:r>
        <w:t>cause isolated actors generally struggle to maintain interconnected ecosystems holistically</w:t>
      </w:r>
      <w:r>
        <w:rPr>
          <w:vertAlign w:val="superscript"/>
        </w:rPr>
        <w:t>37–40</w:t>
      </w:r>
      <w:r>
        <w:t>. Institutional re-alignments since 98-UBR improved YRCC’s authority and helped it match the scale of resource provisioning in the YRB, leading to enhanced soci</w:t>
      </w:r>
      <w:r>
        <w:t>al-ecological fit and better outcomes</w:t>
      </w:r>
      <w:r>
        <w:rPr>
          <w:vertAlign w:val="superscript"/>
        </w:rPr>
        <w:t>7,41</w:t>
      </w:r>
      <w:r>
        <w:t>. The comparison demonstrates again it’s not easy to have a win-win situation in coupled human-nature systems</w:t>
      </w:r>
      <w:r>
        <w:rPr>
          <w:vertAlign w:val="superscript"/>
        </w:rPr>
        <w:t>42</w:t>
      </w:r>
      <w:r>
        <w:t>, which calls for an exceptional understanding of the SES structures</w:t>
      </w:r>
      <w:r>
        <w:rPr>
          <w:vertAlign w:val="superscript"/>
        </w:rPr>
        <w:t>38,40</w:t>
      </w:r>
      <w:r>
        <w:t>.</w:t>
      </w:r>
    </w:p>
    <w:p w14:paraId="055B51D9" w14:textId="77777777" w:rsidR="005F5ADD" w:rsidRDefault="00704920">
      <w:pPr>
        <w:pStyle w:val="2"/>
      </w:pPr>
      <w:bookmarkStart w:id="13" w:name="discussion-4"/>
      <w:r>
        <w:t>3.1</w:t>
      </w:r>
      <w:r>
        <w:tab/>
        <w:t xml:space="preserve">LIMITATION, INSIGHTS AND </w:t>
      </w:r>
      <w:r>
        <w:t>IMPLICATIONS</w:t>
      </w:r>
    </w:p>
    <w:p w14:paraId="1B5F9AF8" w14:textId="77777777" w:rsidR="005F5ADD" w:rsidRDefault="00704920">
      <w:pPr>
        <w:pStyle w:val="FirstParagraph"/>
      </w:pPr>
      <w:r>
        <w:t>In complex coupled human-nature systems, our approach has inevitable limitations. First, the contributions of economic growth and institutional shifts are difficult to compare because of intertwined causality (institutional changes can also in</w:t>
      </w:r>
      <w:r>
        <w:t>fluence the relative economic variables); and second, when applying the DSC method, it is difficult to rule out the effects of other policies over the same time breakpoints (1987 and 1998). Our quasi-experiment approach nonetheless provides evidence suppor</w:t>
      </w:r>
      <w:r>
        <w:t>ting the view that a change in water use trajectory followed the YRB’s unique institutional shifts and offers insights into water governance (and particularly the importance of having a scale-matched, basin-wide authority for water allocation solutions</w:t>
      </w:r>
      <w:r>
        <w:rPr>
          <w:vertAlign w:val="superscript"/>
        </w:rPr>
        <w:t>17,4</w:t>
      </w:r>
      <w:r>
        <w:rPr>
          <w:vertAlign w:val="superscript"/>
        </w:rPr>
        <w:t>3,44</w:t>
      </w:r>
      <w:r>
        <w:t>) Moreover, the ultimate success of the 98-UBR institutional shift theoretically and practically proved the importance of social-ecological fit. For sustainability in the future, therefore, it is necessary to emphasize the necessity of strengthening co</w:t>
      </w:r>
      <w:r>
        <w:t xml:space="preserve">nnections between stakeholders by agents consistent with the scale of the ecological system. From these perspectives, two scenarios based on the marginal benefit analysis (see </w:t>
      </w:r>
      <w:r>
        <w:rPr>
          <w:i/>
          <w:iCs/>
        </w:rPr>
        <w:t>Appendix</w:t>
      </w:r>
      <w:r>
        <w:t xml:space="preserve"> ) can inspire institutional design on how to reduce mismatches. For exa</w:t>
      </w:r>
      <w:r>
        <w:t>mple, water rights transfers may be another way to build horizontal links between stakeholders that also have the potential to result in better water governance. In addition, policymakers can propose more dynamic and flexible institutions to increase the a</w:t>
      </w:r>
      <w:r>
        <w:t>daptation of stakeholders to a changing SES context</w:t>
      </w:r>
      <w:r>
        <w:rPr>
          <w:vertAlign w:val="superscript"/>
        </w:rPr>
        <w:t>44</w:t>
      </w:r>
      <w:r>
        <w:t>.</w:t>
      </w:r>
    </w:p>
    <w:p w14:paraId="3DC8EB38" w14:textId="77777777" w:rsidR="005F5ADD" w:rsidRDefault="00704920">
      <w:pPr>
        <w:pStyle w:val="a0"/>
      </w:pPr>
      <w:r>
        <w:lastRenderedPageBreak/>
        <w:t xml:space="preserve">The structural building blocks that led to different outcomes are recurring motifs in global SESs, so our proposed mechanism is crucial to governing such coupled systems. Calls for a redesign of water </w:t>
      </w:r>
      <w:r>
        <w:t xml:space="preserve">allocation institutions in the YRB in recent years also illustrate the importance of institutional solutions for sustainability (see </w:t>
      </w:r>
      <w:r>
        <w:rPr>
          <w:i/>
          <w:iCs/>
        </w:rPr>
        <w:t>Appendix</w:t>
      </w:r>
      <w:r>
        <w:t xml:space="preserve"> )</w:t>
      </w:r>
      <w:r>
        <w:rPr>
          <w:vertAlign w:val="superscript"/>
        </w:rPr>
        <w:t>45</w:t>
      </w:r>
      <w:r>
        <w:t>. Given the changing environmental context, outdated and inflexible water quotas can no longer meet the demands</w:t>
      </w:r>
      <w:r>
        <w:t xml:space="preserve"> of sustainable development</w:t>
      </w:r>
      <w:r>
        <w:rPr>
          <w:vertAlign w:val="superscript"/>
        </w:rPr>
        <w:t>31</w:t>
      </w:r>
      <w:r>
        <w:t xml:space="preserve">. Thus, the Chinese government has embarked on a plan to redesign its decades-old water allocation institution (see </w:t>
      </w:r>
      <w:r>
        <w:rPr>
          <w:i/>
          <w:iCs/>
        </w:rPr>
        <w:t>Appendix </w:t>
      </w:r>
      <w:r>
        <w:t>). Our analysis suggests that these initiatives can benefit by actively incorporating social-ecologica</w:t>
      </w:r>
      <w:r>
        <w:t>l matched building blocks when developing new institutions</w:t>
      </w:r>
      <w:r>
        <w:rPr>
          <w:vertAlign w:val="superscript"/>
        </w:rPr>
        <w:t>17</w:t>
      </w:r>
      <w:r>
        <w:t>. Moreover, our research provides a cautionary tale of how institutions can create perverse incentives</w:t>
      </w:r>
      <w:r>
        <w:rPr>
          <w:vertAlign w:val="superscript"/>
        </w:rPr>
        <w:t>42</w:t>
      </w:r>
      <w:r>
        <w:t>, while insights from the YRB contribute to improving guidelines for SESs management worldwi</w:t>
      </w:r>
      <w:r>
        <w:t>de</w:t>
      </w:r>
      <w:r>
        <w:rPr>
          <w:vertAlign w:val="superscript"/>
        </w:rPr>
        <w:t>46,47</w:t>
      </w:r>
      <w:r>
        <w:t>.</w:t>
      </w:r>
    </w:p>
    <w:p w14:paraId="5FF495FD" w14:textId="77777777" w:rsidR="005F5ADD" w:rsidRDefault="00704920">
      <w:pPr>
        <w:pStyle w:val="1"/>
      </w:pPr>
      <w:bookmarkStart w:id="14" w:name="sec:conclusion"/>
      <w:bookmarkEnd w:id="12"/>
      <w:bookmarkEnd w:id="13"/>
      <w:r>
        <w:t>4</w:t>
      </w:r>
      <w:r>
        <w:tab/>
        <w:t>CONCLUSION</w:t>
      </w:r>
    </w:p>
    <w:p w14:paraId="452AF229" w14:textId="77777777" w:rsidR="005F5ADD" w:rsidRDefault="00704920">
      <w:pPr>
        <w:pStyle w:val="FirstParagraph"/>
      </w:pPr>
      <w:r>
        <w:t>Intense water use in one of the most anthropogenically altered large river basins, the Yellow River Basin (YRB), once led to drying up. Alterations of institutions eventually successfully restored water governance practices on a decad</w:t>
      </w:r>
      <w:r>
        <w:t>al time scale. We propose that the institutional shifts in the YRB (87-WAS and 98-UBR) framed two different SES structures and depicted them as widespread building blocks. We quantitatively estimate the net effects of these changes in the YRB and analyze t</w:t>
      </w:r>
      <w:r>
        <w:t xml:space="preserve">he reasons from SES structural perspectives. Our results show that the historical records, the responses from stakeholders to structural changes, and the theoretical analysis from the marginal benefits analysis all support that fragmented ecological units </w:t>
      </w:r>
      <w:r>
        <w:t>linked to separate social actors frames a mismatched SES structure. Through the quasi-natural experiments of the YRB, we demonstrate that social-ecological fits can lead to successful SESs management worldwide with better sustainability outcomes.</w:t>
      </w:r>
    </w:p>
    <w:p w14:paraId="1B98F446" w14:textId="77777777" w:rsidR="005F5ADD" w:rsidRDefault="00704920">
      <w:pPr>
        <w:pStyle w:val="1"/>
      </w:pPr>
      <w:bookmarkStart w:id="15" w:name="sec:methods"/>
      <w:bookmarkEnd w:id="14"/>
      <w:r>
        <w:t>5</w:t>
      </w:r>
      <w:r>
        <w:tab/>
        <w:t>MATERIA</w:t>
      </w:r>
      <w:r>
        <w:t>LS AND METHODS</w:t>
      </w:r>
    </w:p>
    <w:p w14:paraId="55DFF20D" w14:textId="77777777" w:rsidR="005F5ADD" w:rsidRDefault="00704920">
      <w:pPr>
        <w:pStyle w:val="FirstParagraph"/>
      </w:pPr>
      <w:r>
        <w:t>We first abstract the SES structures of water used in the YRB from 1979 to 2008, where two institutional shifts split the period into three pieces. To process the data, we use the Principal Components Analysis (PCA) method to reduce the dime</w:t>
      </w:r>
      <w:r>
        <w:t>nsionality of variables affecting the total water use. We then estimated the net effects of two institutional shifts on total water use, changing trends, and differences of the YRB’s provinces, by Differenced Synthetic Control (DSC) method</w:t>
      </w:r>
      <w:r>
        <w:rPr>
          <w:vertAlign w:val="superscript"/>
        </w:rPr>
        <w:t>24</w:t>
      </w:r>
      <w:r>
        <w:t xml:space="preserve">. Finally, for </w:t>
      </w:r>
      <w:r>
        <w:t>theoretical discussion, we developed a marginal benefit analysis based on identified SES structures to provide the observed pattern of water use changes with a theoretical interpretation.</w:t>
      </w:r>
    </w:p>
    <w:p w14:paraId="0B55C7A6" w14:textId="77777777" w:rsidR="005F5ADD" w:rsidRDefault="00704920">
      <w:pPr>
        <w:pStyle w:val="2"/>
      </w:pPr>
      <w:bookmarkStart w:id="16" w:name="sec:structures"/>
      <w:r>
        <w:t>5.1</w:t>
      </w:r>
      <w:r>
        <w:tab/>
        <w:t>Portraying structures</w:t>
      </w:r>
    </w:p>
    <w:p w14:paraId="74D8E67F" w14:textId="77777777" w:rsidR="005F5ADD" w:rsidRDefault="00704920">
      <w:pPr>
        <w:pStyle w:val="FirstParagraph"/>
      </w:pPr>
      <w:r>
        <w:t>We apply the network</w:t>
      </w:r>
      <w:r>
        <w:rPr>
          <w:vertAlign w:val="superscript"/>
        </w:rPr>
        <w:t>17</w:t>
      </w:r>
      <w:r>
        <w:t xml:space="preserve"> approach to portray</w:t>
      </w:r>
      <w:r>
        <w:t xml:space="preserve"> SES structures by abstracting relationships between ecological units (river reaches), stakeholders (provinces), and the administrative unit (the YRCC) into general building blocks (or motifs) (see Figure </w:t>
      </w:r>
      <w:hyperlink w:anchor="framework">
        <w:r>
          <w:rPr>
            <w:rStyle w:val="af2"/>
          </w:rPr>
          <w:t>2</w:t>
        </w:r>
      </w:hyperlink>
      <w:r>
        <w:t>), from the offici</w:t>
      </w:r>
      <w:r>
        <w:t>al documents. Empirical studies have suggested that such widespread building blocks in SES are the key to the functioning of structures. The network-based approach is to abstract connections between entities into links and nodes</w:t>
      </w:r>
      <w:r>
        <w:rPr>
          <w:vertAlign w:val="superscript"/>
        </w:rPr>
        <w:t>18,35,48</w:t>
      </w:r>
      <w:r>
        <w:t xml:space="preserve">. In this study, we </w:t>
      </w:r>
      <w:r>
        <w:t xml:space="preserve">examined the official documents of the two institutional shifts of concern (87-WAS and 98-UBR, see </w:t>
      </w:r>
      <w:r>
        <w:rPr>
          <w:i/>
          <w:iCs/>
        </w:rPr>
        <w:t>Appendix</w:t>
      </w:r>
      <w:r>
        <w:t xml:space="preserve"> for details). Besides the ecologically connected river reaches, the agents (provinces and the YRCC) are abstracted as nodes, and their required inte</w:t>
      </w:r>
      <w:r>
        <w:t xml:space="preserve">ractions regarding water use are summarized as links. The 1987-WAS requires the YRCC to monitor each river’s reach, while the 1998-UBR requires direct interactions (through water use licenses) between the </w:t>
      </w:r>
      <w:r>
        <w:lastRenderedPageBreak/>
        <w:t>YRCC and the provinces. Therefore, we linked the YR</w:t>
      </w:r>
      <w:r>
        <w:t>CC unit to each ecological unit after 87-WAS and each province unit after the 98-UBR. We try to approve that focusing on SES structures rather than institutional details can reasonably interpret the differences caused by institutional shifts in the YRB.</w:t>
      </w:r>
    </w:p>
    <w:p w14:paraId="400F8302" w14:textId="77777777" w:rsidR="005F5ADD" w:rsidRDefault="00704920">
      <w:pPr>
        <w:pStyle w:val="2"/>
      </w:pPr>
      <w:bookmarkStart w:id="17" w:name="sec:dataset"/>
      <w:bookmarkEnd w:id="16"/>
      <w:r>
        <w:t>5.</w:t>
      </w:r>
      <w:r>
        <w:t>2</w:t>
      </w:r>
      <w:r>
        <w:tab/>
        <w:t>Dataset and preprocessing</w:t>
      </w:r>
    </w:p>
    <w:p w14:paraId="2E21BAB8" w14:textId="77777777" w:rsidR="005F5ADD" w:rsidRDefault="00704920">
      <w:pPr>
        <w:pStyle w:val="FirstParagraph"/>
      </w:pPr>
      <w:r>
        <w:t xml:space="preserve">We choose datasets and variables to compare on actual and estimated water use of the YRB. The actual water uses are accessible in China’s provincial annual water consumption dataset from the National Water Resources Utilization </w:t>
      </w:r>
      <w:r>
        <w:t>Survey, whose details are accessible from Zhou (2020)</w:t>
      </w:r>
      <w:r>
        <w:rPr>
          <w:vertAlign w:val="superscript"/>
        </w:rPr>
        <w:t>49</w:t>
      </w:r>
      <w:r>
        <w:t>. To estimate the water use of the YRB by assuming there were no effects from institutional shifts, we focused on variables from five categories (environmental, economic, domestic, and technological) w</w:t>
      </w:r>
      <w:r>
        <w:t>ater use factors. Their specific items and origins are listed in Table </w:t>
      </w:r>
      <w:hyperlink w:anchor="tab:variables">
        <w:r>
          <w:rPr>
            <w:rStyle w:val="af2"/>
          </w:rPr>
          <w:t>[tab:variables]</w:t>
        </w:r>
      </w:hyperlink>
      <w:r>
        <w:t>.</w:t>
      </w:r>
    </w:p>
    <w:p w14:paraId="5F04FA43" w14:textId="77777777" w:rsidR="005F5ADD" w:rsidRDefault="00704920">
      <w:pPr>
        <w:pStyle w:val="a0"/>
      </w:pPr>
      <w:r>
        <w:t xml:space="preserve">Among the total </w:t>
      </w:r>
      <m:oMath>
        <m:r>
          <w:rPr>
            <w:rFonts w:ascii="Cambria Math" w:hAnsi="Cambria Math"/>
          </w:rPr>
          <m:t>31</m:t>
        </m:r>
      </m:oMath>
      <w:r>
        <w:t xml:space="preserve"> </w:t>
      </w:r>
      <w:r>
        <w:t xml:space="preserve">data-accessible provinces (or regions) assigned quotas in the 87-WAS and the 98-UBR, we dropped Sichuan, Tianjin, and Beijing because of their trivial water use from the YRB (see </w:t>
      </w:r>
      <w:r>
        <w:rPr>
          <w:i/>
          <w:iCs/>
        </w:rPr>
        <w:t>Appendix</w:t>
      </w:r>
      <w:r>
        <w:t> Table </w:t>
      </w:r>
      <w:hyperlink w:anchor="tab:quota">
        <w:r>
          <w:rPr>
            <w:rStyle w:val="af2"/>
          </w:rPr>
          <w:t>[tab:quota]</w:t>
        </w:r>
      </w:hyperlink>
      <w:r>
        <w:t xml:space="preserve">). We then divided </w:t>
      </w:r>
      <w:r>
        <w:t xml:space="preserve">the dataset into a “target group” and a “control group”, treating provinces involved in water quota as the target group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8</m:t>
            </m:r>
          </m:e>
        </m:d>
      </m:oMath>
      <w:r>
        <w:t xml:space="preserve"> and other provinces as the control group </w:t>
      </w:r>
      <m:oMath>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20</m:t>
            </m:r>
          </m:e>
        </m:d>
      </m:oMath>
      <w:r>
        <w:t xml:space="preserve"> for applying the DSC.</w:t>
      </w:r>
    </w:p>
    <w:p w14:paraId="5D01B8E0" w14:textId="77777777" w:rsidR="005F5ADD" w:rsidRDefault="00704920">
      <w:pPr>
        <w:pStyle w:val="a0"/>
      </w:pPr>
      <w:r>
        <w:t>Using the normalized data of all variables, we performed the P</w:t>
      </w:r>
      <w:r>
        <w:t xml:space="preserve">CA reduction to capture </w:t>
      </w:r>
      <m:oMath>
        <m:r>
          <w:rPr>
            <w:rFonts w:ascii="Cambria Math" w:hAnsi="Cambria Math"/>
          </w:rPr>
          <m:t>89.63</m:t>
        </m:r>
        <m:r>
          <m:rPr>
            <m:sty m:val="p"/>
          </m:rPr>
          <w:rPr>
            <w:rFonts w:ascii="Cambria Math" w:hAnsi="Cambria Math"/>
          </w:rPr>
          <m:t>%</m:t>
        </m:r>
      </m:oMath>
      <w:r>
        <w:t xml:space="preserve"> explained variance by </w:t>
      </w:r>
      <m:oMath>
        <m:r>
          <w:rPr>
            <w:rFonts w:ascii="Cambria Math" w:hAnsi="Cambria Math"/>
          </w:rPr>
          <m:t>5</m:t>
        </m:r>
      </m:oMath>
      <w:r>
        <w:t xml:space="preserve"> principal components </w:t>
      </w:r>
      <w:r>
        <w:rPr>
          <w:i/>
          <w:iCs/>
        </w:rPr>
        <w:t>Appendix </w:t>
      </w:r>
      <w:r>
        <w:t>. Bayan had proved that combining PCA and DSC can raise the robustness of causal inference</w:t>
      </w:r>
      <w:r>
        <w:rPr>
          <w:vertAlign w:val="superscript"/>
        </w:rPr>
        <w:t>50</w:t>
      </w:r>
      <w:r>
        <w:t>. We first applied the Zero-Mean normalization (unit variance), as the variable</w:t>
      </w:r>
      <w:r>
        <w:t>s’ units are far different. Then, we apply PCA to the multi-year average of each province, using the Elbow method to decide the number of the principal components (</w:t>
      </w:r>
      <w:r>
        <w:rPr>
          <w:i/>
          <w:iCs/>
        </w:rPr>
        <w:t>Appendix  Figure </w:t>
      </w:r>
      <w:hyperlink w:anchor="fig:elbow">
        <w:r>
          <w:rPr>
            <w:rStyle w:val="af2"/>
            <w:i/>
            <w:iCs/>
          </w:rPr>
          <w:t>[fig:elbow]</w:t>
        </w:r>
      </w:hyperlink>
      <w:r>
        <w:t>). Finally, we transform the dat</w:t>
      </w:r>
      <w:r>
        <w:t>aset and input the dimensions-reduced output into the DSC model.</w:t>
      </w:r>
    </w:p>
    <w:p w14:paraId="261E4FBB" w14:textId="77777777" w:rsidR="005F5ADD" w:rsidRDefault="00704920">
      <w:pPr>
        <w:pStyle w:val="2"/>
      </w:pPr>
      <w:bookmarkStart w:id="18" w:name="sec:DSC"/>
      <w:bookmarkEnd w:id="17"/>
      <w:r>
        <w:t>5.3</w:t>
      </w:r>
      <w:r>
        <w:tab/>
        <w:t>Differenced Synthetic Control</w:t>
      </w:r>
    </w:p>
    <w:p w14:paraId="73E5710D" w14:textId="77777777" w:rsidR="005F5ADD" w:rsidRDefault="00704920">
      <w:pPr>
        <w:pStyle w:val="FirstParagraph"/>
      </w:pPr>
      <w:r>
        <w:t>Using the Differenced Synthetic Control (DSC) method, we estimate water use without the effect of the institutional shift. The DSC method is an effective ide</w:t>
      </w:r>
      <w:r>
        <w:t>ntification strategy for estimating the net effect of historical events or policy interventions on aggregate units (such as cities, regions, and countries) by constructing a comparable control unit</w:t>
      </w:r>
      <w:r>
        <w:rPr>
          <w:vertAlign w:val="superscript"/>
        </w:rPr>
        <w:t>25,26,51</w:t>
      </w:r>
      <w:r>
        <w:t>.</w:t>
      </w:r>
    </w:p>
    <w:p w14:paraId="442F01CC" w14:textId="77777777" w:rsidR="005F5ADD" w:rsidRDefault="00704920">
      <w:pPr>
        <w:pStyle w:val="a0"/>
      </w:pPr>
      <w:r>
        <w:t>This method aims to evaluate the effects of polic</w:t>
      </w:r>
      <w:r>
        <w:t>y change that are not random across units but focuses on some of them (i.e., institutional shifts in the YRB here). By re-weighting units to match the pre-trend for the treated and control units, the DSC method imputes post-treatment control outcomes for t</w:t>
      </w:r>
      <w:r>
        <w:t>he treated unit(s) by constructing a synthetic version of the treated unit(s) equal to a convex combination of control units. Therefore, the synthetic and actual version difference can be estimated as a net effect for a treated unit.</w:t>
      </w:r>
    </w:p>
    <w:p w14:paraId="5A64D589" w14:textId="77777777" w:rsidR="005F5ADD" w:rsidRDefault="00704920">
      <w:pPr>
        <w:pStyle w:val="a0"/>
      </w:pPr>
      <w:r>
        <w:t>In practice, all treat</w:t>
      </w:r>
      <w:r>
        <w:t xml:space="preserve">ed units (i.e., provinces) were affected by institutional shifts in 1987 and 1998, each taken as the “shifted” time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within two individually analyzed periods </w:t>
      </w:r>
      <m:oMath>
        <m:r>
          <w:rPr>
            <w:rFonts w:ascii="Cambria Math" w:hAnsi="Cambria Math"/>
          </w:rPr>
          <m:t>T</m:t>
        </m:r>
      </m:oMath>
      <w:r>
        <w:t>: 1979-1998; 1987-2008. We include each province in the YRB (</w:t>
      </w:r>
      <m:oMath>
        <m:r>
          <w:rPr>
            <w:rFonts w:ascii="Cambria Math" w:hAnsi="Cambria Math"/>
          </w:rPr>
          <m:t>n</m:t>
        </m:r>
        <m:r>
          <m:rPr>
            <m:sty m:val="p"/>
          </m:rPr>
          <w:rPr>
            <w:rFonts w:ascii="Cambria Math" w:hAnsi="Cambria Math"/>
          </w:rPr>
          <m:t>=</m:t>
        </m:r>
        <m:r>
          <w:rPr>
            <w:rFonts w:ascii="Cambria Math" w:hAnsi="Cambria Math"/>
          </w:rPr>
          <m:t>8</m:t>
        </m:r>
      </m:oMath>
      <w:r>
        <w:t xml:space="preserve">, see ) as the treated unit </w:t>
      </w:r>
      <w:r>
        <w:t>separately, as multiple treated units approach had been widely applied</w:t>
      </w:r>
      <w:r>
        <w:rPr>
          <w:vertAlign w:val="superscript"/>
        </w:rPr>
        <w:t>52</w:t>
      </w:r>
      <w:r>
        <w:t xml:space="preserve">. Then, we consider the </w:t>
      </w:r>
      <m:oMath>
        <m:r>
          <w:rPr>
            <w:rFonts w:ascii="Cambria Math" w:hAnsi="Cambria Math"/>
          </w:rPr>
          <m:t>J</m:t>
        </m:r>
        <m:r>
          <m:rPr>
            <m:sty m:val="p"/>
          </m:rPr>
          <w:rPr>
            <w:rFonts w:ascii="Cambria Math" w:hAnsi="Cambria Math"/>
          </w:rPr>
          <m:t>+</m:t>
        </m:r>
        <m:r>
          <w:rPr>
            <w:rFonts w:ascii="Cambria Math" w:hAnsi="Cambria Math"/>
          </w:rPr>
          <m:t>1</m:t>
        </m:r>
      </m:oMath>
      <w:r>
        <w:t xml:space="preserve"> units observed in time periods </w:t>
      </w:r>
      <m:oMath>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m:rPr>
            <m:sty m:val="p"/>
          </m:rPr>
          <w:rPr>
            <w:rFonts w:ascii="Cambria Math" w:hAnsi="Cambria Math"/>
          </w:rPr>
          <m:t>,</m:t>
        </m:r>
        <m:r>
          <w:rPr>
            <w:rFonts w:ascii="Cambria Math" w:hAnsi="Cambria Math"/>
          </w:rPr>
          <m:t>T</m:t>
        </m:r>
      </m:oMath>
      <w:r>
        <w:t xml:space="preserve"> with the remaining </w:t>
      </w:r>
      <m:oMath>
        <m:r>
          <w:rPr>
            <w:rFonts w:ascii="Cambria Math" w:hAnsi="Cambria Math"/>
          </w:rPr>
          <m:t>J</m:t>
        </m:r>
        <m:r>
          <m:rPr>
            <m:sty m:val="p"/>
          </m:rPr>
          <w:rPr>
            <w:rFonts w:ascii="Cambria Math" w:hAnsi="Cambria Math"/>
          </w:rPr>
          <m:t>=</m:t>
        </m:r>
        <m:r>
          <w:rPr>
            <w:rFonts w:ascii="Cambria Math" w:hAnsi="Cambria Math"/>
          </w:rPr>
          <m:t>20</m:t>
        </m:r>
      </m:oMath>
      <w:r>
        <w:t xml:space="preserve"> units are untreated provinces from outside. We define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to represent the number of pre</w:t>
      </w:r>
      <w:r>
        <w:t>-treatment periods (</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the number post-treatment periods (</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T</m:t>
        </m:r>
      </m:oMath>
      <w:r>
        <w:t xml:space="preserve">), such that </w:t>
      </w:r>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w:r>
        <w:t xml:space="preserve">The treated unit is exposed to the institutional shift in every post-treatment period </w:t>
      </w:r>
      <m:oMath>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unaffected by the institutional shift in all preceding periods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Then, any weighted average of the control units is a synthetic control and can be represented by </w:t>
      </w:r>
      <w:r>
        <w:t>a (</w:t>
      </w:r>
      <m:oMath>
        <m:r>
          <w:rPr>
            <w:rFonts w:ascii="Cambria Math" w:hAnsi="Cambria Math"/>
          </w:rPr>
          <m:t>J</m:t>
        </m:r>
        <m:r>
          <m:rPr>
            <m:sty m:val="p"/>
          </m:rPr>
          <w:rPr>
            <w:rFonts w:ascii="Cambria Math" w:hAnsi="Cambria Math"/>
          </w:rPr>
          <m:t>*</m:t>
        </m:r>
        <m:r>
          <w:rPr>
            <w:rFonts w:ascii="Cambria Math" w:hAnsi="Cambria Math"/>
          </w:rPr>
          <m:t>1</m:t>
        </m:r>
      </m:oMath>
      <w:r>
        <w:t xml:space="preserve">) vector of weights </w:t>
      </w:r>
      <m:oMath>
        <m:r>
          <m:rPr>
            <m:sty m:val="b"/>
          </m:rPr>
          <w:rPr>
            <w:rFonts w:ascii="Cambria Math" w:hAnsi="Cambria Math"/>
          </w:rPr>
          <w:lastRenderedPageBreak/>
          <m:t>W</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e>
        </m:d>
      </m:oMath>
      <w:r>
        <w:t xml:space="preserve">, with </w:t>
      </w:r>
      <m:oMath>
        <m:sSub>
          <m:sSubPr>
            <m:ctrlPr>
              <w:rPr>
                <w:rFonts w:ascii="Cambria Math" w:hAnsi="Cambria Math"/>
              </w:rPr>
            </m:ctrlPr>
          </m:sSubPr>
          <m:e>
            <m:r>
              <w:rPr>
                <w:rFonts w:ascii="Cambria Math" w:hAnsi="Cambria Math"/>
              </w:rPr>
              <m:t>w</m:t>
            </m:r>
          </m:e>
          <m:sub>
            <m:r>
              <w:rPr>
                <w:rFonts w:ascii="Cambria Math" w:hAnsi="Cambria Math"/>
              </w:rPr>
              <m:t>j</m:t>
            </m:r>
          </m:sub>
        </m:sSub>
        <m:r>
          <m:rPr>
            <m:sty m:val="p"/>
          </m:rPr>
          <w:rPr>
            <w:rFonts w:ascii="Cambria Math" w:hAnsi="Cambria Math"/>
          </w:rPr>
          <m: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Among them, by introduce a (</w:t>
      </w:r>
      <m:oMath>
        <m:r>
          <w:rPr>
            <w:rFonts w:ascii="Cambria Math" w:hAnsi="Cambria Math"/>
          </w:rPr>
          <m:t>k</m:t>
        </m:r>
        <m:r>
          <m:rPr>
            <m:sty m:val="p"/>
          </m:rPr>
          <w:rPr>
            <w:rFonts w:ascii="Cambria Math" w:hAnsi="Cambria Math"/>
          </w:rPr>
          <m:t>*</m:t>
        </m:r>
        <m:r>
          <w:rPr>
            <w:rFonts w:ascii="Cambria Math" w:hAnsi="Cambria Math"/>
          </w:rPr>
          <m:t>k</m:t>
        </m:r>
      </m:oMath>
      <w:r>
        <w:t xml:space="preserve">) diagonal, semidefinite matrix </w:t>
      </w:r>
      <m:oMath>
        <m:r>
          <m:rPr>
            <m:sty m:val="b"/>
          </m:rPr>
          <w:rPr>
            <w:rFonts w:ascii="Cambria Math" w:hAnsi="Cambria Math"/>
          </w:rPr>
          <m:t>V</m:t>
        </m:r>
      </m:oMath>
      <w:r>
        <w:t xml:space="preserve"> that signifies the relative importance of each covariate, the DSC method procedure for finding the optimal synthetic control (</w:t>
      </w:r>
      <m:oMath>
        <m:r>
          <w:rPr>
            <w:rFonts w:ascii="Cambria Math" w:hAnsi="Cambria Math"/>
          </w:rPr>
          <m:t>W</m:t>
        </m:r>
      </m:oMath>
      <w:r>
        <w:t>)</w:t>
      </w:r>
      <w:r>
        <w:t xml:space="preserve"> is expressed as follows:</w:t>
      </w:r>
    </w:p>
    <w:tbl>
      <w:tblPr>
        <w:tblStyle w:val="Table"/>
        <w:tblW w:w="4950" w:type="pct"/>
        <w:tblLook w:val="0000" w:firstRow="0" w:lastRow="0" w:firstColumn="0" w:lastColumn="0" w:noHBand="0" w:noVBand="0"/>
      </w:tblPr>
      <w:tblGrid>
        <w:gridCol w:w="8227"/>
        <w:gridCol w:w="918"/>
      </w:tblGrid>
      <w:tr w:rsidR="005F5ADD" w14:paraId="0580A26A" w14:textId="77777777">
        <w:tc>
          <w:tcPr>
            <w:tcW w:w="0" w:type="auto"/>
          </w:tcPr>
          <w:p w14:paraId="6960CE38" w14:textId="77777777" w:rsidR="005F5ADD" w:rsidRDefault="00704920">
            <w:pPr>
              <w:pStyle w:val="Compact"/>
              <w:jc w:val="center"/>
            </w:pPr>
            <m:oMathPara>
              <m:oMathParaPr>
                <m:jc m:val="center"/>
              </m:oMathParaPr>
              <m:oMath>
                <m:sSup>
                  <m:sSupPr>
                    <m:ctrlPr>
                      <w:rPr>
                        <w:rFonts w:ascii="Cambria Math" w:hAnsi="Cambria Math"/>
                      </w:rPr>
                    </m:ctrlPr>
                  </m:sSupPr>
                  <m:e>
                    <m:r>
                      <m:rPr>
                        <m:sty m:val="b"/>
                      </m:rPr>
                      <w:rPr>
                        <w:rFonts w:ascii="Cambria Math" w:hAnsi="Cambria Math"/>
                      </w:rPr>
                      <m:t>W</m:t>
                    </m:r>
                  </m:e>
                  <m:sup>
                    <m:r>
                      <m:rPr>
                        <m:sty m:val="b"/>
                      </m:rPr>
                      <w:rPr>
                        <w:rFonts w:ascii="Cambria Math" w:hAnsi="Cambria Math"/>
                      </w:rPr>
                      <m:t>*</m:t>
                    </m:r>
                  </m:sup>
                </m:sSup>
                <m:d>
                  <m:dPr>
                    <m:ctrlPr>
                      <w:rPr>
                        <w:rFonts w:ascii="Cambria Math" w:hAnsi="Cambria Math"/>
                      </w:rPr>
                    </m:ctrlPr>
                  </m:dPr>
                  <m:e>
                    <m:r>
                      <m:rPr>
                        <m:sty m:val="b"/>
                      </m:rPr>
                      <w:rPr>
                        <w:rFonts w:ascii="Cambria Math" w:hAnsi="Cambria Math"/>
                      </w:rPr>
                      <m:t>V</m:t>
                    </m:r>
                  </m:e>
                </m:d>
                <m:r>
                  <m:rPr>
                    <m:sty m:val="p"/>
                  </m:rPr>
                  <w:rPr>
                    <w:rFonts w:ascii="Cambria Math" w:hAnsi="Cambria Math"/>
                  </w:rPr>
                  <m:t>=</m:t>
                </m:r>
                <m:limLow>
                  <m:limLowPr>
                    <m:ctrlPr>
                      <w:rPr>
                        <w:rFonts w:ascii="Cambria Math" w:hAnsi="Cambria Math"/>
                      </w:rPr>
                    </m:ctrlPr>
                  </m:limLowPr>
                  <m:e>
                    <m:r>
                      <m:rPr>
                        <m:sty m:val="p"/>
                      </m:rPr>
                      <w:rPr>
                        <w:rFonts w:ascii="Cambria Math" w:hAnsi="Cambria Math"/>
                      </w:rPr>
                      <m:t>minimize</m:t>
                    </m:r>
                  </m:e>
                  <m:lim>
                    <m:r>
                      <m:rPr>
                        <m:sty m:val="b"/>
                      </m:rPr>
                      <w:rPr>
                        <w:rFonts w:ascii="Cambria Math" w:hAnsi="Cambria Math"/>
                      </w:rPr>
                      <m:t>W</m:t>
                    </m:r>
                    <m:r>
                      <m:rPr>
                        <m:sty m:val="p"/>
                      </m:rPr>
                      <w:rPr>
                        <w:rFonts w:ascii="Cambria Math" w:hAnsi="Cambria Math"/>
                      </w:rPr>
                      <m:t>∈</m:t>
                    </m:r>
                    <m:r>
                      <m:rPr>
                        <m:scr m:val="script"/>
                        <m:sty m:val="p"/>
                      </m:rPr>
                      <w:rPr>
                        <w:rFonts w:ascii="Cambria Math" w:hAnsi="Cambria Math"/>
                      </w:rPr>
                      <m:t>W</m:t>
                    </m:r>
                  </m:lim>
                </m:limLow>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b"/>
                              </m:rPr>
                              <w:rPr>
                                <w:rFonts w:ascii="Cambria Math" w:hAnsi="Cambria Math"/>
                              </w:rPr>
                              <m:t>0</m:t>
                            </m:r>
                          </m:sub>
                        </m:sSub>
                        <m:r>
                          <m:rPr>
                            <m:sty m:val="b"/>
                          </m:rPr>
                          <w:rPr>
                            <w:rFonts w:ascii="Cambria Math" w:hAnsi="Cambria Math"/>
                          </w:rPr>
                          <m:t>W</m:t>
                        </m:r>
                      </m:e>
                    </m:d>
                  </m:e>
                  <m:sup>
                    <m:r>
                      <m:rPr>
                        <m:sty m:val="p"/>
                      </m:rPr>
                      <w:rPr>
                        <w:rFonts w:ascii="Cambria Math" w:hAnsi="Cambria Math"/>
                      </w:rPr>
                      <m:t>'</m:t>
                    </m:r>
                  </m:sup>
                </m:sSup>
                <m:r>
                  <m:rPr>
                    <m:sty m:val="b"/>
                  </m:rPr>
                  <w:rPr>
                    <w:rFonts w:ascii="Cambria Math" w:hAnsi="Cambria Math"/>
                  </w:rPr>
                  <m:t>V</m:t>
                </m:r>
                <m:d>
                  <m:dPr>
                    <m:ctrlPr>
                      <w:rPr>
                        <w:rFonts w:ascii="Cambria Math" w:hAnsi="Cambria Math"/>
                      </w:rPr>
                    </m:ctrlPr>
                  </m:dPr>
                  <m:e>
                    <m:sSub>
                      <m:sSubPr>
                        <m:ctrlPr>
                          <w:rPr>
                            <w:rFonts w:ascii="Cambria Math" w:hAnsi="Cambria Math"/>
                          </w:rPr>
                        </m:ctrlPr>
                      </m:sSubPr>
                      <m:e>
                        <m:r>
                          <m:rPr>
                            <m:sty m:val="b"/>
                          </m:rPr>
                          <w:rPr>
                            <w:rFonts w:ascii="Cambria Math" w:hAnsi="Cambria Math"/>
                          </w:rPr>
                          <m:t>X</m:t>
                        </m:r>
                      </m:e>
                      <m:sub>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X</m:t>
                        </m:r>
                      </m:e>
                      <m:sub>
                        <m:r>
                          <m:rPr>
                            <m:sty m:val="b"/>
                          </m:rPr>
                          <w:rPr>
                            <w:rFonts w:ascii="Cambria Math" w:hAnsi="Cambria Math"/>
                          </w:rPr>
                          <m:t>0</m:t>
                        </m:r>
                      </m:sub>
                    </m:sSub>
                    <m:r>
                      <m:rPr>
                        <m:sty m:val="b"/>
                      </m:rPr>
                      <w:rPr>
                        <w:rFonts w:ascii="Cambria Math" w:hAnsi="Cambria Math"/>
                      </w:rPr>
                      <m:t>W</m:t>
                    </m:r>
                  </m:e>
                </m:d>
              </m:oMath>
            </m:oMathPara>
          </w:p>
        </w:tc>
        <w:tc>
          <w:tcPr>
            <w:tcW w:w="0" w:type="auto"/>
            <w:vAlign w:val="center"/>
          </w:tcPr>
          <w:p w14:paraId="41D4384C" w14:textId="77777777" w:rsidR="005F5ADD" w:rsidRDefault="00704920">
            <w:pPr>
              <w:pStyle w:val="Compact"/>
              <w:jc w:val="right"/>
            </w:pPr>
            <m:oMathPara>
              <m:oMathParaPr>
                <m:jc m:val="center"/>
              </m:oMathParaPr>
              <m:oMath>
                <m:d>
                  <m:dPr>
                    <m:ctrlPr>
                      <w:rPr>
                        <w:rFonts w:ascii="Cambria Math" w:hAnsi="Cambria Math"/>
                      </w:rPr>
                    </m:ctrlPr>
                  </m:dPr>
                  <m:e>
                    <m:r>
                      <w:rPr>
                        <w:rFonts w:ascii="Cambria Math" w:hAnsi="Cambria Math"/>
                      </w:rPr>
                      <m:t>1</m:t>
                    </m:r>
                  </m:e>
                </m:d>
              </m:oMath>
            </m:oMathPara>
          </w:p>
        </w:tc>
      </w:tr>
    </w:tbl>
    <w:p w14:paraId="32E37814" w14:textId="77777777" w:rsidR="005F5ADD" w:rsidRDefault="00704920">
      <w:pPr>
        <w:pStyle w:val="FirstParagraph"/>
      </w:pPr>
      <w:r>
        <w:t xml:space="preserve">where </w:t>
      </w:r>
      <m:oMath>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d>
          <m:dPr>
            <m:ctrlPr>
              <w:rPr>
                <w:rFonts w:ascii="Cambria Math" w:hAnsi="Cambria Math"/>
              </w:rPr>
            </m:ctrlPr>
          </m:dPr>
          <m:e>
            <m:r>
              <w:rPr>
                <w:rFonts w:ascii="Cambria Math" w:hAnsi="Cambria Math"/>
              </w:rPr>
              <m:t>V</m:t>
            </m:r>
          </m:e>
        </m:d>
      </m:oMath>
      <w:r>
        <w:t xml:space="preserve"> is the vector of weights </w:t>
      </w:r>
      <m:oMath>
        <m:r>
          <m:rPr>
            <m:sty m:val="b"/>
          </m:rPr>
          <w:rPr>
            <w:rFonts w:ascii="Cambria Math" w:hAnsi="Cambria Math"/>
          </w:rPr>
          <m:t>W</m:t>
        </m:r>
      </m:oMath>
      <w:r>
        <w:t xml:space="preserve"> </w:t>
      </w:r>
      <w:r>
        <w:t xml:space="preserve">that minimizes the difference between the pre-treatment characteristics of the treated unit and the synthetic control, given </w:t>
      </w:r>
      <m:oMath>
        <m:r>
          <m:rPr>
            <m:sty m:val="b"/>
          </m:rPr>
          <w:rPr>
            <w:rFonts w:ascii="Cambria Math" w:hAnsi="Cambria Math"/>
          </w:rPr>
          <m:t>V</m:t>
        </m:r>
      </m:oMath>
      <w:r>
        <w:t xml:space="preserve">. That is, </w:t>
      </w:r>
      <m:oMath>
        <m:sSup>
          <m:sSupPr>
            <m:ctrlPr>
              <w:rPr>
                <w:rFonts w:ascii="Cambria Math" w:hAnsi="Cambria Math"/>
              </w:rPr>
            </m:ctrlPr>
          </m:sSupPr>
          <m:e>
            <m:r>
              <m:rPr>
                <m:sty m:val="b"/>
              </m:rPr>
              <w:rPr>
                <w:rFonts w:ascii="Cambria Math" w:hAnsi="Cambria Math"/>
              </w:rPr>
              <m:t>W</m:t>
            </m:r>
          </m:e>
          <m:sup>
            <m:r>
              <m:rPr>
                <m:sty m:val="b"/>
              </m:rPr>
              <w:rPr>
                <w:rFonts w:ascii="Cambria Math" w:hAnsi="Cambria Math"/>
              </w:rPr>
              <m:t>*</m:t>
            </m:r>
          </m:sup>
        </m:sSup>
      </m:oMath>
      <w:r>
        <w:t xml:space="preserve"> depends on the choice of </w:t>
      </w:r>
      <m:oMath>
        <m:r>
          <m:rPr>
            <m:sty m:val="b"/>
          </m:rPr>
          <w:rPr>
            <w:rFonts w:ascii="Cambria Math" w:hAnsi="Cambria Math"/>
          </w:rPr>
          <m:t>V</m:t>
        </m:r>
      </m:oMath>
      <w:r>
        <w:t xml:space="preserve"> –hence the notation </w:t>
      </w:r>
      <m:oMath>
        <m:r>
          <m:rPr>
            <m:sty m:val="b"/>
          </m:rPr>
          <w:rPr>
            <w:rFonts w:ascii="Cambria Math" w:hAnsi="Cambria Math"/>
          </w:rPr>
          <m:t>W</m:t>
        </m:r>
        <m:r>
          <m:rPr>
            <m:sty m:val="b"/>
          </m:rPr>
          <w:rPr>
            <w:rFonts w:ascii="Cambria Math" w:hAnsi="Cambria Math"/>
          </w:rPr>
          <m:t>*</m:t>
        </m:r>
        <m:d>
          <m:dPr>
            <m:ctrlPr>
              <w:rPr>
                <w:rFonts w:ascii="Cambria Math" w:hAnsi="Cambria Math"/>
              </w:rPr>
            </m:ctrlPr>
          </m:dPr>
          <m:e>
            <m:r>
              <m:rPr>
                <m:sty m:val="b"/>
              </m:rPr>
              <w:rPr>
                <w:rFonts w:ascii="Cambria Math" w:hAnsi="Cambria Math"/>
              </w:rPr>
              <m:t>V</m:t>
            </m:r>
          </m:e>
        </m:d>
      </m:oMath>
      <w:r>
        <w:t xml:space="preserve">. Therefore, we choose </w:t>
      </w:r>
      <m:oMath>
        <m:sSup>
          <m:sSupPr>
            <m:ctrlPr>
              <w:rPr>
                <w:rFonts w:ascii="Cambria Math" w:hAnsi="Cambria Math"/>
              </w:rPr>
            </m:ctrlPr>
          </m:sSupPr>
          <m:e>
            <m:r>
              <m:rPr>
                <m:sty m:val="b"/>
              </m:rPr>
              <w:rPr>
                <w:rFonts w:ascii="Cambria Math" w:hAnsi="Cambria Math"/>
              </w:rPr>
              <m:t>V</m:t>
            </m:r>
          </m:e>
          <m:sup>
            <m:r>
              <m:rPr>
                <m:sty m:val="b"/>
              </m:rPr>
              <w:rPr>
                <w:rFonts w:ascii="Cambria Math" w:hAnsi="Cambria Math"/>
              </w:rPr>
              <m:t>*</m:t>
            </m:r>
          </m:sup>
        </m:sSup>
      </m:oMath>
      <w:r>
        <w:t xml:space="preserve"> to be the </w:t>
      </w:r>
      <m:oMath>
        <m:r>
          <m:rPr>
            <m:sty m:val="b"/>
          </m:rPr>
          <w:rPr>
            <w:rFonts w:ascii="Cambria Math" w:hAnsi="Cambria Math"/>
          </w:rPr>
          <m:t>V</m:t>
        </m:r>
      </m:oMath>
      <w:r>
        <w:t xml:space="preserve"> that results in </w:t>
      </w:r>
      <m:oMath>
        <m:r>
          <m:rPr>
            <m:sty m:val="b"/>
          </m:rPr>
          <w:rPr>
            <w:rFonts w:ascii="Cambria Math" w:hAnsi="Cambria Math"/>
          </w:rPr>
          <m:t>W</m:t>
        </m:r>
        <m:r>
          <m:rPr>
            <m:sty m:val="b"/>
          </m:rPr>
          <w:rPr>
            <w:rFonts w:ascii="Cambria Math" w:hAnsi="Cambria Math"/>
          </w:rPr>
          <m:t>*</m:t>
        </m:r>
        <m:d>
          <m:dPr>
            <m:ctrlPr>
              <w:rPr>
                <w:rFonts w:ascii="Cambria Math" w:hAnsi="Cambria Math"/>
              </w:rPr>
            </m:ctrlPr>
          </m:dPr>
          <m:e>
            <m:r>
              <m:rPr>
                <m:sty m:val="b"/>
              </m:rPr>
              <w:rPr>
                <w:rFonts w:ascii="Cambria Math" w:hAnsi="Cambria Math"/>
              </w:rPr>
              <m:t>V</m:t>
            </m:r>
          </m:e>
        </m:d>
      </m:oMath>
      <w:r>
        <w:t xml:space="preserve"> that minimizes the following expression:</w:t>
      </w:r>
    </w:p>
    <w:tbl>
      <w:tblPr>
        <w:tblStyle w:val="Table"/>
        <w:tblW w:w="4950" w:type="pct"/>
        <w:tblLook w:val="0000" w:firstRow="0" w:lastRow="0" w:firstColumn="0" w:lastColumn="0" w:noHBand="0" w:noVBand="0"/>
      </w:tblPr>
      <w:tblGrid>
        <w:gridCol w:w="8233"/>
        <w:gridCol w:w="912"/>
      </w:tblGrid>
      <w:tr w:rsidR="005F5ADD" w14:paraId="0501216D" w14:textId="77777777">
        <w:tc>
          <w:tcPr>
            <w:tcW w:w="0" w:type="auto"/>
          </w:tcPr>
          <w:p w14:paraId="5B825A40" w14:textId="77777777" w:rsidR="005F5ADD" w:rsidRDefault="00704920">
            <w:pPr>
              <w:pStyle w:val="Compact"/>
              <w:jc w:val="center"/>
            </w:pPr>
            <m:oMathPara>
              <m:oMathParaPr>
                <m:jc m:val="center"/>
              </m:oMathParaPr>
              <m:oMath>
                <m:sSup>
                  <m:sSupPr>
                    <m:ctrlPr>
                      <w:rPr>
                        <w:rFonts w:ascii="Cambria Math" w:hAnsi="Cambria Math"/>
                      </w:rPr>
                    </m:ctrlPr>
                  </m:sSupPr>
                  <m:e>
                    <m:r>
                      <m:rPr>
                        <m:sty m:val="b"/>
                      </m:rPr>
                      <w:rPr>
                        <w:rFonts w:ascii="Cambria Math" w:hAnsi="Cambria Math"/>
                      </w:rPr>
                      <m:t>V</m:t>
                    </m:r>
                  </m:e>
                  <m:sup>
                    <m:r>
                      <m:rPr>
                        <m:sty m:val="p"/>
                      </m:rPr>
                      <w:rPr>
                        <w:rFonts w:ascii="Cambria Math" w:hAnsi="Cambria Math"/>
                      </w:rPr>
                      <m:t>*</m:t>
                    </m:r>
                  </m:sup>
                </m:sSup>
                <m:r>
                  <m:rPr>
                    <m:sty m:val="p"/>
                  </m:rPr>
                  <w:rPr>
                    <w:rFonts w:ascii="Cambria Math" w:hAnsi="Cambria Math"/>
                  </w:rPr>
                  <m:t>=</m:t>
                </m:r>
                <m:limLow>
                  <m:limLowPr>
                    <m:ctrlPr>
                      <w:rPr>
                        <w:rFonts w:ascii="Cambria Math" w:hAnsi="Cambria Math"/>
                      </w:rPr>
                    </m:ctrlPr>
                  </m:limLowPr>
                  <m:e>
                    <m:r>
                      <m:rPr>
                        <m:sty m:val="p"/>
                      </m:rPr>
                      <w:rPr>
                        <w:rFonts w:ascii="Cambria Math" w:hAnsi="Cambria Math"/>
                      </w:rPr>
                      <m:t>argmin</m:t>
                    </m:r>
                  </m:e>
                  <m:lim>
                    <m:r>
                      <m:rPr>
                        <m:sty m:val="b"/>
                      </m:rPr>
                      <w:rPr>
                        <w:rFonts w:ascii="Cambria Math" w:hAnsi="Cambria Math"/>
                      </w:rPr>
                      <m:t>V</m:t>
                    </m:r>
                    <m:r>
                      <m:rPr>
                        <m:sty m:val="p"/>
                      </m:rPr>
                      <w:rPr>
                        <w:rFonts w:ascii="Cambria Math" w:hAnsi="Cambria Math"/>
                      </w:rPr>
                      <m:t>∈</m:t>
                    </m:r>
                    <m:r>
                      <m:rPr>
                        <m:scr m:val="script"/>
                        <m:sty m:val="p"/>
                      </m:rPr>
                      <w:rPr>
                        <w:rFonts w:ascii="Cambria Math" w:hAnsi="Cambria Math"/>
                      </w:rPr>
                      <m:t>V</m:t>
                    </m:r>
                  </m:lim>
                </m:limLow>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0</m:t>
                            </m:r>
                          </m:sub>
                        </m:sSub>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d>
                          <m:dPr>
                            <m:ctrlPr>
                              <w:rPr>
                                <w:rFonts w:ascii="Cambria Math" w:hAnsi="Cambria Math"/>
                              </w:rPr>
                            </m:ctrlPr>
                          </m:dPr>
                          <m:e>
                            <m:r>
                              <m:rPr>
                                <m:sty m:val="b"/>
                              </m:rPr>
                              <w:rPr>
                                <w:rFonts w:ascii="Cambria Math" w:hAnsi="Cambria Math"/>
                              </w:rPr>
                              <m:t>V</m:t>
                            </m:r>
                          </m:e>
                        </m:d>
                      </m:e>
                    </m:d>
                  </m:e>
                  <m:sup>
                    <m:r>
                      <m:rPr>
                        <m:sty m:val="p"/>
                      </m:rPr>
                      <w:rPr>
                        <w:rFonts w:ascii="Cambria Math" w:hAnsi="Cambria Math"/>
                      </w:rPr>
                      <m:t>'</m:t>
                    </m:r>
                  </m:sup>
                </m:sSup>
                <m:d>
                  <m:dPr>
                    <m:ctrlPr>
                      <w:rPr>
                        <w:rFonts w:ascii="Cambria Math" w:hAnsi="Cambria Math"/>
                      </w:rPr>
                    </m:ctrlPr>
                  </m:dPr>
                  <m:e>
                    <m:sSub>
                      <m:sSubPr>
                        <m:ctrlPr>
                          <w:rPr>
                            <w:rFonts w:ascii="Cambria Math" w:hAnsi="Cambria Math"/>
                          </w:rPr>
                        </m:ctrlPr>
                      </m:sSubPr>
                      <m:e>
                        <m:r>
                          <m:rPr>
                            <m:sty m:val="b"/>
                          </m:rPr>
                          <w:rPr>
                            <w:rFonts w:ascii="Cambria Math" w:hAnsi="Cambria Math"/>
                          </w:rPr>
                          <m:t>Z</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0</m:t>
                        </m:r>
                      </m:sub>
                    </m:sSub>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sup>
                    </m:sSup>
                    <m:d>
                      <m:dPr>
                        <m:ctrlPr>
                          <w:rPr>
                            <w:rFonts w:ascii="Cambria Math" w:hAnsi="Cambria Math"/>
                          </w:rPr>
                        </m:ctrlPr>
                      </m:dPr>
                      <m:e>
                        <m:r>
                          <m:rPr>
                            <m:sty m:val="b"/>
                          </m:rPr>
                          <w:rPr>
                            <w:rFonts w:ascii="Cambria Math" w:hAnsi="Cambria Math"/>
                          </w:rPr>
                          <m:t>V</m:t>
                        </m:r>
                      </m:e>
                    </m:d>
                  </m:e>
                </m:d>
              </m:oMath>
            </m:oMathPara>
          </w:p>
        </w:tc>
        <w:tc>
          <w:tcPr>
            <w:tcW w:w="0" w:type="auto"/>
            <w:vAlign w:val="center"/>
          </w:tcPr>
          <w:p w14:paraId="32CD31ED" w14:textId="77777777" w:rsidR="005F5ADD" w:rsidRDefault="00704920">
            <w:pPr>
              <w:pStyle w:val="Compact"/>
              <w:jc w:val="right"/>
            </w:pPr>
            <m:oMathPara>
              <m:oMathParaPr>
                <m:jc m:val="center"/>
              </m:oMathParaPr>
              <m:oMath>
                <m:d>
                  <m:dPr>
                    <m:ctrlPr>
                      <w:rPr>
                        <w:rFonts w:ascii="Cambria Math" w:hAnsi="Cambria Math"/>
                      </w:rPr>
                    </m:ctrlPr>
                  </m:dPr>
                  <m:e>
                    <m:r>
                      <w:rPr>
                        <w:rFonts w:ascii="Cambria Math" w:hAnsi="Cambria Math"/>
                      </w:rPr>
                      <m:t>2</m:t>
                    </m:r>
                  </m:e>
                </m:d>
              </m:oMath>
            </m:oMathPara>
          </w:p>
        </w:tc>
      </w:tr>
    </w:tbl>
    <w:p w14:paraId="176BFB49" w14:textId="77777777" w:rsidR="005F5ADD" w:rsidRDefault="00704920">
      <w:pPr>
        <w:pStyle w:val="FirstParagraph"/>
      </w:pPr>
      <w:r>
        <w:t xml:space="preserve">That is the minimum difference between the outcome of the treated unit and the synthetic control in the pre-treatment period, where </w:t>
      </w:r>
      <m:oMath>
        <m:sSub>
          <m:sSubPr>
            <m:ctrlPr>
              <w:rPr>
                <w:rFonts w:ascii="Cambria Math" w:hAnsi="Cambria Math"/>
              </w:rPr>
            </m:ctrlPr>
          </m:sSubPr>
          <m:e>
            <m:r>
              <m:rPr>
                <m:sty m:val="b"/>
              </m:rPr>
              <w:rPr>
                <w:rFonts w:ascii="Cambria Math" w:hAnsi="Cambria Math"/>
              </w:rPr>
              <m:t>Z</m:t>
            </m:r>
          </m:e>
          <m:sub>
            <m:r>
              <w:rPr>
                <w:rFonts w:ascii="Cambria Math" w:hAnsi="Cambria Math"/>
              </w:rPr>
              <m:t>1</m:t>
            </m:r>
          </m:sub>
        </m:sSub>
      </m:oMath>
      <w:r>
        <w:t xml:space="preserve"> is a (</w:t>
      </w:r>
      <m:oMath>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t>) matrix containing every observation of the outcome for the treated unit in the pre-treatment period. Simila</w:t>
      </w:r>
      <w:r>
        <w:t xml:space="preserve">rly, let </w:t>
      </w:r>
      <m:oMath>
        <m:sSub>
          <m:sSubPr>
            <m:ctrlPr>
              <w:rPr>
                <w:rFonts w:ascii="Cambria Math" w:hAnsi="Cambria Math"/>
              </w:rPr>
            </m:ctrlPr>
          </m:sSubPr>
          <m:e>
            <m:r>
              <m:rPr>
                <m:sty m:val="b"/>
              </m:rPr>
              <w:rPr>
                <w:rFonts w:ascii="Cambria Math" w:hAnsi="Cambria Math"/>
              </w:rPr>
              <m:t>Z</m:t>
            </m:r>
          </m:e>
          <m:sub>
            <m:r>
              <w:rPr>
                <w:rFonts w:ascii="Cambria Math" w:hAnsi="Cambria Math"/>
              </w:rPr>
              <m:t>0</m:t>
            </m:r>
          </m:sub>
        </m:sSub>
      </m:oMath>
      <w:r>
        <w:t xml:space="preserve"> be a (</w:t>
      </w:r>
      <m:oMath>
        <m:r>
          <w:rPr>
            <w:rFonts w:ascii="Cambria Math" w:hAnsi="Cambria Math"/>
          </w:rPr>
          <m:t>k</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0</m:t>
            </m:r>
          </m:sub>
        </m:sSub>
      </m:oMath>
      <w:r>
        <w:t xml:space="preserve">) matrix containing the outcome for each control unit in the pre-treatment period, and </w:t>
      </w:r>
      <m:oMath>
        <m:r>
          <w:rPr>
            <w:rFonts w:ascii="Cambria Math" w:hAnsi="Cambria Math"/>
          </w:rPr>
          <m:t>k</m:t>
        </m:r>
      </m:oMath>
      <w:r>
        <w:t xml:space="preserve"> is the number of variables in the datasets. The DSC method generalizes the difference-in-differences estimator and allows for time-varying in</w:t>
      </w:r>
      <w:r>
        <w:t>dividual-specific unobserved heterogeneity, with double robustness properties</w:t>
      </w:r>
      <w:r>
        <w:rPr>
          <w:vertAlign w:val="superscript"/>
        </w:rPr>
        <w:t>53,54</w:t>
      </w:r>
      <w:r>
        <w:t>.</w:t>
      </w:r>
    </w:p>
    <w:p w14:paraId="2493EB33" w14:textId="77777777" w:rsidR="005F5ADD" w:rsidRDefault="00704920">
      <w:pPr>
        <w:pStyle w:val="2"/>
      </w:pPr>
      <w:bookmarkStart w:id="19" w:name="sec:model"/>
      <w:bookmarkEnd w:id="18"/>
      <w:r>
        <w:t>5.4</w:t>
      </w:r>
      <w:r>
        <w:tab/>
        <w:t>Marginal benefits analysis</w:t>
      </w:r>
    </w:p>
    <w:p w14:paraId="59B2C889" w14:textId="77777777" w:rsidR="005F5ADD" w:rsidRDefault="00704920">
      <w:pPr>
        <w:pStyle w:val="FirstParagraph"/>
      </w:pPr>
      <w:r>
        <w:t>To infer the mechanisms underlying the results, we developed an marginal benefits analysis based on marginal revenue to analyze how the insti</w:t>
      </w:r>
      <w:r>
        <w:t>tutional shift could have led to differences in water use.</w:t>
      </w:r>
    </w:p>
    <w:p w14:paraId="3AC414C6" w14:textId="77777777" w:rsidR="005F5ADD" w:rsidRDefault="00704920">
      <w:pPr>
        <w:pStyle w:val="a0"/>
      </w:pPr>
      <w:r>
        <w:rPr>
          <w:b/>
          <w:bCs/>
        </w:rPr>
        <w:t>Assumption 1</w:t>
      </w:r>
      <w:r>
        <w:t xml:space="preserve">.  </w:t>
      </w:r>
      <w:r>
        <w:rPr>
          <w:i/>
          <w:iCs/>
        </w:rPr>
        <w:t>(Water-dependent production) Because of irreplaceably, water is assumed to be the only production function input with two production efficiency types.</w:t>
      </w:r>
    </w:p>
    <w:p w14:paraId="0F5DC414" w14:textId="77777777" w:rsidR="005F5ADD" w:rsidRDefault="00704920">
      <w:pPr>
        <w:pStyle w:val="a0"/>
      </w:pPr>
      <w:r>
        <w:rPr>
          <w:b/>
          <w:bCs/>
        </w:rPr>
        <w:t>Assumption 2</w:t>
      </w:r>
      <w:r>
        <w:t xml:space="preserve">.  </w:t>
      </w:r>
      <w:r>
        <w:rPr>
          <w:i/>
          <w:iCs/>
        </w:rPr>
        <w:t>(Ecological cost</w:t>
      </w:r>
      <w:r>
        <w:rPr>
          <w:i/>
          <w:iCs/>
        </w:rPr>
        <w:t xml:space="preserve"> allocation) Under the assumption that the ecology is a single entity for the whole basin, the water use cost is equally assigned to each province.</w:t>
      </w:r>
    </w:p>
    <w:p w14:paraId="1B37E612" w14:textId="77777777" w:rsidR="005F5ADD" w:rsidRDefault="00704920">
      <w:pPr>
        <w:pStyle w:val="a0"/>
      </w:pPr>
      <w:r>
        <w:rPr>
          <w:b/>
          <w:bCs/>
        </w:rPr>
        <w:t>Assumption 3</w:t>
      </w:r>
      <w:r>
        <w:t xml:space="preserve">.  </w:t>
      </w:r>
      <w:r>
        <w:rPr>
          <w:i/>
          <w:iCs/>
        </w:rPr>
        <w:t>(Multi-period settings) There are multiple settings periods with a constant discount factor f</w:t>
      </w:r>
      <w:r>
        <w:rPr>
          <w:i/>
          <w:iCs/>
        </w:rPr>
        <w:t>or the expectation of future water use.</w:t>
      </w:r>
    </w:p>
    <w:p w14:paraId="4A81F9DC" w14:textId="12EB8364" w:rsidR="005F5ADD" w:rsidRDefault="00704920">
      <w:pPr>
        <w:pStyle w:val="a0"/>
      </w:pPr>
      <w:r>
        <w:t>Under the above-simplified assumptions, we demonstrate three cases -corresponding to the abstracted SES structures (</w:t>
      </w:r>
      <w:r w:rsidR="00952736">
        <w:t>Figure 1</w:t>
      </w:r>
      <w:r>
        <w:t>), inference of how SES structure alters t</w:t>
      </w:r>
      <w:r>
        <w:t>he expected marginal benefits and costs of provinces making decisions. As one of the possible interpretations for the causality between SES structure and institutional effects, the derivation of the model based on the above three assumptions can be found i</w:t>
      </w:r>
      <w:r>
        <w:t xml:space="preserve">n </w:t>
      </w:r>
      <w:r>
        <w:rPr>
          <w:i/>
          <w:iCs/>
        </w:rPr>
        <w:t>Appendix </w:t>
      </w:r>
      <w:r>
        <w:t xml:space="preserve">, and some simple model-based extensions are involved in </w:t>
      </w:r>
      <w:r>
        <w:rPr>
          <w:i/>
          <w:iCs/>
        </w:rPr>
        <w:t>Appendix </w:t>
      </w:r>
      <w:r>
        <w:t>.</w:t>
      </w:r>
    </w:p>
    <w:p w14:paraId="775B4509" w14:textId="77777777" w:rsidR="005F5ADD" w:rsidRDefault="00704920">
      <w:pPr>
        <w:pStyle w:val="a0"/>
      </w:pPr>
      <w:bookmarkStart w:id="20" w:name="appendix"/>
      <w:r>
        <w:t>[appendix]</w:t>
      </w:r>
      <w:bookmarkEnd w:id="20"/>
    </w:p>
    <w:p w14:paraId="7ED72BE6" w14:textId="77777777" w:rsidR="005471AE" w:rsidRDefault="005471AE" w:rsidP="005471AE">
      <w:pPr>
        <w:pStyle w:val="1"/>
      </w:pPr>
      <w:bookmarkStart w:id="21" w:name="bibliography"/>
      <w:bookmarkStart w:id="22" w:name="secS1"/>
      <w:bookmarkEnd w:id="15"/>
      <w:bookmarkEnd w:id="19"/>
      <w:r>
        <w:t>6</w:t>
      </w:r>
      <w:r>
        <w:tab/>
        <w:t>S1: Contexts of institutional shifts</w:t>
      </w:r>
    </w:p>
    <w:p w14:paraId="1FBC0B85" w14:textId="77777777" w:rsidR="005471AE" w:rsidRDefault="005471AE" w:rsidP="005471AE">
      <w:pPr>
        <w:pStyle w:val="FirstParagraph"/>
      </w:pPr>
      <w:r>
        <w:t>We aim to abstract the water allocating institutions from the description in official documents with necessary context into SES building blocks (Figure </w:t>
      </w:r>
      <w:hyperlink w:anchor="framework">
        <w:r>
          <w:rPr>
            <w:rStyle w:val="af2"/>
          </w:rPr>
          <w:t>5</w:t>
        </w:r>
      </w:hyperlink>
      <w:r>
        <w:t>) Widespread building blocks in SES are the key to the functioning of structures, and a network-based description is a widely used way to depict them by abstracting links and nodes</w:t>
      </w:r>
      <w:r>
        <w:rPr>
          <w:vertAlign w:val="superscript"/>
        </w:rPr>
        <w:t>15,27,46</w:t>
      </w:r>
      <w:r>
        <w:t>.</w:t>
      </w:r>
    </w:p>
    <w:p w14:paraId="0C12B5A0" w14:textId="77777777" w:rsidR="005471AE" w:rsidRDefault="005471AE" w:rsidP="005471AE">
      <w:pPr>
        <w:pStyle w:val="CaptionedFigure"/>
      </w:pPr>
      <w:bookmarkStart w:id="23" w:name="framework"/>
      <w:r>
        <w:rPr>
          <w:noProof/>
        </w:rPr>
        <w:lastRenderedPageBreak/>
        <w:drawing>
          <wp:inline distT="0" distB="0" distL="0" distR="0" wp14:anchorId="56B2421E" wp14:editId="0F9F4D92">
            <wp:extent cx="5727700" cy="3155675"/>
            <wp:effectExtent l="0" t="0" r="0" b="0"/>
            <wp:docPr id="53" name="Picture" descr=" Framework for understanding linkages between SES structures and outcomes. a. The general framework for analyzing social-ecological systems (SESs) (adapted from Ostrom39). Institutions embedded in SESs may reshape structures by changing the interactions between core subsystems, resulting in different outcomes. Three typical types of abstracted SES structures are shown as b., c. and d. (adapted from Bodin, 2017)14. Red circles indicate social actors, and green ones indicate ecological components. Connection (ties between two ecological components), collaboration (ties between two social actors), or management (ties between a social actor and an ecological component) exist when gray lines link two units. According to empirical evidence, the gray dashed lines show aligned SES structures that are more likely to achieve a desirable outcome. "/>
            <wp:cNvGraphicFramePr/>
            <a:graphic xmlns:a="http://schemas.openxmlformats.org/drawingml/2006/main">
              <a:graphicData uri="http://schemas.openxmlformats.org/drawingml/2006/picture">
                <pic:pic xmlns:pic="http://schemas.openxmlformats.org/drawingml/2006/picture">
                  <pic:nvPicPr>
                    <pic:cNvPr id="54" name="Picture" descr="diagrams/framework.jpg"/>
                    <pic:cNvPicPr>
                      <a:picLocks noChangeAspect="1" noChangeArrowheads="1"/>
                    </pic:cNvPicPr>
                  </pic:nvPicPr>
                  <pic:blipFill>
                    <a:blip r:embed="rId13"/>
                    <a:stretch>
                      <a:fillRect/>
                    </a:stretch>
                  </pic:blipFill>
                  <pic:spPr bwMode="auto">
                    <a:xfrm>
                      <a:off x="0" y="0"/>
                      <a:ext cx="5727700" cy="3155675"/>
                    </a:xfrm>
                    <a:prstGeom prst="rect">
                      <a:avLst/>
                    </a:prstGeom>
                    <a:noFill/>
                    <a:ln w="9525">
                      <a:noFill/>
                      <a:headEnd/>
                      <a:tailEnd/>
                    </a:ln>
                  </pic:spPr>
                </pic:pic>
              </a:graphicData>
            </a:graphic>
          </wp:inline>
        </w:drawing>
      </w:r>
      <w:bookmarkEnd w:id="23"/>
    </w:p>
    <w:p w14:paraId="44CE7977" w14:textId="77777777" w:rsidR="005471AE" w:rsidRPr="00E17D15" w:rsidRDefault="005471AE" w:rsidP="005471AE">
      <w:pPr>
        <w:pStyle w:val="ImageCaption"/>
        <w:rPr>
          <w:i w:val="0"/>
          <w:iCs/>
          <w:sz w:val="21"/>
          <w:szCs w:val="21"/>
        </w:rPr>
      </w:pPr>
      <w:bookmarkStart w:id="24" w:name="ref_framework"/>
      <w:r w:rsidRPr="00E17D15">
        <w:rPr>
          <w:b/>
          <w:bCs/>
          <w:i w:val="0"/>
          <w:iCs/>
          <w:sz w:val="21"/>
          <w:szCs w:val="21"/>
        </w:rPr>
        <w:t>Figure</w:t>
      </w:r>
      <w:bookmarkEnd w:id="24"/>
      <w:r w:rsidRPr="00E17D15">
        <w:rPr>
          <w:b/>
          <w:bCs/>
          <w:i w:val="0"/>
          <w:iCs/>
          <w:sz w:val="21"/>
          <w:szCs w:val="21"/>
        </w:rPr>
        <w:t xml:space="preserve"> 5.</w:t>
      </w:r>
      <w:r w:rsidRPr="00E17D15">
        <w:rPr>
          <w:i w:val="0"/>
          <w:iCs/>
          <w:sz w:val="21"/>
          <w:szCs w:val="21"/>
        </w:rPr>
        <w:t xml:space="preserve"> Framework for understanding linkages between SES structures and outcomes. </w:t>
      </w:r>
      <w:r w:rsidRPr="00E17D15">
        <w:rPr>
          <w:b/>
          <w:bCs/>
          <w:i w:val="0"/>
          <w:iCs/>
          <w:sz w:val="21"/>
          <w:szCs w:val="21"/>
        </w:rPr>
        <w:t>a.</w:t>
      </w:r>
      <w:r w:rsidRPr="00E17D15">
        <w:rPr>
          <w:i w:val="0"/>
          <w:iCs/>
          <w:sz w:val="21"/>
          <w:szCs w:val="21"/>
        </w:rPr>
        <w:t xml:space="preserve"> The general framework for analyzing social-ecological systems (SESs) (adapted from Ostrom</w:t>
      </w:r>
      <w:r w:rsidRPr="00E17D15">
        <w:rPr>
          <w:i w:val="0"/>
          <w:iCs/>
          <w:sz w:val="21"/>
          <w:szCs w:val="21"/>
          <w:vertAlign w:val="superscript"/>
        </w:rPr>
        <w:t>39</w:t>
      </w:r>
      <w:r w:rsidRPr="00E17D15">
        <w:rPr>
          <w:i w:val="0"/>
          <w:iCs/>
          <w:sz w:val="21"/>
          <w:szCs w:val="21"/>
        </w:rPr>
        <w:t xml:space="preserve">). Institutions embedded in SESs may reshape structures by changing the interactions between core subsystems, resulting in different outcomes. Three typical types of abstracted SES structures are shown as </w:t>
      </w:r>
      <w:r w:rsidRPr="00E17D15">
        <w:rPr>
          <w:b/>
          <w:bCs/>
          <w:i w:val="0"/>
          <w:iCs/>
          <w:sz w:val="21"/>
          <w:szCs w:val="21"/>
        </w:rPr>
        <w:t>b.</w:t>
      </w:r>
      <w:r w:rsidRPr="00E17D15">
        <w:rPr>
          <w:i w:val="0"/>
          <w:iCs/>
          <w:sz w:val="21"/>
          <w:szCs w:val="21"/>
        </w:rPr>
        <w:t xml:space="preserve">, </w:t>
      </w:r>
      <w:r w:rsidRPr="00E17D15">
        <w:rPr>
          <w:b/>
          <w:bCs/>
          <w:i w:val="0"/>
          <w:iCs/>
          <w:sz w:val="21"/>
          <w:szCs w:val="21"/>
        </w:rPr>
        <w:t>c.</w:t>
      </w:r>
      <w:r w:rsidRPr="00E17D15">
        <w:rPr>
          <w:i w:val="0"/>
          <w:iCs/>
          <w:sz w:val="21"/>
          <w:szCs w:val="21"/>
        </w:rPr>
        <w:t xml:space="preserve"> and </w:t>
      </w:r>
      <w:r w:rsidRPr="00E17D15">
        <w:rPr>
          <w:b/>
          <w:bCs/>
          <w:i w:val="0"/>
          <w:iCs/>
          <w:sz w:val="21"/>
          <w:szCs w:val="21"/>
        </w:rPr>
        <w:t>d.</w:t>
      </w:r>
      <w:r w:rsidRPr="00E17D15">
        <w:rPr>
          <w:i w:val="0"/>
          <w:iCs/>
          <w:sz w:val="21"/>
          <w:szCs w:val="21"/>
        </w:rPr>
        <w:t xml:space="preserve"> (adapted from Bodin, 2017)</w:t>
      </w:r>
      <w:r w:rsidRPr="00E17D15">
        <w:rPr>
          <w:i w:val="0"/>
          <w:iCs/>
          <w:sz w:val="21"/>
          <w:szCs w:val="21"/>
          <w:vertAlign w:val="superscript"/>
        </w:rPr>
        <w:t>14</w:t>
      </w:r>
      <w:r w:rsidRPr="00E17D15">
        <w:rPr>
          <w:i w:val="0"/>
          <w:iCs/>
          <w:sz w:val="21"/>
          <w:szCs w:val="21"/>
        </w:rPr>
        <w:t xml:space="preserve">. Red circles indicate social actors, and green ones indicate ecological components. Connection (ties between two ecological components), collaboration (ties between two social actors), or management (ties between a social actor and an ecological component) exist when gray lines link two units. According to empirical evidence, the gray dashed lines show aligned SES structures that are more likely to achieve a desirable outcome. </w:t>
      </w:r>
    </w:p>
    <w:p w14:paraId="4016A8DD" w14:textId="77777777" w:rsidR="005471AE" w:rsidRDefault="005471AE" w:rsidP="005471AE">
      <w:pPr>
        <w:pStyle w:val="a0"/>
      </w:pPr>
      <w:r>
        <w:t xml:space="preserve">Water allocation institutions are widespread in large river basin management programs throughout the world (see </w:t>
      </w:r>
      <w:r>
        <w:rPr>
          <w:i/>
          <w:iCs/>
        </w:rPr>
        <w:t>Appendix</w:t>
      </w:r>
      <w:r>
        <w:t xml:space="preserve"> Figure 6)</w:t>
      </w:r>
      <w:r>
        <w:rPr>
          <w:vertAlign w:val="superscript"/>
        </w:rPr>
        <w:t>53</w:t>
      </w:r>
      <w:r>
        <w:t>. This was the first basin in China for which a water resource allocation institution was created, and institutional shifts can be traced through several documents released by the Chinese government (at the national level)</w:t>
      </w:r>
      <w:r>
        <w:rPr>
          <w:vertAlign w:val="superscript"/>
        </w:rPr>
        <w:t>34</w:t>
      </w:r>
      <w:r>
        <w:t>:</w:t>
      </w:r>
    </w:p>
    <w:p w14:paraId="40590FEF" w14:textId="77777777" w:rsidR="005471AE" w:rsidRDefault="005471AE" w:rsidP="005471AE">
      <w:pPr>
        <w:numPr>
          <w:ilvl w:val="0"/>
          <w:numId w:val="14"/>
        </w:numPr>
      </w:pPr>
      <w:r>
        <w:rPr>
          <w:b/>
          <w:bCs/>
        </w:rPr>
        <w:t>1982</w:t>
      </w:r>
      <w:r>
        <w:t>: The provinces and the Yellow River Water Conservancy Commission (YRCC) are required to develop a water resource plan for the Yellow River</w:t>
      </w:r>
      <w:r>
        <w:rPr>
          <w:vertAlign w:val="superscript"/>
        </w:rPr>
        <w:t>34,54</w:t>
      </w:r>
      <w:r>
        <w:t>.</w:t>
      </w:r>
    </w:p>
    <w:p w14:paraId="33C52203" w14:textId="77777777" w:rsidR="005471AE" w:rsidRDefault="005471AE" w:rsidP="005471AE">
      <w:pPr>
        <w:numPr>
          <w:ilvl w:val="0"/>
          <w:numId w:val="14"/>
        </w:numPr>
      </w:pPr>
      <w:r>
        <w:rPr>
          <w:b/>
          <w:bCs/>
        </w:rPr>
        <w:t>1987</w:t>
      </w:r>
      <w:r>
        <w:t>: Implementation of the Allocation Plan. (</w:t>
      </w:r>
      <w:hyperlink r:id="rId14">
        <w:r>
          <w:rPr>
            <w:rStyle w:val="af2"/>
          </w:rPr>
          <w:t>http://www.mwr.gov.cn</w:t>
        </w:r>
      </w:hyperlink>
      <w:r>
        <w:t xml:space="preserve">, last access: </w:t>
      </w:r>
      <w:r w:rsidRPr="00150125">
        <w:t>May 30, 2022</w:t>
      </w:r>
      <w:r>
        <w:t>).</w:t>
      </w:r>
    </w:p>
    <w:p w14:paraId="2CB68CEE" w14:textId="77777777" w:rsidR="005471AE" w:rsidRDefault="005471AE" w:rsidP="005471AE">
      <w:pPr>
        <w:numPr>
          <w:ilvl w:val="0"/>
          <w:numId w:val="14"/>
        </w:numPr>
      </w:pPr>
      <w:r>
        <w:rPr>
          <w:b/>
          <w:bCs/>
        </w:rPr>
        <w:t>1998</w:t>
      </w:r>
      <w:r>
        <w:t>: Implementation of unified regulation. (</w:t>
      </w:r>
      <w:hyperlink r:id="rId15">
        <w:r>
          <w:rPr>
            <w:rStyle w:val="af2"/>
          </w:rPr>
          <w:t>http://www.mwr.gov.cn</w:t>
        </w:r>
      </w:hyperlink>
      <w:r>
        <w:t xml:space="preserve">, last access: </w:t>
      </w:r>
      <w:r w:rsidRPr="00150125">
        <w:t>May 30, 2022</w:t>
      </w:r>
      <w:r>
        <w:t>).</w:t>
      </w:r>
    </w:p>
    <w:p w14:paraId="72495702" w14:textId="77777777" w:rsidR="005471AE" w:rsidRDefault="005471AE" w:rsidP="005471AE">
      <w:pPr>
        <w:numPr>
          <w:ilvl w:val="0"/>
          <w:numId w:val="14"/>
        </w:numPr>
      </w:pPr>
      <w:r>
        <w:rPr>
          <w:b/>
          <w:bCs/>
        </w:rPr>
        <w:t>2008</w:t>
      </w:r>
      <w:r>
        <w:t>: Provinces are asked to draw up new water resources plans for the YRB to further refine water allocations</w:t>
      </w:r>
      <w:r>
        <w:rPr>
          <w:vertAlign w:val="superscript"/>
        </w:rPr>
        <w:t>34,54</w:t>
      </w:r>
      <w:r>
        <w:t>.</w:t>
      </w:r>
    </w:p>
    <w:p w14:paraId="029BCBAF" w14:textId="77777777" w:rsidR="005471AE" w:rsidRDefault="005471AE" w:rsidP="005471AE">
      <w:pPr>
        <w:numPr>
          <w:ilvl w:val="0"/>
          <w:numId w:val="14"/>
        </w:numPr>
      </w:pPr>
      <w:r>
        <w:rPr>
          <w:b/>
          <w:bCs/>
        </w:rPr>
        <w:t>2021</w:t>
      </w:r>
      <w:r>
        <w:t>: A call for redesigning the water allocation institution (</w:t>
      </w:r>
      <w:hyperlink r:id="rId16">
        <w:r>
          <w:rPr>
            <w:rStyle w:val="af2"/>
          </w:rPr>
          <w:t>http://www.ccgp.gov.cn</w:t>
        </w:r>
      </w:hyperlink>
      <w:r>
        <w:t xml:space="preserve">, last access: </w:t>
      </w:r>
      <w:r w:rsidRPr="00150125">
        <w:t>May 30, 2022</w:t>
      </w:r>
      <w:r>
        <w:t>).</w:t>
      </w:r>
    </w:p>
    <w:p w14:paraId="2DE1B80A" w14:textId="77777777" w:rsidR="005471AE" w:rsidRDefault="005471AE" w:rsidP="005471AE">
      <w:pPr>
        <w:pStyle w:val="FirstParagraph"/>
      </w:pPr>
      <w:r>
        <w:t>Since 1982, administrations attemptted to design a quota institution, and the 2008 document marked the maturity of the scheme (complete establishment of basin-level, provincial, and district water quotas). Between the period, two significant institutional shits can be analyzed by using the 1987 (87-WAS) and 1998 (98-UBR) documents.</w:t>
      </w:r>
    </w:p>
    <w:p w14:paraId="475E2BB4" w14:textId="77777777" w:rsidR="005471AE" w:rsidRDefault="005471AE" w:rsidP="005471AE">
      <w:pPr>
        <w:pStyle w:val="a0"/>
      </w:pPr>
      <w:r>
        <w:lastRenderedPageBreak/>
        <w:t>The official documents in 1987 (</w:t>
      </w:r>
      <w:hyperlink r:id="rId17">
        <w:r>
          <w:rPr>
            <w:rStyle w:val="af2"/>
          </w:rPr>
          <w:t>http://www.mwr.gov.cn</w:t>
        </w:r>
      </w:hyperlink>
      <w:r>
        <w:t>, last access: May</w:t>
      </w:r>
      <w:r>
        <w:rPr>
          <w:rFonts w:hint="eastAsia"/>
          <w:lang w:eastAsia="zh-CN"/>
        </w:rPr>
        <w:t xml:space="preserve"> </w:t>
      </w:r>
      <w:r>
        <w:t>30, 2022) convey the following key points:</w:t>
      </w:r>
    </w:p>
    <w:p w14:paraId="02BF8198" w14:textId="77777777" w:rsidR="005471AE" w:rsidRDefault="005471AE" w:rsidP="005471AE">
      <w:pPr>
        <w:numPr>
          <w:ilvl w:val="0"/>
          <w:numId w:val="14"/>
        </w:numPr>
      </w:pPr>
      <w:r>
        <w:t>The policy is aimed at related provinces (or regions at the same administrative level).</w:t>
      </w:r>
    </w:p>
    <w:p w14:paraId="07DB5899" w14:textId="77777777" w:rsidR="005471AE" w:rsidRDefault="005471AE" w:rsidP="005471AE">
      <w:pPr>
        <w:numPr>
          <w:ilvl w:val="0"/>
          <w:numId w:val="14"/>
        </w:numPr>
      </w:pPr>
      <w:r>
        <w:t>Depletion of the river is identified as the first consideration of this institution.</w:t>
      </w:r>
    </w:p>
    <w:p w14:paraId="04E297CA" w14:textId="77777777" w:rsidR="005471AE" w:rsidRDefault="005471AE" w:rsidP="005471AE">
      <w:pPr>
        <w:numPr>
          <w:ilvl w:val="0"/>
          <w:numId w:val="14"/>
        </w:numPr>
      </w:pPr>
      <w:r>
        <w:t>Provinces are encouraged to develop their water use plans based on a quota system.</w:t>
      </w:r>
    </w:p>
    <w:p w14:paraId="03E5DF51" w14:textId="77777777" w:rsidR="005471AE" w:rsidRDefault="005471AE" w:rsidP="005471AE">
      <w:pPr>
        <w:numPr>
          <w:ilvl w:val="0"/>
          <w:numId w:val="14"/>
        </w:numPr>
      </w:pPr>
      <w:r>
        <w:t>Water in short supply is a common phenomenon in relevant provinces (regions).</w:t>
      </w:r>
    </w:p>
    <w:p w14:paraId="24B4E0D3" w14:textId="77777777" w:rsidR="005471AE" w:rsidRDefault="005471AE" w:rsidP="005471AE">
      <w:pPr>
        <w:pStyle w:val="FirstParagraph"/>
      </w:pPr>
      <w:r>
        <w:t>The official documents in 1998 (</w:t>
      </w:r>
      <w:hyperlink r:id="rId18">
        <w:r>
          <w:rPr>
            <w:rStyle w:val="af2"/>
          </w:rPr>
          <w:t>http://www.mwr.gov.cn</w:t>
        </w:r>
      </w:hyperlink>
      <w:r>
        <w:t>, last access: May</w:t>
      </w:r>
      <w:r>
        <w:rPr>
          <w:rFonts w:hint="eastAsia"/>
          <w:lang w:eastAsia="zh-CN"/>
        </w:rPr>
        <w:t xml:space="preserve"> </w:t>
      </w:r>
      <w:r>
        <w:t>30, 2022) convey the following key points:</w:t>
      </w:r>
    </w:p>
    <w:p w14:paraId="4A21CCA5" w14:textId="77777777" w:rsidR="005471AE" w:rsidRDefault="005471AE" w:rsidP="005471AE">
      <w:pPr>
        <w:numPr>
          <w:ilvl w:val="0"/>
          <w:numId w:val="14"/>
        </w:numPr>
      </w:pPr>
      <w:r>
        <w:t xml:space="preserve">The document points out that not only provinces and autonomous regions involved in water resources management (see </w:t>
      </w:r>
      <w:r>
        <w:rPr>
          <w:i/>
          <w:iCs/>
        </w:rPr>
        <w:t>Article 3</w:t>
      </w:r>
      <w:r>
        <w:t>), the provinces’ and regions’ water use shall be declared, organized, and supervised by the YRCC (</w:t>
      </w:r>
      <w:r>
        <w:rPr>
          <w:i/>
          <w:iCs/>
        </w:rPr>
        <w:t>Article 11 and Chapter III to Chapter V, and Chapter VII</w:t>
      </w:r>
      <w:r>
        <w:t>).</w:t>
      </w:r>
    </w:p>
    <w:p w14:paraId="0DB4A3E8" w14:textId="77777777" w:rsidR="005471AE" w:rsidRDefault="005471AE" w:rsidP="005471AE">
      <w:pPr>
        <w:numPr>
          <w:ilvl w:val="0"/>
          <w:numId w:val="14"/>
        </w:numPr>
      </w:pPr>
      <w:r>
        <w:t>Creating the overall plan of water use in the upper, middle, and lower reaches is identified as the first consideration of this institution (</w:t>
      </w:r>
      <w:r>
        <w:rPr>
          <w:i/>
          <w:iCs/>
        </w:rPr>
        <w:t>Article 1</w:t>
      </w:r>
      <w:r>
        <w:t>).</w:t>
      </w:r>
    </w:p>
    <w:p w14:paraId="6600C1DD" w14:textId="77777777" w:rsidR="005471AE" w:rsidRDefault="005471AE" w:rsidP="005471AE">
      <w:pPr>
        <w:numPr>
          <w:ilvl w:val="0"/>
          <w:numId w:val="14"/>
        </w:numPr>
      </w:pPr>
      <w:r>
        <w:t xml:space="preserve">With the same quota as used in the 1987 policy, provinces were encouraged to further distribute their quota into lower-level administrations (see </w:t>
      </w:r>
      <w:r>
        <w:rPr>
          <w:i/>
          <w:iCs/>
        </w:rPr>
        <w:t>Article 6 and Article 41</w:t>
      </w:r>
      <w:r>
        <w:t>).</w:t>
      </w:r>
    </w:p>
    <w:p w14:paraId="461A192C" w14:textId="77777777" w:rsidR="005471AE" w:rsidRDefault="005471AE" w:rsidP="005471AE">
      <w:pPr>
        <w:numPr>
          <w:ilvl w:val="0"/>
          <w:numId w:val="14"/>
        </w:numPr>
      </w:pPr>
      <w:r>
        <w:t xml:space="preserve">They emphasize that supply is determined by total quantity, and water use should not exceed the quota proposed in 1987 (see </w:t>
      </w:r>
      <w:r>
        <w:rPr>
          <w:i/>
          <w:iCs/>
        </w:rPr>
        <w:t>Article 2</w:t>
      </w:r>
      <w:r>
        <w:t>).</w:t>
      </w:r>
    </w:p>
    <w:p w14:paraId="7244774F" w14:textId="77777777" w:rsidR="005471AE" w:rsidRDefault="005471AE" w:rsidP="005471AE">
      <w:pPr>
        <w:pStyle w:val="FirstParagraph"/>
      </w:pPr>
      <w:r>
        <w:rPr>
          <w:noProof/>
        </w:rPr>
        <w:drawing>
          <wp:inline distT="0" distB="0" distL="0" distR="0" wp14:anchorId="6D6F9741" wp14:editId="6D0A81CF">
            <wp:extent cx="4319999" cy="3646308"/>
            <wp:effectExtent l="0" t="0" r="0" b="0"/>
            <wp:docPr id="61" name="Picture" descr="image"/>
            <wp:cNvGraphicFramePr/>
            <a:graphic xmlns:a="http://schemas.openxmlformats.org/drawingml/2006/main">
              <a:graphicData uri="http://schemas.openxmlformats.org/drawingml/2006/picture">
                <pic:pic xmlns:pic="http://schemas.openxmlformats.org/drawingml/2006/picture">
                  <pic:nvPicPr>
                    <pic:cNvPr id="62" name="Picture" descr="/Users/songshgeo/Documents/Pycharm/WAInstitution_YRB_2021/figs/diagrams/world_institutions.jpg"/>
                    <pic:cNvPicPr>
                      <a:picLocks noChangeAspect="1" noChangeArrowheads="1"/>
                    </pic:cNvPicPr>
                  </pic:nvPicPr>
                  <pic:blipFill>
                    <a:blip r:embed="rId19"/>
                    <a:stretch>
                      <a:fillRect/>
                    </a:stretch>
                  </pic:blipFill>
                  <pic:spPr bwMode="auto">
                    <a:xfrm>
                      <a:off x="0" y="0"/>
                      <a:ext cx="4319999" cy="3646308"/>
                    </a:xfrm>
                    <a:prstGeom prst="rect">
                      <a:avLst/>
                    </a:prstGeom>
                    <a:noFill/>
                    <a:ln w="9525">
                      <a:noFill/>
                      <a:headEnd/>
                      <a:tailEnd/>
                    </a:ln>
                  </pic:spPr>
                </pic:pic>
              </a:graphicData>
            </a:graphic>
          </wp:inline>
        </w:drawing>
      </w:r>
    </w:p>
    <w:p w14:paraId="47A21918" w14:textId="77777777" w:rsidR="005471AE" w:rsidRPr="00E17D15" w:rsidRDefault="005471AE" w:rsidP="005471AE">
      <w:pPr>
        <w:pStyle w:val="a0"/>
        <w:rPr>
          <w:sz w:val="21"/>
          <w:szCs w:val="21"/>
        </w:rPr>
      </w:pPr>
      <w:r w:rsidRPr="00E17D15">
        <w:rPr>
          <w:b/>
          <w:bCs/>
          <w:sz w:val="21"/>
          <w:szCs w:val="21"/>
        </w:rPr>
        <w:lastRenderedPageBreak/>
        <w:t>Figure 6.</w:t>
      </w:r>
      <w:r w:rsidRPr="00E17D15">
        <w:rPr>
          <w:sz w:val="21"/>
          <w:szCs w:val="21"/>
        </w:rPr>
        <w:t xml:space="preserve"> Overview of water allocation institutions. </w:t>
      </w:r>
      <w:r w:rsidRPr="00E17D15">
        <w:rPr>
          <w:b/>
          <w:bCs/>
          <w:sz w:val="21"/>
          <w:szCs w:val="21"/>
        </w:rPr>
        <w:t>A.</w:t>
      </w:r>
      <w:r w:rsidRPr="00E17D15">
        <w:rPr>
          <w:sz w:val="21"/>
          <w:szCs w:val="21"/>
        </w:rPr>
        <w:t xml:space="preserve"> Major river basins in the world with water resource allocation systems (shaded red); the YRB first proposed a resource allocation scheme in 1987 (designed since 1983) and then changed to a unified regulation scheme in 1998 (designed in 1997 but implemented in 1998)</w:t>
      </w:r>
      <w:r w:rsidRPr="00E17D15">
        <w:rPr>
          <w:sz w:val="21"/>
          <w:szCs w:val="21"/>
          <w:vertAlign w:val="superscript"/>
        </w:rPr>
        <w:t>53</w:t>
      </w:r>
      <w:r w:rsidRPr="00E17D15">
        <w:rPr>
          <w:sz w:val="21"/>
          <w:szCs w:val="21"/>
        </w:rPr>
        <w:t xml:space="preserve">. </w:t>
      </w:r>
      <w:r w:rsidRPr="00E17D15">
        <w:rPr>
          <w:b/>
          <w:bCs/>
          <w:sz w:val="21"/>
          <w:szCs w:val="21"/>
        </w:rPr>
        <w:t>B.</w:t>
      </w:r>
      <w:r w:rsidRPr="00E17D15">
        <w:rPr>
          <w:sz w:val="21"/>
          <w:szCs w:val="21"/>
        </w:rPr>
        <w:t xml:space="preserve"> Different water resource allocation system design patterns; the YRB is typical of a top-down system. </w:t>
      </w:r>
      <w:r w:rsidRPr="00E17D15">
        <w:rPr>
          <w:b/>
          <w:bCs/>
          <w:sz w:val="21"/>
          <w:szCs w:val="21"/>
        </w:rPr>
        <w:t>C.</w:t>
      </w:r>
      <w:r w:rsidRPr="00E17D15">
        <w:rPr>
          <w:sz w:val="21"/>
          <w:szCs w:val="21"/>
        </w:rPr>
        <w:t xml:space="preserve"> The four periods of institutional evolution of water allocation of the YRB.</w:t>
      </w:r>
    </w:p>
    <w:p w14:paraId="30A99040" w14:textId="77777777" w:rsidR="005471AE" w:rsidRDefault="005471AE" w:rsidP="005471AE">
      <w:pPr>
        <w:pStyle w:val="a0"/>
      </w:pPr>
      <w:r>
        <w:t xml:space="preserve">Based on the above documents, we abstracted the structural changes of SES (see </w:t>
      </w:r>
      <w:r>
        <w:rPr>
          <w:i/>
          <w:iCs/>
        </w:rPr>
        <w:t>Appendix S2</w:t>
      </w:r>
      <w:r>
        <w:t>) after the two institutional changes, as shown in Figure 1 C.</w:t>
      </w:r>
    </w:p>
    <w:p w14:paraId="740FBB9E" w14:textId="77777777" w:rsidR="005471AE" w:rsidRDefault="005471AE" w:rsidP="005471AE">
      <w:pPr>
        <w:pStyle w:val="a0"/>
        <w:rPr>
          <w:sz w:val="21"/>
          <w:szCs w:val="21"/>
        </w:rPr>
      </w:pPr>
      <w:r w:rsidRPr="00075A7E">
        <w:rPr>
          <w:b/>
          <w:bCs/>
          <w:sz w:val="21"/>
          <w:szCs w:val="21"/>
        </w:rPr>
        <w:t>Table 1.</w:t>
      </w:r>
      <w:r w:rsidRPr="00075A7E">
        <w:rPr>
          <w:sz w:val="21"/>
          <w:szCs w:val="21"/>
        </w:rPr>
        <w:t xml:space="preserve"> Water quotas assigned in the 87-WAS</w:t>
      </w:r>
    </w:p>
    <w:tbl>
      <w:tblPr>
        <w:tblStyle w:val="aff"/>
        <w:tblW w:w="565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054"/>
        <w:gridCol w:w="996"/>
        <w:gridCol w:w="875"/>
        <w:gridCol w:w="728"/>
        <w:gridCol w:w="876"/>
        <w:gridCol w:w="874"/>
        <w:gridCol w:w="729"/>
        <w:gridCol w:w="878"/>
        <w:gridCol w:w="727"/>
        <w:gridCol w:w="989"/>
        <w:gridCol w:w="725"/>
      </w:tblGrid>
      <w:tr w:rsidR="005471AE" w:rsidRPr="00E754D4" w14:paraId="4DEC54EA" w14:textId="77777777" w:rsidTr="00E01D38">
        <w:tc>
          <w:tcPr>
            <w:tcW w:w="982" w:type="pct"/>
            <w:tcBorders>
              <w:top w:val="single" w:sz="4" w:space="0" w:color="auto"/>
              <w:bottom w:val="single" w:sz="4" w:space="0" w:color="auto"/>
            </w:tcBorders>
          </w:tcPr>
          <w:p w14:paraId="1A9D8A79" w14:textId="77777777" w:rsidR="005471AE" w:rsidRPr="00E754D4" w:rsidRDefault="005471AE" w:rsidP="00E01D38">
            <w:pPr>
              <w:pStyle w:val="a0"/>
              <w:rPr>
                <w:sz w:val="16"/>
                <w:szCs w:val="16"/>
              </w:rPr>
            </w:pPr>
            <w:r w:rsidRPr="00E754D4">
              <w:rPr>
                <w:sz w:val="16"/>
                <w:szCs w:val="16"/>
              </w:rPr>
              <w:t xml:space="preserve">Items (water volume, billion </w:t>
            </w:r>
            <w:r w:rsidRPr="00E754D4">
              <w:rPr>
                <w:sz w:val="16"/>
                <w:szCs w:val="16"/>
                <w:lang w:eastAsia="zh-CN"/>
              </w:rPr>
              <w:t>m</w:t>
            </w:r>
            <w:r w:rsidRPr="00AE7670">
              <w:rPr>
                <w:sz w:val="16"/>
                <w:szCs w:val="16"/>
                <w:vertAlign w:val="superscript"/>
              </w:rPr>
              <w:t>3</w:t>
            </w:r>
            <w:r w:rsidRPr="00E754D4">
              <w:rPr>
                <w:sz w:val="16"/>
                <w:szCs w:val="16"/>
              </w:rPr>
              <w:t xml:space="preserve"> )</w:t>
            </w:r>
          </w:p>
        </w:tc>
        <w:tc>
          <w:tcPr>
            <w:tcW w:w="476" w:type="pct"/>
            <w:tcBorders>
              <w:top w:val="single" w:sz="4" w:space="0" w:color="auto"/>
              <w:bottom w:val="single" w:sz="4" w:space="0" w:color="auto"/>
            </w:tcBorders>
          </w:tcPr>
          <w:p w14:paraId="28D5F0FE" w14:textId="77777777" w:rsidR="005471AE" w:rsidRPr="00E754D4" w:rsidRDefault="005471AE" w:rsidP="00E01D38">
            <w:pPr>
              <w:pStyle w:val="a0"/>
              <w:rPr>
                <w:sz w:val="16"/>
                <w:szCs w:val="16"/>
              </w:rPr>
            </w:pPr>
            <w:r w:rsidRPr="00E754D4">
              <w:rPr>
                <w:sz w:val="16"/>
                <w:szCs w:val="16"/>
              </w:rPr>
              <w:t>Qinghai</w:t>
            </w:r>
          </w:p>
        </w:tc>
        <w:tc>
          <w:tcPr>
            <w:tcW w:w="418" w:type="pct"/>
            <w:tcBorders>
              <w:top w:val="single" w:sz="4" w:space="0" w:color="auto"/>
              <w:bottom w:val="single" w:sz="4" w:space="0" w:color="auto"/>
            </w:tcBorders>
          </w:tcPr>
          <w:p w14:paraId="328AFA1F" w14:textId="77777777" w:rsidR="005471AE" w:rsidRPr="00E754D4" w:rsidRDefault="005471AE" w:rsidP="00E01D38">
            <w:pPr>
              <w:pStyle w:val="a0"/>
              <w:rPr>
                <w:sz w:val="16"/>
                <w:szCs w:val="16"/>
              </w:rPr>
            </w:pPr>
            <w:r w:rsidRPr="00E754D4">
              <w:rPr>
                <w:sz w:val="16"/>
                <w:szCs w:val="16"/>
              </w:rPr>
              <w:t>Sichuan</w:t>
            </w:r>
          </w:p>
        </w:tc>
        <w:tc>
          <w:tcPr>
            <w:tcW w:w="348" w:type="pct"/>
            <w:tcBorders>
              <w:top w:val="single" w:sz="4" w:space="0" w:color="auto"/>
              <w:bottom w:val="single" w:sz="4" w:space="0" w:color="auto"/>
            </w:tcBorders>
          </w:tcPr>
          <w:p w14:paraId="18AA336F" w14:textId="77777777" w:rsidR="005471AE" w:rsidRPr="00E754D4" w:rsidRDefault="005471AE" w:rsidP="00E01D38">
            <w:pPr>
              <w:pStyle w:val="a0"/>
              <w:rPr>
                <w:sz w:val="16"/>
                <w:szCs w:val="16"/>
              </w:rPr>
            </w:pPr>
            <w:r w:rsidRPr="00E754D4">
              <w:rPr>
                <w:sz w:val="16"/>
                <w:szCs w:val="16"/>
              </w:rPr>
              <w:t>Gansu</w:t>
            </w:r>
          </w:p>
        </w:tc>
        <w:tc>
          <w:tcPr>
            <w:tcW w:w="419" w:type="pct"/>
            <w:tcBorders>
              <w:top w:val="single" w:sz="4" w:space="0" w:color="auto"/>
              <w:bottom w:val="single" w:sz="4" w:space="0" w:color="auto"/>
            </w:tcBorders>
          </w:tcPr>
          <w:p w14:paraId="5483D754" w14:textId="77777777" w:rsidR="005471AE" w:rsidRPr="00E754D4" w:rsidRDefault="005471AE" w:rsidP="00E01D38">
            <w:pPr>
              <w:pStyle w:val="a0"/>
              <w:rPr>
                <w:sz w:val="16"/>
                <w:szCs w:val="16"/>
              </w:rPr>
            </w:pPr>
            <w:r w:rsidRPr="00E754D4">
              <w:rPr>
                <w:sz w:val="16"/>
                <w:szCs w:val="16"/>
              </w:rPr>
              <w:t>Ningxia</w:t>
            </w:r>
          </w:p>
        </w:tc>
        <w:tc>
          <w:tcPr>
            <w:tcW w:w="418" w:type="pct"/>
            <w:tcBorders>
              <w:top w:val="single" w:sz="4" w:space="0" w:color="auto"/>
              <w:bottom w:val="single" w:sz="4" w:space="0" w:color="auto"/>
            </w:tcBorders>
          </w:tcPr>
          <w:p w14:paraId="60E89F95" w14:textId="77777777" w:rsidR="005471AE" w:rsidRPr="00E754D4" w:rsidRDefault="005471AE" w:rsidP="00E01D38">
            <w:pPr>
              <w:pStyle w:val="a0"/>
              <w:rPr>
                <w:sz w:val="16"/>
                <w:szCs w:val="16"/>
              </w:rPr>
            </w:pPr>
            <w:r w:rsidRPr="00E754D4">
              <w:rPr>
                <w:sz w:val="16"/>
                <w:szCs w:val="16"/>
              </w:rPr>
              <w:t>Inner Mongolia</w:t>
            </w:r>
          </w:p>
        </w:tc>
        <w:tc>
          <w:tcPr>
            <w:tcW w:w="349" w:type="pct"/>
            <w:tcBorders>
              <w:top w:val="single" w:sz="4" w:space="0" w:color="auto"/>
              <w:bottom w:val="single" w:sz="4" w:space="0" w:color="auto"/>
            </w:tcBorders>
          </w:tcPr>
          <w:p w14:paraId="573F10D0" w14:textId="77777777" w:rsidR="005471AE" w:rsidRPr="00E754D4" w:rsidRDefault="005471AE" w:rsidP="00E01D38">
            <w:pPr>
              <w:pStyle w:val="a0"/>
              <w:rPr>
                <w:sz w:val="16"/>
                <w:szCs w:val="16"/>
              </w:rPr>
            </w:pPr>
            <w:r w:rsidRPr="00E754D4">
              <w:rPr>
                <w:sz w:val="16"/>
                <w:szCs w:val="16"/>
              </w:rPr>
              <w:t>Shanxi</w:t>
            </w:r>
          </w:p>
        </w:tc>
        <w:tc>
          <w:tcPr>
            <w:tcW w:w="420" w:type="pct"/>
            <w:tcBorders>
              <w:top w:val="single" w:sz="4" w:space="0" w:color="auto"/>
              <w:bottom w:val="single" w:sz="4" w:space="0" w:color="auto"/>
            </w:tcBorders>
          </w:tcPr>
          <w:p w14:paraId="2974D4CE" w14:textId="77777777" w:rsidR="005471AE" w:rsidRPr="00E754D4" w:rsidRDefault="005471AE" w:rsidP="00E01D38">
            <w:pPr>
              <w:pStyle w:val="a0"/>
              <w:rPr>
                <w:sz w:val="16"/>
                <w:szCs w:val="16"/>
              </w:rPr>
            </w:pPr>
            <w:r w:rsidRPr="00E754D4">
              <w:rPr>
                <w:sz w:val="16"/>
                <w:szCs w:val="16"/>
              </w:rPr>
              <w:t>Shaanxi</w:t>
            </w:r>
          </w:p>
        </w:tc>
        <w:tc>
          <w:tcPr>
            <w:tcW w:w="348" w:type="pct"/>
            <w:tcBorders>
              <w:top w:val="single" w:sz="4" w:space="0" w:color="auto"/>
              <w:bottom w:val="single" w:sz="4" w:space="0" w:color="auto"/>
            </w:tcBorders>
          </w:tcPr>
          <w:p w14:paraId="0214A321" w14:textId="77777777" w:rsidR="005471AE" w:rsidRPr="00E754D4" w:rsidRDefault="005471AE" w:rsidP="00E01D38">
            <w:pPr>
              <w:pStyle w:val="a0"/>
              <w:rPr>
                <w:sz w:val="16"/>
                <w:szCs w:val="16"/>
              </w:rPr>
            </w:pPr>
            <w:r w:rsidRPr="00E754D4">
              <w:rPr>
                <w:sz w:val="16"/>
                <w:szCs w:val="16"/>
              </w:rPr>
              <w:t>Henan</w:t>
            </w:r>
          </w:p>
        </w:tc>
        <w:tc>
          <w:tcPr>
            <w:tcW w:w="473" w:type="pct"/>
            <w:tcBorders>
              <w:top w:val="single" w:sz="4" w:space="0" w:color="auto"/>
              <w:bottom w:val="single" w:sz="4" w:space="0" w:color="auto"/>
            </w:tcBorders>
          </w:tcPr>
          <w:p w14:paraId="6CC2D69E" w14:textId="77777777" w:rsidR="005471AE" w:rsidRPr="00E754D4" w:rsidRDefault="005471AE" w:rsidP="00E01D38">
            <w:pPr>
              <w:pStyle w:val="a0"/>
              <w:rPr>
                <w:sz w:val="16"/>
                <w:szCs w:val="16"/>
              </w:rPr>
            </w:pPr>
            <w:r w:rsidRPr="00E754D4">
              <w:rPr>
                <w:sz w:val="16"/>
                <w:szCs w:val="16"/>
              </w:rPr>
              <w:t>Shandong</w:t>
            </w:r>
          </w:p>
        </w:tc>
        <w:tc>
          <w:tcPr>
            <w:tcW w:w="347" w:type="pct"/>
            <w:tcBorders>
              <w:top w:val="single" w:sz="4" w:space="0" w:color="auto"/>
              <w:bottom w:val="single" w:sz="4" w:space="0" w:color="auto"/>
            </w:tcBorders>
          </w:tcPr>
          <w:p w14:paraId="09B05CFF" w14:textId="77777777" w:rsidR="005471AE" w:rsidRPr="00E754D4" w:rsidRDefault="005471AE" w:rsidP="00E01D38">
            <w:pPr>
              <w:pStyle w:val="a0"/>
              <w:rPr>
                <w:sz w:val="16"/>
                <w:szCs w:val="16"/>
              </w:rPr>
            </w:pPr>
            <w:r w:rsidRPr="00E754D4">
              <w:rPr>
                <w:sz w:val="16"/>
                <w:szCs w:val="16"/>
              </w:rPr>
              <w:t xml:space="preserve">Jinji </w:t>
            </w:r>
          </w:p>
        </w:tc>
      </w:tr>
      <w:tr w:rsidR="005471AE" w:rsidRPr="00E754D4" w14:paraId="73F075A2" w14:textId="77777777" w:rsidTr="00E01D38">
        <w:tc>
          <w:tcPr>
            <w:tcW w:w="982" w:type="pct"/>
            <w:tcBorders>
              <w:top w:val="single" w:sz="4" w:space="0" w:color="auto"/>
            </w:tcBorders>
          </w:tcPr>
          <w:p w14:paraId="7E826A46" w14:textId="77777777" w:rsidR="005471AE" w:rsidRPr="00E754D4" w:rsidRDefault="005471AE" w:rsidP="00E01D38">
            <w:pPr>
              <w:pStyle w:val="a0"/>
              <w:rPr>
                <w:sz w:val="16"/>
                <w:szCs w:val="16"/>
              </w:rPr>
            </w:pPr>
            <w:r w:rsidRPr="00E754D4">
              <w:rPr>
                <w:sz w:val="16"/>
                <w:szCs w:val="16"/>
              </w:rPr>
              <w:t>Demands in water plan</w:t>
            </w:r>
          </w:p>
        </w:tc>
        <w:tc>
          <w:tcPr>
            <w:tcW w:w="476" w:type="pct"/>
            <w:tcBorders>
              <w:top w:val="single" w:sz="4" w:space="0" w:color="auto"/>
            </w:tcBorders>
          </w:tcPr>
          <w:p w14:paraId="6C33F464" w14:textId="77777777" w:rsidR="005471AE" w:rsidRPr="00E754D4" w:rsidRDefault="005471AE" w:rsidP="00E01D38">
            <w:pPr>
              <w:pStyle w:val="a0"/>
              <w:rPr>
                <w:sz w:val="16"/>
                <w:szCs w:val="16"/>
              </w:rPr>
            </w:pPr>
            <w:r w:rsidRPr="00E754D4">
              <w:rPr>
                <w:sz w:val="16"/>
                <w:szCs w:val="16"/>
              </w:rPr>
              <w:t>35.7</w:t>
            </w:r>
          </w:p>
        </w:tc>
        <w:tc>
          <w:tcPr>
            <w:tcW w:w="418" w:type="pct"/>
            <w:tcBorders>
              <w:top w:val="single" w:sz="4" w:space="0" w:color="auto"/>
            </w:tcBorders>
          </w:tcPr>
          <w:p w14:paraId="20338F00" w14:textId="77777777" w:rsidR="005471AE" w:rsidRPr="00E754D4" w:rsidRDefault="005471AE" w:rsidP="00E01D38">
            <w:pPr>
              <w:pStyle w:val="a0"/>
              <w:rPr>
                <w:sz w:val="16"/>
                <w:szCs w:val="16"/>
              </w:rPr>
            </w:pPr>
            <w:r w:rsidRPr="00E754D4">
              <w:rPr>
                <w:sz w:val="16"/>
                <w:szCs w:val="16"/>
              </w:rPr>
              <w:t>0</w:t>
            </w:r>
          </w:p>
        </w:tc>
        <w:tc>
          <w:tcPr>
            <w:tcW w:w="348" w:type="pct"/>
            <w:tcBorders>
              <w:top w:val="single" w:sz="4" w:space="0" w:color="auto"/>
            </w:tcBorders>
          </w:tcPr>
          <w:p w14:paraId="7501B16A" w14:textId="77777777" w:rsidR="005471AE" w:rsidRPr="00E754D4" w:rsidRDefault="005471AE" w:rsidP="00E01D38">
            <w:pPr>
              <w:pStyle w:val="a0"/>
              <w:rPr>
                <w:sz w:val="16"/>
                <w:szCs w:val="16"/>
              </w:rPr>
            </w:pPr>
            <w:r w:rsidRPr="00E754D4">
              <w:rPr>
                <w:sz w:val="16"/>
                <w:szCs w:val="16"/>
              </w:rPr>
              <w:t>73.5</w:t>
            </w:r>
          </w:p>
        </w:tc>
        <w:tc>
          <w:tcPr>
            <w:tcW w:w="419" w:type="pct"/>
            <w:tcBorders>
              <w:top w:val="single" w:sz="4" w:space="0" w:color="auto"/>
            </w:tcBorders>
          </w:tcPr>
          <w:p w14:paraId="5D00151C" w14:textId="77777777" w:rsidR="005471AE" w:rsidRPr="00E754D4" w:rsidRDefault="005471AE" w:rsidP="00E01D38">
            <w:pPr>
              <w:pStyle w:val="a0"/>
              <w:rPr>
                <w:sz w:val="16"/>
                <w:szCs w:val="16"/>
              </w:rPr>
            </w:pPr>
            <w:r w:rsidRPr="00E754D4">
              <w:rPr>
                <w:sz w:val="16"/>
                <w:szCs w:val="16"/>
              </w:rPr>
              <w:t>60.5</w:t>
            </w:r>
          </w:p>
        </w:tc>
        <w:tc>
          <w:tcPr>
            <w:tcW w:w="418" w:type="pct"/>
            <w:tcBorders>
              <w:top w:val="single" w:sz="4" w:space="0" w:color="auto"/>
            </w:tcBorders>
          </w:tcPr>
          <w:p w14:paraId="6736B8B3" w14:textId="77777777" w:rsidR="005471AE" w:rsidRPr="00E754D4" w:rsidRDefault="005471AE" w:rsidP="00E01D38">
            <w:pPr>
              <w:pStyle w:val="a0"/>
              <w:rPr>
                <w:sz w:val="16"/>
                <w:szCs w:val="16"/>
              </w:rPr>
            </w:pPr>
            <w:r w:rsidRPr="00E754D4">
              <w:rPr>
                <w:sz w:val="16"/>
                <w:szCs w:val="16"/>
              </w:rPr>
              <w:t>148.9</w:t>
            </w:r>
          </w:p>
        </w:tc>
        <w:tc>
          <w:tcPr>
            <w:tcW w:w="349" w:type="pct"/>
            <w:tcBorders>
              <w:top w:val="single" w:sz="4" w:space="0" w:color="auto"/>
            </w:tcBorders>
          </w:tcPr>
          <w:p w14:paraId="39588996" w14:textId="77777777" w:rsidR="005471AE" w:rsidRPr="00E754D4" w:rsidRDefault="005471AE" w:rsidP="00E01D38">
            <w:pPr>
              <w:pStyle w:val="a0"/>
              <w:rPr>
                <w:sz w:val="16"/>
                <w:szCs w:val="16"/>
              </w:rPr>
            </w:pPr>
            <w:r w:rsidRPr="00E754D4">
              <w:rPr>
                <w:sz w:val="16"/>
                <w:szCs w:val="16"/>
              </w:rPr>
              <w:t>115</w:t>
            </w:r>
          </w:p>
        </w:tc>
        <w:tc>
          <w:tcPr>
            <w:tcW w:w="420" w:type="pct"/>
            <w:tcBorders>
              <w:top w:val="single" w:sz="4" w:space="0" w:color="auto"/>
            </w:tcBorders>
          </w:tcPr>
          <w:p w14:paraId="14A3222D" w14:textId="77777777" w:rsidR="005471AE" w:rsidRPr="00E754D4" w:rsidRDefault="005471AE" w:rsidP="00E01D38">
            <w:pPr>
              <w:pStyle w:val="a0"/>
              <w:rPr>
                <w:sz w:val="16"/>
                <w:szCs w:val="16"/>
              </w:rPr>
            </w:pPr>
            <w:r w:rsidRPr="00E754D4">
              <w:rPr>
                <w:sz w:val="16"/>
                <w:szCs w:val="16"/>
              </w:rPr>
              <w:t>60.8</w:t>
            </w:r>
          </w:p>
        </w:tc>
        <w:tc>
          <w:tcPr>
            <w:tcW w:w="348" w:type="pct"/>
            <w:tcBorders>
              <w:top w:val="single" w:sz="4" w:space="0" w:color="auto"/>
            </w:tcBorders>
          </w:tcPr>
          <w:p w14:paraId="5162D44A" w14:textId="77777777" w:rsidR="005471AE" w:rsidRPr="00E754D4" w:rsidRDefault="005471AE" w:rsidP="00E01D38">
            <w:pPr>
              <w:pStyle w:val="a0"/>
              <w:rPr>
                <w:sz w:val="16"/>
                <w:szCs w:val="16"/>
              </w:rPr>
            </w:pPr>
            <w:r w:rsidRPr="00E754D4">
              <w:rPr>
                <w:sz w:val="16"/>
                <w:szCs w:val="16"/>
              </w:rPr>
              <w:t>111.8</w:t>
            </w:r>
          </w:p>
        </w:tc>
        <w:tc>
          <w:tcPr>
            <w:tcW w:w="473" w:type="pct"/>
            <w:tcBorders>
              <w:top w:val="single" w:sz="4" w:space="0" w:color="auto"/>
            </w:tcBorders>
          </w:tcPr>
          <w:p w14:paraId="577700B6" w14:textId="77777777" w:rsidR="005471AE" w:rsidRPr="00E754D4" w:rsidRDefault="005471AE" w:rsidP="00E01D38">
            <w:pPr>
              <w:pStyle w:val="a0"/>
              <w:rPr>
                <w:sz w:val="16"/>
                <w:szCs w:val="16"/>
              </w:rPr>
            </w:pPr>
            <w:r w:rsidRPr="00E754D4">
              <w:rPr>
                <w:sz w:val="16"/>
                <w:szCs w:val="16"/>
              </w:rPr>
              <w:t>84</w:t>
            </w:r>
          </w:p>
        </w:tc>
        <w:tc>
          <w:tcPr>
            <w:tcW w:w="347" w:type="pct"/>
            <w:tcBorders>
              <w:top w:val="single" w:sz="4" w:space="0" w:color="auto"/>
            </w:tcBorders>
          </w:tcPr>
          <w:p w14:paraId="0B631A31" w14:textId="77777777" w:rsidR="005471AE" w:rsidRPr="00E754D4" w:rsidRDefault="005471AE" w:rsidP="00E01D38">
            <w:pPr>
              <w:pStyle w:val="a0"/>
              <w:rPr>
                <w:sz w:val="16"/>
                <w:szCs w:val="16"/>
              </w:rPr>
            </w:pPr>
            <w:r w:rsidRPr="00E754D4">
              <w:rPr>
                <w:sz w:val="16"/>
                <w:szCs w:val="16"/>
              </w:rPr>
              <w:t>6</w:t>
            </w:r>
          </w:p>
        </w:tc>
      </w:tr>
      <w:tr w:rsidR="005471AE" w:rsidRPr="00E754D4" w14:paraId="4EBBDA5E" w14:textId="77777777" w:rsidTr="00E01D38">
        <w:tc>
          <w:tcPr>
            <w:tcW w:w="982" w:type="pct"/>
          </w:tcPr>
          <w:p w14:paraId="6ADDABA7" w14:textId="77777777" w:rsidR="005471AE" w:rsidRPr="00E754D4" w:rsidRDefault="005471AE" w:rsidP="00E01D38">
            <w:pPr>
              <w:pStyle w:val="a0"/>
              <w:rPr>
                <w:sz w:val="16"/>
                <w:szCs w:val="16"/>
              </w:rPr>
            </w:pPr>
            <w:r w:rsidRPr="00E754D4">
              <w:rPr>
                <w:sz w:val="16"/>
                <w:szCs w:val="16"/>
              </w:rPr>
              <w:t>Quota designed in 1983</w:t>
            </w:r>
          </w:p>
        </w:tc>
        <w:tc>
          <w:tcPr>
            <w:tcW w:w="476" w:type="pct"/>
          </w:tcPr>
          <w:p w14:paraId="550F23C5" w14:textId="77777777" w:rsidR="005471AE" w:rsidRPr="00E754D4" w:rsidRDefault="005471AE" w:rsidP="00E01D38">
            <w:pPr>
              <w:pStyle w:val="a0"/>
              <w:rPr>
                <w:sz w:val="16"/>
                <w:szCs w:val="16"/>
              </w:rPr>
            </w:pPr>
            <w:r w:rsidRPr="00E754D4">
              <w:rPr>
                <w:sz w:val="16"/>
                <w:szCs w:val="16"/>
              </w:rPr>
              <w:t>14</w:t>
            </w:r>
          </w:p>
        </w:tc>
        <w:tc>
          <w:tcPr>
            <w:tcW w:w="418" w:type="pct"/>
          </w:tcPr>
          <w:p w14:paraId="40DC3161" w14:textId="77777777" w:rsidR="005471AE" w:rsidRPr="00E754D4" w:rsidRDefault="005471AE" w:rsidP="00E01D38">
            <w:pPr>
              <w:pStyle w:val="a0"/>
              <w:rPr>
                <w:sz w:val="16"/>
                <w:szCs w:val="16"/>
              </w:rPr>
            </w:pPr>
            <w:r w:rsidRPr="00E754D4">
              <w:rPr>
                <w:sz w:val="16"/>
                <w:szCs w:val="16"/>
              </w:rPr>
              <w:t>0</w:t>
            </w:r>
          </w:p>
        </w:tc>
        <w:tc>
          <w:tcPr>
            <w:tcW w:w="348" w:type="pct"/>
          </w:tcPr>
          <w:p w14:paraId="5A5F36E5" w14:textId="77777777" w:rsidR="005471AE" w:rsidRPr="00E754D4" w:rsidRDefault="005471AE" w:rsidP="00E01D38">
            <w:pPr>
              <w:pStyle w:val="a0"/>
              <w:rPr>
                <w:sz w:val="16"/>
                <w:szCs w:val="16"/>
              </w:rPr>
            </w:pPr>
            <w:r w:rsidRPr="00E754D4">
              <w:rPr>
                <w:sz w:val="16"/>
                <w:szCs w:val="16"/>
              </w:rPr>
              <w:t>30</w:t>
            </w:r>
          </w:p>
        </w:tc>
        <w:tc>
          <w:tcPr>
            <w:tcW w:w="419" w:type="pct"/>
          </w:tcPr>
          <w:p w14:paraId="11C9D52C" w14:textId="77777777" w:rsidR="005471AE" w:rsidRPr="00E754D4" w:rsidRDefault="005471AE" w:rsidP="00E01D38">
            <w:pPr>
              <w:pStyle w:val="a0"/>
              <w:rPr>
                <w:sz w:val="16"/>
                <w:szCs w:val="16"/>
              </w:rPr>
            </w:pPr>
            <w:r w:rsidRPr="00E754D4">
              <w:rPr>
                <w:sz w:val="16"/>
                <w:szCs w:val="16"/>
              </w:rPr>
              <w:t>40</w:t>
            </w:r>
          </w:p>
        </w:tc>
        <w:tc>
          <w:tcPr>
            <w:tcW w:w="418" w:type="pct"/>
          </w:tcPr>
          <w:p w14:paraId="0703B4A2" w14:textId="77777777" w:rsidR="005471AE" w:rsidRPr="00E754D4" w:rsidRDefault="005471AE" w:rsidP="00E01D38">
            <w:pPr>
              <w:pStyle w:val="a0"/>
              <w:rPr>
                <w:sz w:val="16"/>
                <w:szCs w:val="16"/>
              </w:rPr>
            </w:pPr>
            <w:r w:rsidRPr="00E754D4">
              <w:rPr>
                <w:sz w:val="16"/>
                <w:szCs w:val="16"/>
              </w:rPr>
              <w:t>62</w:t>
            </w:r>
          </w:p>
        </w:tc>
        <w:tc>
          <w:tcPr>
            <w:tcW w:w="349" w:type="pct"/>
          </w:tcPr>
          <w:p w14:paraId="34354E72" w14:textId="77777777" w:rsidR="005471AE" w:rsidRPr="00E754D4" w:rsidRDefault="005471AE" w:rsidP="00E01D38">
            <w:pPr>
              <w:pStyle w:val="a0"/>
              <w:rPr>
                <w:sz w:val="16"/>
                <w:szCs w:val="16"/>
              </w:rPr>
            </w:pPr>
            <w:r w:rsidRPr="00E754D4">
              <w:rPr>
                <w:sz w:val="16"/>
                <w:szCs w:val="16"/>
              </w:rPr>
              <w:t>43</w:t>
            </w:r>
          </w:p>
        </w:tc>
        <w:tc>
          <w:tcPr>
            <w:tcW w:w="420" w:type="pct"/>
          </w:tcPr>
          <w:p w14:paraId="7C0F299A" w14:textId="77777777" w:rsidR="005471AE" w:rsidRPr="00E754D4" w:rsidRDefault="005471AE" w:rsidP="00E01D38">
            <w:pPr>
              <w:pStyle w:val="a0"/>
              <w:rPr>
                <w:sz w:val="16"/>
                <w:szCs w:val="16"/>
              </w:rPr>
            </w:pPr>
            <w:r w:rsidRPr="00E754D4">
              <w:rPr>
                <w:sz w:val="16"/>
                <w:szCs w:val="16"/>
              </w:rPr>
              <w:t>52</w:t>
            </w:r>
          </w:p>
        </w:tc>
        <w:tc>
          <w:tcPr>
            <w:tcW w:w="348" w:type="pct"/>
          </w:tcPr>
          <w:p w14:paraId="6CBBF001" w14:textId="77777777" w:rsidR="005471AE" w:rsidRPr="00E754D4" w:rsidRDefault="005471AE" w:rsidP="00E01D38">
            <w:pPr>
              <w:pStyle w:val="a0"/>
              <w:rPr>
                <w:sz w:val="16"/>
                <w:szCs w:val="16"/>
              </w:rPr>
            </w:pPr>
            <w:r w:rsidRPr="00E754D4">
              <w:rPr>
                <w:sz w:val="16"/>
                <w:szCs w:val="16"/>
              </w:rPr>
              <w:t>58</w:t>
            </w:r>
          </w:p>
        </w:tc>
        <w:tc>
          <w:tcPr>
            <w:tcW w:w="473" w:type="pct"/>
          </w:tcPr>
          <w:p w14:paraId="00F34855" w14:textId="77777777" w:rsidR="005471AE" w:rsidRPr="00E754D4" w:rsidRDefault="005471AE" w:rsidP="00E01D38">
            <w:pPr>
              <w:pStyle w:val="a0"/>
              <w:rPr>
                <w:sz w:val="16"/>
                <w:szCs w:val="16"/>
              </w:rPr>
            </w:pPr>
            <w:r w:rsidRPr="00E754D4">
              <w:rPr>
                <w:sz w:val="16"/>
                <w:szCs w:val="16"/>
              </w:rPr>
              <w:t>75</w:t>
            </w:r>
          </w:p>
        </w:tc>
        <w:tc>
          <w:tcPr>
            <w:tcW w:w="347" w:type="pct"/>
          </w:tcPr>
          <w:p w14:paraId="102AA2FF" w14:textId="77777777" w:rsidR="005471AE" w:rsidRPr="00E754D4" w:rsidRDefault="005471AE" w:rsidP="00E01D38">
            <w:pPr>
              <w:pStyle w:val="a0"/>
              <w:rPr>
                <w:sz w:val="16"/>
                <w:szCs w:val="16"/>
              </w:rPr>
            </w:pPr>
            <w:r w:rsidRPr="00E754D4">
              <w:rPr>
                <w:sz w:val="16"/>
                <w:szCs w:val="16"/>
              </w:rPr>
              <w:t>0</w:t>
            </w:r>
          </w:p>
        </w:tc>
      </w:tr>
      <w:tr w:rsidR="005471AE" w:rsidRPr="00E754D4" w14:paraId="28B7CF79" w14:textId="77777777" w:rsidTr="00E01D38">
        <w:tc>
          <w:tcPr>
            <w:tcW w:w="982" w:type="pct"/>
          </w:tcPr>
          <w:p w14:paraId="17B5234D" w14:textId="77777777" w:rsidR="005471AE" w:rsidRPr="00E754D4" w:rsidRDefault="005471AE" w:rsidP="00E01D38">
            <w:pPr>
              <w:pStyle w:val="a0"/>
              <w:rPr>
                <w:sz w:val="16"/>
                <w:szCs w:val="16"/>
              </w:rPr>
            </w:pPr>
            <w:r w:rsidRPr="00E754D4">
              <w:rPr>
                <w:sz w:val="16"/>
                <w:szCs w:val="16"/>
              </w:rPr>
              <w:t>Quota assigned in 1987</w:t>
            </w:r>
          </w:p>
        </w:tc>
        <w:tc>
          <w:tcPr>
            <w:tcW w:w="476" w:type="pct"/>
          </w:tcPr>
          <w:p w14:paraId="1B18065C" w14:textId="77777777" w:rsidR="005471AE" w:rsidRPr="00E754D4" w:rsidRDefault="005471AE" w:rsidP="00E01D38">
            <w:pPr>
              <w:pStyle w:val="a0"/>
              <w:rPr>
                <w:sz w:val="16"/>
                <w:szCs w:val="16"/>
              </w:rPr>
            </w:pPr>
            <w:r w:rsidRPr="00E754D4">
              <w:rPr>
                <w:sz w:val="16"/>
                <w:szCs w:val="16"/>
              </w:rPr>
              <w:t>14.1</w:t>
            </w:r>
          </w:p>
        </w:tc>
        <w:tc>
          <w:tcPr>
            <w:tcW w:w="418" w:type="pct"/>
          </w:tcPr>
          <w:p w14:paraId="03B8B28B" w14:textId="77777777" w:rsidR="005471AE" w:rsidRPr="00E754D4" w:rsidRDefault="005471AE" w:rsidP="00E01D38">
            <w:pPr>
              <w:pStyle w:val="a0"/>
              <w:rPr>
                <w:sz w:val="16"/>
                <w:szCs w:val="16"/>
              </w:rPr>
            </w:pPr>
            <w:r w:rsidRPr="00E754D4">
              <w:rPr>
                <w:sz w:val="16"/>
                <w:szCs w:val="16"/>
              </w:rPr>
              <w:t>0.4</w:t>
            </w:r>
          </w:p>
        </w:tc>
        <w:tc>
          <w:tcPr>
            <w:tcW w:w="348" w:type="pct"/>
          </w:tcPr>
          <w:p w14:paraId="5FA63E09" w14:textId="77777777" w:rsidR="005471AE" w:rsidRPr="00E754D4" w:rsidRDefault="005471AE" w:rsidP="00E01D38">
            <w:pPr>
              <w:pStyle w:val="a0"/>
              <w:rPr>
                <w:sz w:val="16"/>
                <w:szCs w:val="16"/>
              </w:rPr>
            </w:pPr>
            <w:r w:rsidRPr="00E754D4">
              <w:rPr>
                <w:sz w:val="16"/>
                <w:szCs w:val="16"/>
              </w:rPr>
              <w:t>30.4</w:t>
            </w:r>
          </w:p>
        </w:tc>
        <w:tc>
          <w:tcPr>
            <w:tcW w:w="419" w:type="pct"/>
          </w:tcPr>
          <w:p w14:paraId="07A6BA50" w14:textId="77777777" w:rsidR="005471AE" w:rsidRPr="00E754D4" w:rsidRDefault="005471AE" w:rsidP="00E01D38">
            <w:pPr>
              <w:pStyle w:val="a0"/>
              <w:rPr>
                <w:sz w:val="16"/>
                <w:szCs w:val="16"/>
              </w:rPr>
            </w:pPr>
            <w:r w:rsidRPr="00E754D4">
              <w:rPr>
                <w:sz w:val="16"/>
                <w:szCs w:val="16"/>
              </w:rPr>
              <w:t>40.0</w:t>
            </w:r>
          </w:p>
        </w:tc>
        <w:tc>
          <w:tcPr>
            <w:tcW w:w="418" w:type="pct"/>
          </w:tcPr>
          <w:p w14:paraId="224636C7" w14:textId="77777777" w:rsidR="005471AE" w:rsidRPr="00E754D4" w:rsidRDefault="005471AE" w:rsidP="00E01D38">
            <w:pPr>
              <w:pStyle w:val="a0"/>
              <w:rPr>
                <w:sz w:val="16"/>
                <w:szCs w:val="16"/>
              </w:rPr>
            </w:pPr>
            <w:r w:rsidRPr="00E754D4">
              <w:rPr>
                <w:sz w:val="16"/>
                <w:szCs w:val="16"/>
              </w:rPr>
              <w:t>58.6</w:t>
            </w:r>
          </w:p>
        </w:tc>
        <w:tc>
          <w:tcPr>
            <w:tcW w:w="349" w:type="pct"/>
          </w:tcPr>
          <w:p w14:paraId="7AB02E1B" w14:textId="77777777" w:rsidR="005471AE" w:rsidRPr="00E754D4" w:rsidRDefault="005471AE" w:rsidP="00E01D38">
            <w:pPr>
              <w:pStyle w:val="a0"/>
              <w:rPr>
                <w:sz w:val="16"/>
                <w:szCs w:val="16"/>
              </w:rPr>
            </w:pPr>
            <w:r w:rsidRPr="00E754D4">
              <w:rPr>
                <w:sz w:val="16"/>
                <w:szCs w:val="16"/>
              </w:rPr>
              <w:t>38.0</w:t>
            </w:r>
          </w:p>
        </w:tc>
        <w:tc>
          <w:tcPr>
            <w:tcW w:w="420" w:type="pct"/>
          </w:tcPr>
          <w:p w14:paraId="53E5BC64" w14:textId="77777777" w:rsidR="005471AE" w:rsidRPr="00E754D4" w:rsidRDefault="005471AE" w:rsidP="00E01D38">
            <w:pPr>
              <w:pStyle w:val="a0"/>
              <w:rPr>
                <w:sz w:val="16"/>
                <w:szCs w:val="16"/>
              </w:rPr>
            </w:pPr>
            <w:r w:rsidRPr="00E754D4">
              <w:rPr>
                <w:sz w:val="16"/>
                <w:szCs w:val="16"/>
              </w:rPr>
              <w:t>43.1</w:t>
            </w:r>
          </w:p>
        </w:tc>
        <w:tc>
          <w:tcPr>
            <w:tcW w:w="348" w:type="pct"/>
          </w:tcPr>
          <w:p w14:paraId="2F792876" w14:textId="77777777" w:rsidR="005471AE" w:rsidRPr="00E754D4" w:rsidRDefault="005471AE" w:rsidP="00E01D38">
            <w:pPr>
              <w:pStyle w:val="a0"/>
              <w:rPr>
                <w:sz w:val="16"/>
                <w:szCs w:val="16"/>
              </w:rPr>
            </w:pPr>
            <w:r w:rsidRPr="00E754D4">
              <w:rPr>
                <w:sz w:val="16"/>
                <w:szCs w:val="16"/>
              </w:rPr>
              <w:t>55.4</w:t>
            </w:r>
          </w:p>
        </w:tc>
        <w:tc>
          <w:tcPr>
            <w:tcW w:w="473" w:type="pct"/>
          </w:tcPr>
          <w:p w14:paraId="5612126E" w14:textId="77777777" w:rsidR="005471AE" w:rsidRPr="00E754D4" w:rsidRDefault="005471AE" w:rsidP="00E01D38">
            <w:pPr>
              <w:pStyle w:val="a0"/>
              <w:rPr>
                <w:sz w:val="16"/>
                <w:szCs w:val="16"/>
              </w:rPr>
            </w:pPr>
            <w:r w:rsidRPr="00E754D4">
              <w:rPr>
                <w:sz w:val="16"/>
                <w:szCs w:val="16"/>
              </w:rPr>
              <w:t>70.0</w:t>
            </w:r>
          </w:p>
        </w:tc>
        <w:tc>
          <w:tcPr>
            <w:tcW w:w="347" w:type="pct"/>
          </w:tcPr>
          <w:p w14:paraId="0E59DE74" w14:textId="77777777" w:rsidR="005471AE" w:rsidRPr="00E754D4" w:rsidRDefault="005471AE" w:rsidP="00E01D38">
            <w:pPr>
              <w:pStyle w:val="a0"/>
              <w:rPr>
                <w:sz w:val="16"/>
                <w:szCs w:val="16"/>
              </w:rPr>
            </w:pPr>
            <w:r w:rsidRPr="00E754D4">
              <w:rPr>
                <w:sz w:val="16"/>
                <w:szCs w:val="16"/>
              </w:rPr>
              <w:t>20</w:t>
            </w:r>
          </w:p>
        </w:tc>
      </w:tr>
      <w:tr w:rsidR="005471AE" w:rsidRPr="00E754D4" w14:paraId="69424624" w14:textId="77777777" w:rsidTr="00E01D38">
        <w:tc>
          <w:tcPr>
            <w:tcW w:w="982" w:type="pct"/>
          </w:tcPr>
          <w:p w14:paraId="2E9F2BCD" w14:textId="77777777" w:rsidR="005471AE" w:rsidRPr="00E754D4" w:rsidRDefault="005471AE" w:rsidP="00E01D38">
            <w:pPr>
              <w:pStyle w:val="a0"/>
              <w:rPr>
                <w:sz w:val="16"/>
                <w:szCs w:val="16"/>
              </w:rPr>
            </w:pPr>
            <w:r w:rsidRPr="00E754D4">
              <w:rPr>
                <w:sz w:val="16"/>
                <w:szCs w:val="16"/>
              </w:rPr>
              <w:t>Average water consumption from the Yellow River from 1987-2008</w:t>
            </w:r>
          </w:p>
        </w:tc>
        <w:tc>
          <w:tcPr>
            <w:tcW w:w="476" w:type="pct"/>
          </w:tcPr>
          <w:p w14:paraId="2B601EF5" w14:textId="77777777" w:rsidR="005471AE" w:rsidRPr="00E754D4" w:rsidRDefault="005471AE" w:rsidP="00E01D38">
            <w:pPr>
              <w:pStyle w:val="a0"/>
              <w:rPr>
                <w:sz w:val="16"/>
                <w:szCs w:val="16"/>
              </w:rPr>
            </w:pPr>
            <w:r w:rsidRPr="00E754D4">
              <w:rPr>
                <w:sz w:val="16"/>
                <w:szCs w:val="16"/>
              </w:rPr>
              <w:t>12.03</w:t>
            </w:r>
          </w:p>
        </w:tc>
        <w:tc>
          <w:tcPr>
            <w:tcW w:w="418" w:type="pct"/>
          </w:tcPr>
          <w:p w14:paraId="21905B6C" w14:textId="77777777" w:rsidR="005471AE" w:rsidRPr="00E754D4" w:rsidRDefault="005471AE" w:rsidP="00E01D38">
            <w:pPr>
              <w:pStyle w:val="a0"/>
              <w:rPr>
                <w:sz w:val="16"/>
                <w:szCs w:val="16"/>
              </w:rPr>
            </w:pPr>
            <w:r w:rsidRPr="00E754D4">
              <w:rPr>
                <w:sz w:val="16"/>
                <w:szCs w:val="16"/>
              </w:rPr>
              <w:t>0.25</w:t>
            </w:r>
            <w:r w:rsidRPr="00E754D4">
              <w:rPr>
                <w:sz w:val="16"/>
                <w:szCs w:val="16"/>
                <w:vertAlign w:val="superscript"/>
              </w:rPr>
              <w:t>a</w:t>
            </w:r>
          </w:p>
        </w:tc>
        <w:tc>
          <w:tcPr>
            <w:tcW w:w="348" w:type="pct"/>
          </w:tcPr>
          <w:p w14:paraId="3A0FFD79" w14:textId="77777777" w:rsidR="005471AE" w:rsidRPr="00E754D4" w:rsidRDefault="005471AE" w:rsidP="00E01D38">
            <w:pPr>
              <w:pStyle w:val="a0"/>
              <w:rPr>
                <w:sz w:val="16"/>
                <w:szCs w:val="16"/>
              </w:rPr>
            </w:pPr>
            <w:r w:rsidRPr="00E754D4">
              <w:rPr>
                <w:sz w:val="16"/>
                <w:szCs w:val="16"/>
              </w:rPr>
              <w:t>25.80</w:t>
            </w:r>
          </w:p>
        </w:tc>
        <w:tc>
          <w:tcPr>
            <w:tcW w:w="419" w:type="pct"/>
          </w:tcPr>
          <w:p w14:paraId="127BF07D" w14:textId="77777777" w:rsidR="005471AE" w:rsidRPr="00E754D4" w:rsidRDefault="005471AE" w:rsidP="00E01D38">
            <w:pPr>
              <w:pStyle w:val="a0"/>
              <w:rPr>
                <w:sz w:val="16"/>
                <w:szCs w:val="16"/>
              </w:rPr>
            </w:pPr>
            <w:r w:rsidRPr="00E754D4">
              <w:rPr>
                <w:sz w:val="16"/>
                <w:szCs w:val="16"/>
              </w:rPr>
              <w:t>36.58</w:t>
            </w:r>
          </w:p>
        </w:tc>
        <w:tc>
          <w:tcPr>
            <w:tcW w:w="418" w:type="pct"/>
          </w:tcPr>
          <w:p w14:paraId="37C5A39B" w14:textId="77777777" w:rsidR="005471AE" w:rsidRPr="00E754D4" w:rsidRDefault="005471AE" w:rsidP="00E01D38">
            <w:pPr>
              <w:pStyle w:val="a0"/>
              <w:rPr>
                <w:sz w:val="16"/>
                <w:szCs w:val="16"/>
              </w:rPr>
            </w:pPr>
            <w:r w:rsidRPr="00E754D4">
              <w:rPr>
                <w:sz w:val="16"/>
                <w:szCs w:val="16"/>
              </w:rPr>
              <w:t>61.97</w:t>
            </w:r>
          </w:p>
        </w:tc>
        <w:tc>
          <w:tcPr>
            <w:tcW w:w="349" w:type="pct"/>
          </w:tcPr>
          <w:p w14:paraId="342253FD" w14:textId="77777777" w:rsidR="005471AE" w:rsidRPr="00E754D4" w:rsidRDefault="005471AE" w:rsidP="00E01D38">
            <w:pPr>
              <w:pStyle w:val="a0"/>
              <w:rPr>
                <w:sz w:val="16"/>
                <w:szCs w:val="16"/>
              </w:rPr>
            </w:pPr>
            <w:r w:rsidRPr="00E754D4">
              <w:rPr>
                <w:sz w:val="16"/>
                <w:szCs w:val="16"/>
              </w:rPr>
              <w:t>21.16</w:t>
            </w:r>
          </w:p>
        </w:tc>
        <w:tc>
          <w:tcPr>
            <w:tcW w:w="420" w:type="pct"/>
          </w:tcPr>
          <w:p w14:paraId="23FCF338" w14:textId="77777777" w:rsidR="005471AE" w:rsidRPr="00E754D4" w:rsidRDefault="005471AE" w:rsidP="00E01D38">
            <w:pPr>
              <w:pStyle w:val="a0"/>
              <w:rPr>
                <w:sz w:val="16"/>
                <w:szCs w:val="16"/>
              </w:rPr>
            </w:pPr>
            <w:r w:rsidRPr="00E754D4">
              <w:rPr>
                <w:sz w:val="16"/>
                <w:szCs w:val="16"/>
              </w:rPr>
              <w:t>11.97</w:t>
            </w:r>
          </w:p>
        </w:tc>
        <w:tc>
          <w:tcPr>
            <w:tcW w:w="348" w:type="pct"/>
          </w:tcPr>
          <w:p w14:paraId="3A0B6ACF" w14:textId="77777777" w:rsidR="005471AE" w:rsidRPr="00E754D4" w:rsidRDefault="005471AE" w:rsidP="00E01D38">
            <w:pPr>
              <w:pStyle w:val="a0"/>
              <w:rPr>
                <w:sz w:val="16"/>
                <w:szCs w:val="16"/>
              </w:rPr>
            </w:pPr>
            <w:r w:rsidRPr="00E754D4">
              <w:rPr>
                <w:sz w:val="16"/>
                <w:szCs w:val="16"/>
              </w:rPr>
              <w:t>34.30</w:t>
            </w:r>
          </w:p>
        </w:tc>
        <w:tc>
          <w:tcPr>
            <w:tcW w:w="473" w:type="pct"/>
          </w:tcPr>
          <w:p w14:paraId="630D5B44" w14:textId="77777777" w:rsidR="005471AE" w:rsidRPr="00E754D4" w:rsidRDefault="005471AE" w:rsidP="00E01D38">
            <w:pPr>
              <w:pStyle w:val="a0"/>
              <w:rPr>
                <w:sz w:val="16"/>
                <w:szCs w:val="16"/>
              </w:rPr>
            </w:pPr>
            <w:r w:rsidRPr="00E754D4">
              <w:rPr>
                <w:sz w:val="16"/>
                <w:szCs w:val="16"/>
              </w:rPr>
              <w:t>77.87</w:t>
            </w:r>
          </w:p>
        </w:tc>
        <w:tc>
          <w:tcPr>
            <w:tcW w:w="347" w:type="pct"/>
          </w:tcPr>
          <w:p w14:paraId="12733844" w14:textId="77777777" w:rsidR="005471AE" w:rsidRPr="00E754D4" w:rsidRDefault="005471AE" w:rsidP="00E01D38">
            <w:pPr>
              <w:pStyle w:val="a0"/>
              <w:rPr>
                <w:sz w:val="16"/>
                <w:szCs w:val="16"/>
              </w:rPr>
            </w:pPr>
            <w:r w:rsidRPr="00E754D4">
              <w:rPr>
                <w:sz w:val="16"/>
                <w:szCs w:val="16"/>
              </w:rPr>
              <w:t>5.85</w:t>
            </w:r>
            <w:r w:rsidRPr="00E754D4">
              <w:rPr>
                <w:sz w:val="16"/>
                <w:szCs w:val="16"/>
                <w:vertAlign w:val="superscript"/>
              </w:rPr>
              <w:t>a</w:t>
            </w:r>
          </w:p>
        </w:tc>
      </w:tr>
      <w:tr w:rsidR="005471AE" w:rsidRPr="00E754D4" w14:paraId="5F1135AB" w14:textId="77777777" w:rsidTr="00E01D38">
        <w:tc>
          <w:tcPr>
            <w:tcW w:w="982" w:type="pct"/>
            <w:tcBorders>
              <w:bottom w:val="single" w:sz="4" w:space="0" w:color="auto"/>
            </w:tcBorders>
          </w:tcPr>
          <w:p w14:paraId="2E89D12F" w14:textId="77777777" w:rsidR="005471AE" w:rsidRPr="00E754D4" w:rsidRDefault="005471AE" w:rsidP="00E01D38">
            <w:pPr>
              <w:pStyle w:val="a0"/>
              <w:rPr>
                <w:sz w:val="16"/>
                <w:szCs w:val="16"/>
              </w:rPr>
            </w:pPr>
            <w:r w:rsidRPr="00E754D4">
              <w:rPr>
                <w:sz w:val="16"/>
                <w:szCs w:val="16"/>
              </w:rPr>
              <w:t>Proportion of water from</w:t>
            </w:r>
            <w:r w:rsidRPr="00E754D4">
              <w:rPr>
                <w:sz w:val="16"/>
                <w:szCs w:val="16"/>
                <w:lang w:eastAsia="zh-CN"/>
              </w:rPr>
              <w:t xml:space="preserve"> </w:t>
            </w:r>
            <w:r w:rsidRPr="00E754D4">
              <w:rPr>
                <w:sz w:val="16"/>
                <w:szCs w:val="16"/>
              </w:rPr>
              <w:t>the Yellow River in total</w:t>
            </w:r>
            <w:r w:rsidRPr="00E754D4">
              <w:rPr>
                <w:sz w:val="16"/>
                <w:szCs w:val="16"/>
                <w:lang w:eastAsia="zh-CN"/>
              </w:rPr>
              <w:t xml:space="preserve"> </w:t>
            </w:r>
            <w:r w:rsidRPr="00E754D4">
              <w:rPr>
                <w:sz w:val="16"/>
                <w:szCs w:val="16"/>
              </w:rPr>
              <w:t>water consumption</w:t>
            </w:r>
          </w:p>
        </w:tc>
        <w:tc>
          <w:tcPr>
            <w:tcW w:w="476" w:type="pct"/>
            <w:tcBorders>
              <w:bottom w:val="single" w:sz="4" w:space="0" w:color="auto"/>
            </w:tcBorders>
          </w:tcPr>
          <w:p w14:paraId="782AC672" w14:textId="77777777" w:rsidR="005471AE" w:rsidRPr="00E754D4" w:rsidRDefault="005471AE" w:rsidP="00E01D38">
            <w:pPr>
              <w:pStyle w:val="a0"/>
              <w:rPr>
                <w:sz w:val="16"/>
                <w:szCs w:val="16"/>
              </w:rPr>
            </w:pPr>
            <w:r w:rsidRPr="00E754D4">
              <w:rPr>
                <w:sz w:val="16"/>
                <w:szCs w:val="16"/>
              </w:rPr>
              <w:t>48.12%</w:t>
            </w:r>
          </w:p>
        </w:tc>
        <w:tc>
          <w:tcPr>
            <w:tcW w:w="418" w:type="pct"/>
            <w:tcBorders>
              <w:bottom w:val="single" w:sz="4" w:space="0" w:color="auto"/>
            </w:tcBorders>
          </w:tcPr>
          <w:p w14:paraId="1C0C0378" w14:textId="77777777" w:rsidR="005471AE" w:rsidRPr="00E754D4" w:rsidRDefault="005471AE" w:rsidP="00E01D38">
            <w:pPr>
              <w:pStyle w:val="a0"/>
              <w:rPr>
                <w:sz w:val="16"/>
                <w:szCs w:val="16"/>
              </w:rPr>
            </w:pPr>
            <w:r w:rsidRPr="00E754D4">
              <w:rPr>
                <w:sz w:val="16"/>
                <w:szCs w:val="16"/>
              </w:rPr>
              <w:t>0.10</w:t>
            </w:r>
            <w:r w:rsidRPr="00E754D4">
              <w:rPr>
                <w:sz w:val="16"/>
                <w:szCs w:val="16"/>
                <w:vertAlign w:val="superscript"/>
                <w:lang w:eastAsia="zh-CN"/>
              </w:rPr>
              <w:t>b</w:t>
            </w:r>
            <w:r w:rsidRPr="00E754D4">
              <w:rPr>
                <w:sz w:val="16"/>
                <w:szCs w:val="16"/>
              </w:rPr>
              <w:t>%</w:t>
            </w:r>
          </w:p>
        </w:tc>
        <w:tc>
          <w:tcPr>
            <w:tcW w:w="348" w:type="pct"/>
            <w:tcBorders>
              <w:bottom w:val="single" w:sz="4" w:space="0" w:color="auto"/>
            </w:tcBorders>
          </w:tcPr>
          <w:p w14:paraId="13EDD668" w14:textId="77777777" w:rsidR="005471AE" w:rsidRPr="00E754D4" w:rsidRDefault="005471AE" w:rsidP="00E01D38">
            <w:pPr>
              <w:pStyle w:val="a0"/>
              <w:rPr>
                <w:sz w:val="16"/>
                <w:szCs w:val="16"/>
              </w:rPr>
            </w:pPr>
            <w:r w:rsidRPr="00E754D4">
              <w:rPr>
                <w:sz w:val="16"/>
                <w:szCs w:val="16"/>
              </w:rPr>
              <w:t>30.79%</w:t>
            </w:r>
          </w:p>
        </w:tc>
        <w:tc>
          <w:tcPr>
            <w:tcW w:w="419" w:type="pct"/>
            <w:tcBorders>
              <w:bottom w:val="single" w:sz="4" w:space="0" w:color="auto"/>
            </w:tcBorders>
          </w:tcPr>
          <w:p w14:paraId="26471605" w14:textId="77777777" w:rsidR="005471AE" w:rsidRPr="00E754D4" w:rsidRDefault="005471AE" w:rsidP="00E01D38">
            <w:pPr>
              <w:pStyle w:val="a0"/>
              <w:rPr>
                <w:sz w:val="16"/>
                <w:szCs w:val="16"/>
              </w:rPr>
            </w:pPr>
            <w:r w:rsidRPr="00E754D4">
              <w:rPr>
                <w:sz w:val="16"/>
                <w:szCs w:val="16"/>
              </w:rPr>
              <w:t>58.45%</w:t>
            </w:r>
          </w:p>
        </w:tc>
        <w:tc>
          <w:tcPr>
            <w:tcW w:w="418" w:type="pct"/>
            <w:tcBorders>
              <w:bottom w:val="single" w:sz="4" w:space="0" w:color="auto"/>
            </w:tcBorders>
          </w:tcPr>
          <w:p w14:paraId="1024872D" w14:textId="77777777" w:rsidR="005471AE" w:rsidRPr="00E754D4" w:rsidRDefault="005471AE" w:rsidP="00E01D38">
            <w:pPr>
              <w:pStyle w:val="a0"/>
              <w:rPr>
                <w:sz w:val="16"/>
                <w:szCs w:val="16"/>
              </w:rPr>
            </w:pPr>
            <w:r w:rsidRPr="00E754D4">
              <w:rPr>
                <w:sz w:val="16"/>
                <w:szCs w:val="16"/>
              </w:rPr>
              <w:t>47.82%</w:t>
            </w:r>
          </w:p>
        </w:tc>
        <w:tc>
          <w:tcPr>
            <w:tcW w:w="349" w:type="pct"/>
            <w:tcBorders>
              <w:bottom w:val="single" w:sz="4" w:space="0" w:color="auto"/>
            </w:tcBorders>
          </w:tcPr>
          <w:p w14:paraId="64627627" w14:textId="77777777" w:rsidR="005471AE" w:rsidRPr="00E754D4" w:rsidRDefault="005471AE" w:rsidP="00E01D38">
            <w:pPr>
              <w:pStyle w:val="a0"/>
              <w:rPr>
                <w:sz w:val="16"/>
                <w:szCs w:val="16"/>
              </w:rPr>
            </w:pPr>
            <w:r w:rsidRPr="00E754D4">
              <w:rPr>
                <w:sz w:val="16"/>
                <w:szCs w:val="16"/>
              </w:rPr>
              <w:t>73.55%</w:t>
            </w:r>
          </w:p>
        </w:tc>
        <w:tc>
          <w:tcPr>
            <w:tcW w:w="420" w:type="pct"/>
            <w:tcBorders>
              <w:bottom w:val="single" w:sz="4" w:space="0" w:color="auto"/>
            </w:tcBorders>
          </w:tcPr>
          <w:p w14:paraId="305BA7D6" w14:textId="77777777" w:rsidR="005471AE" w:rsidRPr="00E754D4" w:rsidRDefault="005471AE" w:rsidP="00E01D38">
            <w:pPr>
              <w:pStyle w:val="a0"/>
              <w:rPr>
                <w:sz w:val="16"/>
                <w:szCs w:val="16"/>
              </w:rPr>
            </w:pPr>
            <w:r w:rsidRPr="00E754D4">
              <w:rPr>
                <w:sz w:val="16"/>
                <w:szCs w:val="16"/>
              </w:rPr>
              <w:t>44.39%</w:t>
            </w:r>
          </w:p>
        </w:tc>
        <w:tc>
          <w:tcPr>
            <w:tcW w:w="348" w:type="pct"/>
            <w:tcBorders>
              <w:bottom w:val="single" w:sz="4" w:space="0" w:color="auto"/>
            </w:tcBorders>
          </w:tcPr>
          <w:p w14:paraId="47428546" w14:textId="77777777" w:rsidR="005471AE" w:rsidRPr="00E754D4" w:rsidRDefault="005471AE" w:rsidP="00E01D38">
            <w:pPr>
              <w:pStyle w:val="a0"/>
              <w:rPr>
                <w:sz w:val="16"/>
                <w:szCs w:val="16"/>
              </w:rPr>
            </w:pPr>
            <w:r w:rsidRPr="00E754D4">
              <w:rPr>
                <w:sz w:val="16"/>
                <w:szCs w:val="16"/>
              </w:rPr>
              <w:t>24.77%</w:t>
            </w:r>
          </w:p>
        </w:tc>
        <w:tc>
          <w:tcPr>
            <w:tcW w:w="473" w:type="pct"/>
            <w:tcBorders>
              <w:bottom w:val="single" w:sz="4" w:space="0" w:color="auto"/>
            </w:tcBorders>
          </w:tcPr>
          <w:p w14:paraId="5DFFA1AC" w14:textId="77777777" w:rsidR="005471AE" w:rsidRPr="00E754D4" w:rsidRDefault="005471AE" w:rsidP="00E01D38">
            <w:pPr>
              <w:pStyle w:val="a0"/>
              <w:rPr>
                <w:sz w:val="16"/>
                <w:szCs w:val="16"/>
              </w:rPr>
            </w:pPr>
            <w:r w:rsidRPr="00E754D4">
              <w:rPr>
                <w:sz w:val="16"/>
                <w:szCs w:val="16"/>
              </w:rPr>
              <w:t>34.41%</w:t>
            </w:r>
          </w:p>
        </w:tc>
        <w:tc>
          <w:tcPr>
            <w:tcW w:w="347" w:type="pct"/>
            <w:tcBorders>
              <w:bottom w:val="single" w:sz="4" w:space="0" w:color="auto"/>
            </w:tcBorders>
          </w:tcPr>
          <w:p w14:paraId="32EA3C1F" w14:textId="77777777" w:rsidR="005471AE" w:rsidRPr="00E754D4" w:rsidRDefault="005471AE" w:rsidP="00E01D38">
            <w:pPr>
              <w:pStyle w:val="a0"/>
              <w:rPr>
                <w:sz w:val="16"/>
                <w:szCs w:val="16"/>
              </w:rPr>
            </w:pPr>
            <w:r w:rsidRPr="00E754D4">
              <w:rPr>
                <w:sz w:val="16"/>
                <w:szCs w:val="16"/>
              </w:rPr>
              <w:t>3.11%</w:t>
            </w:r>
            <w:r w:rsidRPr="00E754D4">
              <w:rPr>
                <w:sz w:val="16"/>
                <w:szCs w:val="16"/>
                <w:vertAlign w:val="superscript"/>
              </w:rPr>
              <w:t>b</w:t>
            </w:r>
          </w:p>
        </w:tc>
      </w:tr>
    </w:tbl>
    <w:p w14:paraId="3244DB1B" w14:textId="77777777" w:rsidR="005471AE" w:rsidRPr="00E754D4" w:rsidRDefault="005471AE" w:rsidP="005471AE">
      <w:pPr>
        <w:pStyle w:val="FirstParagraph"/>
        <w:rPr>
          <w:sz w:val="21"/>
          <w:szCs w:val="21"/>
        </w:rPr>
      </w:pPr>
      <w:bookmarkStart w:id="25" w:name="secS2"/>
      <w:bookmarkEnd w:id="22"/>
      <w:r w:rsidRPr="00E754D4">
        <w:rPr>
          <w:sz w:val="21"/>
          <w:szCs w:val="21"/>
        </w:rPr>
        <w:t xml:space="preserve">[a]Calculated by data from 2004 to 2017. </w:t>
      </w:r>
    </w:p>
    <w:p w14:paraId="16966990" w14:textId="77777777" w:rsidR="005471AE" w:rsidRPr="00E754D4" w:rsidRDefault="005471AE" w:rsidP="005471AE">
      <w:pPr>
        <w:pStyle w:val="FirstParagraph"/>
        <w:rPr>
          <w:sz w:val="21"/>
          <w:szCs w:val="21"/>
        </w:rPr>
      </w:pPr>
      <w:r w:rsidRPr="00E754D4">
        <w:rPr>
          <w:sz w:val="21"/>
          <w:szCs w:val="21"/>
        </w:rPr>
        <w:t>[b]The share is too small, thus the provinces (or region) Sichuan and Jinji not to be considered in this study.</w:t>
      </w:r>
    </w:p>
    <w:p w14:paraId="235C691E" w14:textId="77777777" w:rsidR="005471AE" w:rsidRDefault="005471AE" w:rsidP="005471AE">
      <w:pPr>
        <w:pStyle w:val="1"/>
      </w:pPr>
      <w:r>
        <w:t>7</w:t>
      </w:r>
      <w:r>
        <w:tab/>
        <w:t>S2: Robustness of DSC method</w:t>
      </w:r>
    </w:p>
    <w:p w14:paraId="2B397965" w14:textId="77777777" w:rsidR="005471AE" w:rsidRPr="004A16B6" w:rsidRDefault="005471AE" w:rsidP="005471AE">
      <w:pPr>
        <w:pStyle w:val="FirstParagraph"/>
      </w:pPr>
      <w:r>
        <w:t xml:space="preserve">Explanatory variables are the key to constructing a robust synthetic control method. We used a total of 24 variables related to water consumption Table </w:t>
      </w:r>
      <w:hyperlink w:anchor="tab:variables">
        <w:r>
          <w:rPr>
            <w:rStyle w:val="af2"/>
          </w:rPr>
          <w:t>2</w:t>
        </w:r>
      </w:hyperlink>
      <w:r>
        <w:t>, which datasets have been used in previous studies to explain changes in water use in China</w:t>
      </w:r>
      <w:r>
        <w:rPr>
          <w:vertAlign w:val="superscript"/>
        </w:rPr>
        <w:t>47</w:t>
      </w:r>
      <w:r>
        <w:t xml:space="preserve">. In addition, we selected </w:t>
      </w:r>
      <m:oMath>
        <m:r>
          <w:rPr>
            <w:rFonts w:ascii="Cambria Math" w:hAnsi="Cambria Math"/>
          </w:rPr>
          <m:t>5</m:t>
        </m:r>
      </m:oMath>
      <w:r>
        <w:t xml:space="preserve"> principal components as input by the elbow method because selection in autocorrelated variables reduces dimensions and then enhances the robustness of the DSC (Figure 11).</w:t>
      </w:r>
    </w:p>
    <w:p w14:paraId="56F2D4D5" w14:textId="77777777" w:rsidR="005471AE" w:rsidRDefault="005471AE" w:rsidP="005471AE">
      <w:pPr>
        <w:pStyle w:val="a0"/>
      </w:pPr>
      <w:r>
        <w:t xml:space="preserve">There are two approaches to validity testing of the DSC: (1) comparing the post-treated and pre-treated reconstructions and (2) testing robustness through placebo analysis. For (1), differences between each province and their synthetic are significant in post-treated periods and small in pre-treated periods (Figure </w:t>
      </w:r>
      <w:hyperlink w:anchor="fig:87panel">
        <w:r>
          <w:rPr>
            <w:rStyle w:val="af2"/>
          </w:rPr>
          <w:t>7</w:t>
        </w:r>
      </w:hyperlink>
      <w:r>
        <w:t xml:space="preserve"> and figure </w:t>
      </w:r>
      <w:hyperlink w:anchor="fig:98panel">
        <w:r>
          <w:rPr>
            <w:rStyle w:val="af2"/>
          </w:rPr>
          <w:t>8</w:t>
        </w:r>
      </w:hyperlink>
      <w:r>
        <w:t>), which show good reconstructions of their water use changes’ estimation. For (2), we applied the in-place placebo analysis described by</w:t>
      </w:r>
      <w:r>
        <w:rPr>
          <w:vertAlign w:val="superscript"/>
        </w:rPr>
        <w:t>49</w:t>
      </w:r>
      <w:r>
        <w:t>. In most provinces, ratios of post-MSPE to pre-MSPE are higher than the median of other placebo units, which suggests the institutional shifts in treated time (1987 and 1998 here) influenced them more than most of the other provinces (figure </w:t>
      </w:r>
      <w:hyperlink w:anchor="fig:87placebo">
        <w:r>
          <w:rPr>
            <w:rStyle w:val="af2"/>
          </w:rPr>
          <w:t>9</w:t>
        </w:r>
      </w:hyperlink>
      <w:r>
        <w:t>, figure 10, Table 3).</w:t>
      </w:r>
    </w:p>
    <w:p w14:paraId="3CDBD19C" w14:textId="77777777" w:rsidR="005471AE" w:rsidRDefault="005471AE" w:rsidP="005471AE">
      <w:pPr>
        <w:pStyle w:val="a0"/>
      </w:pPr>
      <w:r>
        <w:rPr>
          <w:noProof/>
        </w:rPr>
        <w:lastRenderedPageBreak/>
        <w:drawing>
          <wp:inline distT="0" distB="0" distL="0" distR="0" wp14:anchorId="4722E34D" wp14:editId="2076D99D">
            <wp:extent cx="5727700" cy="2863850"/>
            <wp:effectExtent l="0" t="0" r="0" b="0"/>
            <wp:docPr id="65" name="Picture" descr="image"/>
            <wp:cNvGraphicFramePr/>
            <a:graphic xmlns:a="http://schemas.openxmlformats.org/drawingml/2006/main">
              <a:graphicData uri="http://schemas.openxmlformats.org/drawingml/2006/picture">
                <pic:pic xmlns:pic="http://schemas.openxmlformats.org/drawingml/2006/picture">
                  <pic:nvPicPr>
                    <pic:cNvPr id="66" name="Picture" descr="outputs/87panel.pdf"/>
                    <pic:cNvPicPr>
                      <a:picLocks noChangeAspect="1" noChangeArrowheads="1"/>
                    </pic:cNvPicPr>
                  </pic:nvPicPr>
                  <pic:blipFill>
                    <a:blip r:embed="rId20"/>
                    <a:stretch>
                      <a:fillRect/>
                    </a:stretch>
                  </pic:blipFill>
                  <pic:spPr bwMode="auto">
                    <a:xfrm>
                      <a:off x="0" y="0"/>
                      <a:ext cx="5727700" cy="2863850"/>
                    </a:xfrm>
                    <a:prstGeom prst="rect">
                      <a:avLst/>
                    </a:prstGeom>
                    <a:noFill/>
                    <a:ln w="9525">
                      <a:noFill/>
                      <a:headEnd/>
                      <a:tailEnd/>
                    </a:ln>
                  </pic:spPr>
                </pic:pic>
              </a:graphicData>
            </a:graphic>
          </wp:inline>
        </w:drawing>
      </w:r>
    </w:p>
    <w:p w14:paraId="58052C88" w14:textId="77777777" w:rsidR="005471AE" w:rsidRPr="00E17D15" w:rsidRDefault="005471AE" w:rsidP="005471AE">
      <w:pPr>
        <w:pStyle w:val="a0"/>
        <w:rPr>
          <w:sz w:val="21"/>
          <w:szCs w:val="21"/>
        </w:rPr>
      </w:pPr>
      <w:r w:rsidRPr="00E17D15">
        <w:rPr>
          <w:b/>
          <w:bCs/>
          <w:sz w:val="21"/>
          <w:szCs w:val="21"/>
        </w:rPr>
        <w:t>Figure 7.</w:t>
      </w:r>
      <w:r w:rsidRPr="00E17D15">
        <w:rPr>
          <w:sz w:val="21"/>
          <w:szCs w:val="21"/>
        </w:rPr>
        <w:t xml:space="preserve"> Comparations between YRB</w:t>
      </w:r>
      <w:r w:rsidRPr="00E17D15">
        <w:rPr>
          <w:sz w:val="21"/>
          <w:szCs w:val="21"/>
          <w:lang w:eastAsia="zh-CN"/>
        </w:rPr>
        <w:t>’</w:t>
      </w:r>
      <w:r w:rsidRPr="00E17D15">
        <w:rPr>
          <w:sz w:val="21"/>
          <w:szCs w:val="21"/>
        </w:rPr>
        <w:t xml:space="preserve"> provinces and their synthetic controls around the 87-WAS.</w:t>
      </w:r>
    </w:p>
    <w:p w14:paraId="598A3598" w14:textId="77777777" w:rsidR="005471AE" w:rsidRDefault="005471AE" w:rsidP="005471AE">
      <w:pPr>
        <w:pStyle w:val="a0"/>
      </w:pPr>
      <w:r>
        <w:rPr>
          <w:noProof/>
        </w:rPr>
        <w:drawing>
          <wp:inline distT="0" distB="0" distL="0" distR="0" wp14:anchorId="0A87314F" wp14:editId="7F7B4BEF">
            <wp:extent cx="5727700" cy="2863850"/>
            <wp:effectExtent l="0" t="0" r="0" b="0"/>
            <wp:docPr id="68" name="Picture" descr="image"/>
            <wp:cNvGraphicFramePr/>
            <a:graphic xmlns:a="http://schemas.openxmlformats.org/drawingml/2006/main">
              <a:graphicData uri="http://schemas.openxmlformats.org/drawingml/2006/picture">
                <pic:pic xmlns:pic="http://schemas.openxmlformats.org/drawingml/2006/picture">
                  <pic:nvPicPr>
                    <pic:cNvPr id="69" name="Picture" descr="outputs/98panel.pdf"/>
                    <pic:cNvPicPr>
                      <a:picLocks noChangeAspect="1" noChangeArrowheads="1"/>
                    </pic:cNvPicPr>
                  </pic:nvPicPr>
                  <pic:blipFill>
                    <a:blip r:embed="rId21"/>
                    <a:stretch>
                      <a:fillRect/>
                    </a:stretch>
                  </pic:blipFill>
                  <pic:spPr bwMode="auto">
                    <a:xfrm>
                      <a:off x="0" y="0"/>
                      <a:ext cx="5727700" cy="2863850"/>
                    </a:xfrm>
                    <a:prstGeom prst="rect">
                      <a:avLst/>
                    </a:prstGeom>
                    <a:noFill/>
                    <a:ln w="9525">
                      <a:noFill/>
                      <a:headEnd/>
                      <a:tailEnd/>
                    </a:ln>
                  </pic:spPr>
                </pic:pic>
              </a:graphicData>
            </a:graphic>
          </wp:inline>
        </w:drawing>
      </w:r>
    </w:p>
    <w:p w14:paraId="26370068" w14:textId="77777777" w:rsidR="005471AE" w:rsidRPr="00E17D15" w:rsidRDefault="005471AE" w:rsidP="005471AE">
      <w:pPr>
        <w:pStyle w:val="a0"/>
        <w:rPr>
          <w:sz w:val="21"/>
          <w:szCs w:val="21"/>
        </w:rPr>
      </w:pPr>
      <w:r w:rsidRPr="00E17D15">
        <w:rPr>
          <w:b/>
          <w:bCs/>
          <w:sz w:val="21"/>
          <w:szCs w:val="21"/>
        </w:rPr>
        <w:t>Figure 8.</w:t>
      </w:r>
      <w:r w:rsidRPr="00E17D15">
        <w:rPr>
          <w:sz w:val="21"/>
          <w:szCs w:val="21"/>
        </w:rPr>
        <w:t xml:space="preserve"> Comparations between YRB</w:t>
      </w:r>
      <w:r w:rsidRPr="00E17D15">
        <w:rPr>
          <w:sz w:val="21"/>
          <w:szCs w:val="21"/>
          <w:lang w:eastAsia="zh-CN"/>
        </w:rPr>
        <w:t>’</w:t>
      </w:r>
      <w:r w:rsidRPr="00E17D15">
        <w:rPr>
          <w:sz w:val="21"/>
          <w:szCs w:val="21"/>
        </w:rPr>
        <w:t xml:space="preserve"> provinces and their synthetic controls around the 98-UBR.</w:t>
      </w:r>
    </w:p>
    <w:p w14:paraId="271756BF" w14:textId="77777777" w:rsidR="005471AE" w:rsidRDefault="005471AE" w:rsidP="005471AE">
      <w:pPr>
        <w:pStyle w:val="a0"/>
      </w:pPr>
      <w:r>
        <w:rPr>
          <w:noProof/>
        </w:rPr>
        <w:lastRenderedPageBreak/>
        <w:drawing>
          <wp:inline distT="0" distB="0" distL="0" distR="0" wp14:anchorId="381CFE6B" wp14:editId="4B592C9B">
            <wp:extent cx="5727700" cy="2863850"/>
            <wp:effectExtent l="0" t="0" r="0" b="0"/>
            <wp:docPr id="71" name="Picture" descr="image"/>
            <wp:cNvGraphicFramePr/>
            <a:graphic xmlns:a="http://schemas.openxmlformats.org/drawingml/2006/main">
              <a:graphicData uri="http://schemas.openxmlformats.org/drawingml/2006/picture">
                <pic:pic xmlns:pic="http://schemas.openxmlformats.org/drawingml/2006/picture">
                  <pic:nvPicPr>
                    <pic:cNvPr id="72" name="Picture" descr="outputs/87placebo.pdf"/>
                    <pic:cNvPicPr>
                      <a:picLocks noChangeAspect="1" noChangeArrowheads="1"/>
                    </pic:cNvPicPr>
                  </pic:nvPicPr>
                  <pic:blipFill>
                    <a:blip r:embed="rId22"/>
                    <a:stretch>
                      <a:fillRect/>
                    </a:stretch>
                  </pic:blipFill>
                  <pic:spPr bwMode="auto">
                    <a:xfrm>
                      <a:off x="0" y="0"/>
                      <a:ext cx="5727700" cy="2863850"/>
                    </a:xfrm>
                    <a:prstGeom prst="rect">
                      <a:avLst/>
                    </a:prstGeom>
                    <a:noFill/>
                    <a:ln w="9525">
                      <a:noFill/>
                      <a:headEnd/>
                      <a:tailEnd/>
                    </a:ln>
                  </pic:spPr>
                </pic:pic>
              </a:graphicData>
            </a:graphic>
          </wp:inline>
        </w:drawing>
      </w:r>
    </w:p>
    <w:p w14:paraId="4567A35F" w14:textId="77777777" w:rsidR="005471AE" w:rsidRPr="00E17D15" w:rsidRDefault="005471AE" w:rsidP="005471AE">
      <w:pPr>
        <w:pStyle w:val="a0"/>
        <w:rPr>
          <w:sz w:val="21"/>
          <w:szCs w:val="21"/>
        </w:rPr>
      </w:pPr>
      <w:r w:rsidRPr="00E17D15">
        <w:rPr>
          <w:b/>
          <w:bCs/>
          <w:sz w:val="21"/>
          <w:szCs w:val="21"/>
        </w:rPr>
        <w:t>Figure 9.</w:t>
      </w:r>
      <w:r w:rsidRPr="00E17D15">
        <w:rPr>
          <w:sz w:val="21"/>
          <w:szCs w:val="21"/>
        </w:rPr>
        <w:t xml:space="preserve"> Gaps in change in water use between provinces outside the YRB and their synthetic control, around the 87-WAS, excluding the provinces with high pre-treatment RMSPE (more than 3 times of treated units’ RMSPE).</w:t>
      </w:r>
    </w:p>
    <w:p w14:paraId="33F34004" w14:textId="77777777" w:rsidR="005471AE" w:rsidRDefault="005471AE" w:rsidP="005471AE">
      <w:pPr>
        <w:pStyle w:val="a0"/>
      </w:pPr>
      <w:r>
        <w:rPr>
          <w:noProof/>
        </w:rPr>
        <w:drawing>
          <wp:inline distT="0" distB="0" distL="0" distR="0" wp14:anchorId="37111911" wp14:editId="25FB6417">
            <wp:extent cx="5727700" cy="2863850"/>
            <wp:effectExtent l="0" t="0" r="0" b="0"/>
            <wp:docPr id="74" name="Picture" descr="image"/>
            <wp:cNvGraphicFramePr/>
            <a:graphic xmlns:a="http://schemas.openxmlformats.org/drawingml/2006/main">
              <a:graphicData uri="http://schemas.openxmlformats.org/drawingml/2006/picture">
                <pic:pic xmlns:pic="http://schemas.openxmlformats.org/drawingml/2006/picture">
                  <pic:nvPicPr>
                    <pic:cNvPr id="75" name="Picture" descr="outputs/98placebo.pdf"/>
                    <pic:cNvPicPr>
                      <a:picLocks noChangeAspect="1" noChangeArrowheads="1"/>
                    </pic:cNvPicPr>
                  </pic:nvPicPr>
                  <pic:blipFill>
                    <a:blip r:embed="rId23"/>
                    <a:stretch>
                      <a:fillRect/>
                    </a:stretch>
                  </pic:blipFill>
                  <pic:spPr bwMode="auto">
                    <a:xfrm>
                      <a:off x="0" y="0"/>
                      <a:ext cx="5727700" cy="2863850"/>
                    </a:xfrm>
                    <a:prstGeom prst="rect">
                      <a:avLst/>
                    </a:prstGeom>
                    <a:noFill/>
                    <a:ln w="9525">
                      <a:noFill/>
                      <a:headEnd/>
                      <a:tailEnd/>
                    </a:ln>
                  </pic:spPr>
                </pic:pic>
              </a:graphicData>
            </a:graphic>
          </wp:inline>
        </w:drawing>
      </w:r>
    </w:p>
    <w:p w14:paraId="15EB9E64" w14:textId="77777777" w:rsidR="005471AE" w:rsidRPr="00E17D15" w:rsidRDefault="005471AE" w:rsidP="005471AE">
      <w:pPr>
        <w:pStyle w:val="a0"/>
        <w:rPr>
          <w:sz w:val="21"/>
          <w:szCs w:val="21"/>
        </w:rPr>
      </w:pPr>
      <w:r w:rsidRPr="00E17D15">
        <w:rPr>
          <w:b/>
          <w:bCs/>
          <w:sz w:val="21"/>
          <w:szCs w:val="21"/>
        </w:rPr>
        <w:t>Figure 10.</w:t>
      </w:r>
      <w:r w:rsidRPr="00E17D15">
        <w:rPr>
          <w:sz w:val="21"/>
          <w:szCs w:val="21"/>
        </w:rPr>
        <w:t xml:space="preserve"> Gaps in change in water use between provinces outside the YRB and their synthetic control, around the 98-UBR, excluding the provinces with high pre-treatment RMSPE (more than 3 times of treated units’ RMSPE)</w:t>
      </w:r>
    </w:p>
    <w:p w14:paraId="0B281A01" w14:textId="77777777" w:rsidR="005471AE" w:rsidRDefault="005471AE" w:rsidP="005471AE">
      <w:pPr>
        <w:pStyle w:val="a0"/>
      </w:pPr>
      <w:r>
        <w:rPr>
          <w:noProof/>
        </w:rPr>
        <w:lastRenderedPageBreak/>
        <w:drawing>
          <wp:inline distT="0" distB="0" distL="0" distR="0" wp14:anchorId="383B81B3" wp14:editId="5DEB8478">
            <wp:extent cx="5727700" cy="3818466"/>
            <wp:effectExtent l="0" t="0" r="0" b="0"/>
            <wp:docPr id="77" name="Picture" descr="image"/>
            <wp:cNvGraphicFramePr/>
            <a:graphic xmlns:a="http://schemas.openxmlformats.org/drawingml/2006/main">
              <a:graphicData uri="http://schemas.openxmlformats.org/drawingml/2006/picture">
                <pic:pic xmlns:pic="http://schemas.openxmlformats.org/drawingml/2006/picture">
                  <pic:nvPicPr>
                    <pic:cNvPr id="78" name="Picture" descr="outputs/elbow.pdf"/>
                    <pic:cNvPicPr>
                      <a:picLocks noChangeAspect="1" noChangeArrowheads="1"/>
                    </pic:cNvPicPr>
                  </pic:nvPicPr>
                  <pic:blipFill>
                    <a:blip r:embed="rId24"/>
                    <a:stretch>
                      <a:fillRect/>
                    </a:stretch>
                  </pic:blipFill>
                  <pic:spPr bwMode="auto">
                    <a:xfrm>
                      <a:off x="0" y="0"/>
                      <a:ext cx="5727700" cy="3818466"/>
                    </a:xfrm>
                    <a:prstGeom prst="rect">
                      <a:avLst/>
                    </a:prstGeom>
                    <a:noFill/>
                    <a:ln w="9525">
                      <a:noFill/>
                      <a:headEnd/>
                      <a:tailEnd/>
                    </a:ln>
                  </pic:spPr>
                </pic:pic>
              </a:graphicData>
            </a:graphic>
          </wp:inline>
        </w:drawing>
      </w:r>
    </w:p>
    <w:p w14:paraId="1C7A4A45" w14:textId="77777777" w:rsidR="005471AE" w:rsidRPr="00075A7E" w:rsidRDefault="005471AE" w:rsidP="005471AE">
      <w:pPr>
        <w:pStyle w:val="a0"/>
        <w:rPr>
          <w:sz w:val="21"/>
          <w:szCs w:val="21"/>
        </w:rPr>
      </w:pPr>
      <w:r w:rsidRPr="00075A7E">
        <w:rPr>
          <w:b/>
          <w:bCs/>
          <w:sz w:val="21"/>
          <w:szCs w:val="21"/>
        </w:rPr>
        <w:t>Table 2.</w:t>
      </w:r>
      <w:r w:rsidRPr="00075A7E">
        <w:rPr>
          <w:sz w:val="21"/>
          <w:szCs w:val="21"/>
        </w:rPr>
        <w:t xml:space="preserve"> Variables and their categories for water use predictions</w:t>
      </w:r>
    </w:p>
    <w:tbl>
      <w:tblPr>
        <w:tblStyle w:val="aff"/>
        <w:tblW w:w="9634" w:type="dxa"/>
        <w:tblLook w:val="04A0" w:firstRow="1" w:lastRow="0" w:firstColumn="1" w:lastColumn="0" w:noHBand="0" w:noVBand="1"/>
      </w:tblPr>
      <w:tblGrid>
        <w:gridCol w:w="1052"/>
        <w:gridCol w:w="1637"/>
        <w:gridCol w:w="1275"/>
        <w:gridCol w:w="2982"/>
        <w:gridCol w:w="2688"/>
      </w:tblGrid>
      <w:tr w:rsidR="005471AE" w:rsidRPr="0017346C" w14:paraId="73625CFF" w14:textId="77777777" w:rsidTr="00E01D38">
        <w:tc>
          <w:tcPr>
            <w:tcW w:w="1052" w:type="dxa"/>
            <w:tcBorders>
              <w:top w:val="single" w:sz="4" w:space="0" w:color="auto"/>
              <w:left w:val="nil"/>
              <w:bottom w:val="single" w:sz="4" w:space="0" w:color="auto"/>
              <w:right w:val="nil"/>
            </w:tcBorders>
          </w:tcPr>
          <w:p w14:paraId="1A7FEB7F" w14:textId="77777777" w:rsidR="005471AE" w:rsidRPr="0017346C" w:rsidRDefault="005471AE" w:rsidP="00E01D38">
            <w:pPr>
              <w:pStyle w:val="a0"/>
              <w:spacing w:before="0" w:after="0"/>
              <w:jc w:val="left"/>
              <w:rPr>
                <w:sz w:val="16"/>
                <w:szCs w:val="16"/>
              </w:rPr>
            </w:pPr>
            <w:r w:rsidRPr="0017346C">
              <w:rPr>
                <w:sz w:val="16"/>
                <w:szCs w:val="16"/>
              </w:rPr>
              <w:t>Sector</w:t>
            </w:r>
          </w:p>
        </w:tc>
        <w:tc>
          <w:tcPr>
            <w:tcW w:w="1637" w:type="dxa"/>
            <w:tcBorders>
              <w:top w:val="single" w:sz="4" w:space="0" w:color="auto"/>
              <w:left w:val="nil"/>
              <w:bottom w:val="single" w:sz="4" w:space="0" w:color="auto"/>
              <w:right w:val="nil"/>
            </w:tcBorders>
          </w:tcPr>
          <w:p w14:paraId="387A23FB" w14:textId="77777777" w:rsidR="005471AE" w:rsidRPr="0017346C" w:rsidRDefault="005471AE" w:rsidP="00E01D38">
            <w:pPr>
              <w:pStyle w:val="a0"/>
              <w:spacing w:before="0" w:after="0"/>
              <w:jc w:val="left"/>
              <w:rPr>
                <w:sz w:val="16"/>
                <w:szCs w:val="16"/>
              </w:rPr>
            </w:pPr>
            <w:r w:rsidRPr="0017346C">
              <w:rPr>
                <w:sz w:val="16"/>
                <w:szCs w:val="16"/>
              </w:rPr>
              <w:t>Category</w:t>
            </w:r>
          </w:p>
        </w:tc>
        <w:tc>
          <w:tcPr>
            <w:tcW w:w="1275" w:type="dxa"/>
            <w:tcBorders>
              <w:top w:val="single" w:sz="4" w:space="0" w:color="auto"/>
              <w:left w:val="nil"/>
              <w:bottom w:val="single" w:sz="4" w:space="0" w:color="auto"/>
              <w:right w:val="nil"/>
            </w:tcBorders>
          </w:tcPr>
          <w:p w14:paraId="40C31A8B" w14:textId="77777777" w:rsidR="005471AE" w:rsidRPr="0017346C" w:rsidRDefault="005471AE" w:rsidP="00E01D38">
            <w:pPr>
              <w:pStyle w:val="a0"/>
              <w:spacing w:before="0" w:after="0"/>
              <w:jc w:val="left"/>
              <w:rPr>
                <w:sz w:val="16"/>
                <w:szCs w:val="16"/>
              </w:rPr>
            </w:pPr>
            <w:r w:rsidRPr="0017346C">
              <w:rPr>
                <w:sz w:val="16"/>
                <w:szCs w:val="16"/>
              </w:rPr>
              <w:t>Unit</w:t>
            </w:r>
          </w:p>
        </w:tc>
        <w:tc>
          <w:tcPr>
            <w:tcW w:w="2982" w:type="dxa"/>
            <w:tcBorders>
              <w:top w:val="single" w:sz="4" w:space="0" w:color="auto"/>
              <w:left w:val="nil"/>
              <w:bottom w:val="single" w:sz="4" w:space="0" w:color="auto"/>
              <w:right w:val="nil"/>
            </w:tcBorders>
          </w:tcPr>
          <w:p w14:paraId="17DE0F7B" w14:textId="77777777" w:rsidR="005471AE" w:rsidRPr="0017346C" w:rsidRDefault="005471AE" w:rsidP="00E01D38">
            <w:pPr>
              <w:pStyle w:val="a0"/>
              <w:spacing w:before="0" w:after="0"/>
              <w:jc w:val="left"/>
              <w:rPr>
                <w:sz w:val="16"/>
                <w:szCs w:val="16"/>
              </w:rPr>
            </w:pPr>
            <w:r w:rsidRPr="0017346C">
              <w:rPr>
                <w:sz w:val="16"/>
                <w:szCs w:val="16"/>
              </w:rPr>
              <w:t>Description</w:t>
            </w:r>
          </w:p>
        </w:tc>
        <w:tc>
          <w:tcPr>
            <w:tcW w:w="2688" w:type="dxa"/>
            <w:tcBorders>
              <w:top w:val="single" w:sz="4" w:space="0" w:color="auto"/>
              <w:left w:val="nil"/>
              <w:bottom w:val="single" w:sz="4" w:space="0" w:color="auto"/>
              <w:right w:val="nil"/>
            </w:tcBorders>
          </w:tcPr>
          <w:p w14:paraId="3D049203" w14:textId="77777777" w:rsidR="005471AE" w:rsidRPr="0017346C" w:rsidRDefault="005471AE" w:rsidP="00E01D38">
            <w:pPr>
              <w:pStyle w:val="a0"/>
              <w:spacing w:before="0" w:after="0"/>
              <w:jc w:val="left"/>
              <w:rPr>
                <w:sz w:val="16"/>
                <w:szCs w:val="16"/>
              </w:rPr>
            </w:pPr>
            <w:r w:rsidRPr="0017346C">
              <w:rPr>
                <w:sz w:val="16"/>
                <w:szCs w:val="16"/>
              </w:rPr>
              <w:t>Variables</w:t>
            </w:r>
          </w:p>
        </w:tc>
      </w:tr>
      <w:tr w:rsidR="005471AE" w:rsidRPr="0017346C" w14:paraId="3D926C0F" w14:textId="77777777" w:rsidTr="00E01D38">
        <w:tc>
          <w:tcPr>
            <w:tcW w:w="1052" w:type="dxa"/>
            <w:tcBorders>
              <w:top w:val="single" w:sz="4" w:space="0" w:color="auto"/>
              <w:left w:val="nil"/>
              <w:bottom w:val="single" w:sz="4" w:space="0" w:color="auto"/>
              <w:right w:val="nil"/>
            </w:tcBorders>
            <w:vAlign w:val="center"/>
          </w:tcPr>
          <w:p w14:paraId="1F968FA9" w14:textId="77777777" w:rsidR="005471AE" w:rsidRPr="0017346C" w:rsidRDefault="005471AE" w:rsidP="00E01D38">
            <w:pPr>
              <w:pStyle w:val="a0"/>
              <w:spacing w:before="0" w:after="0"/>
              <w:jc w:val="left"/>
              <w:rPr>
                <w:sz w:val="16"/>
                <w:szCs w:val="16"/>
              </w:rPr>
            </w:pPr>
            <w:r w:rsidRPr="0017346C">
              <w:rPr>
                <w:sz w:val="16"/>
                <w:szCs w:val="16"/>
              </w:rPr>
              <w:t>Agriculture</w:t>
            </w:r>
          </w:p>
        </w:tc>
        <w:tc>
          <w:tcPr>
            <w:tcW w:w="1637" w:type="dxa"/>
            <w:tcBorders>
              <w:top w:val="single" w:sz="4" w:space="0" w:color="auto"/>
              <w:left w:val="nil"/>
              <w:bottom w:val="single" w:sz="4" w:space="0" w:color="auto"/>
              <w:right w:val="nil"/>
            </w:tcBorders>
            <w:vAlign w:val="center"/>
          </w:tcPr>
          <w:p w14:paraId="6E1204F5" w14:textId="77777777" w:rsidR="005471AE" w:rsidRPr="0017346C" w:rsidRDefault="005471AE" w:rsidP="00E01D38">
            <w:pPr>
              <w:pStyle w:val="a0"/>
              <w:spacing w:before="0" w:after="0"/>
              <w:jc w:val="left"/>
              <w:rPr>
                <w:sz w:val="16"/>
                <w:szCs w:val="16"/>
              </w:rPr>
            </w:pPr>
            <w:r w:rsidRPr="0017346C">
              <w:rPr>
                <w:sz w:val="16"/>
                <w:szCs w:val="16"/>
              </w:rPr>
              <w:t>Irrigation  Area</w:t>
            </w:r>
          </w:p>
        </w:tc>
        <w:tc>
          <w:tcPr>
            <w:tcW w:w="1275" w:type="dxa"/>
            <w:tcBorders>
              <w:top w:val="single" w:sz="4" w:space="0" w:color="auto"/>
              <w:left w:val="nil"/>
              <w:bottom w:val="single" w:sz="4" w:space="0" w:color="auto"/>
              <w:right w:val="nil"/>
            </w:tcBorders>
            <w:vAlign w:val="center"/>
          </w:tcPr>
          <w:p w14:paraId="44551E8B" w14:textId="77777777" w:rsidR="005471AE" w:rsidRPr="0017346C" w:rsidRDefault="005471AE" w:rsidP="00E01D38">
            <w:pPr>
              <w:pStyle w:val="a0"/>
              <w:spacing w:before="0" w:after="0"/>
              <w:jc w:val="left"/>
              <w:rPr>
                <w:sz w:val="16"/>
                <w:szCs w:val="16"/>
              </w:rPr>
            </w:pPr>
            <w:r w:rsidRPr="0017346C">
              <w:rPr>
                <w:sz w:val="16"/>
                <w:szCs w:val="16"/>
              </w:rPr>
              <w:t>thousand ha</w:t>
            </w:r>
          </w:p>
        </w:tc>
        <w:tc>
          <w:tcPr>
            <w:tcW w:w="2982" w:type="dxa"/>
            <w:tcBorders>
              <w:top w:val="single" w:sz="4" w:space="0" w:color="auto"/>
              <w:left w:val="nil"/>
              <w:bottom w:val="single" w:sz="4" w:space="0" w:color="auto"/>
              <w:right w:val="nil"/>
            </w:tcBorders>
            <w:vAlign w:val="center"/>
          </w:tcPr>
          <w:p w14:paraId="108197EF" w14:textId="77777777" w:rsidR="005471AE" w:rsidRPr="0017346C" w:rsidRDefault="005471AE" w:rsidP="00E01D38">
            <w:pPr>
              <w:pStyle w:val="a0"/>
              <w:spacing w:before="0" w:after="0"/>
              <w:jc w:val="left"/>
              <w:rPr>
                <w:sz w:val="16"/>
                <w:szCs w:val="16"/>
              </w:rPr>
            </w:pPr>
            <w:r w:rsidRPr="0017346C">
              <w:rPr>
                <w:sz w:val="16"/>
                <w:szCs w:val="16"/>
              </w:rPr>
              <w:t>Area equipped for irrgiation by different crop:</w:t>
            </w:r>
          </w:p>
        </w:tc>
        <w:tc>
          <w:tcPr>
            <w:tcW w:w="2688" w:type="dxa"/>
            <w:tcBorders>
              <w:top w:val="single" w:sz="4" w:space="0" w:color="auto"/>
              <w:left w:val="nil"/>
              <w:bottom w:val="single" w:sz="4" w:space="0" w:color="auto"/>
              <w:right w:val="nil"/>
            </w:tcBorders>
          </w:tcPr>
          <w:p w14:paraId="56AE72B5" w14:textId="77777777" w:rsidR="005471AE" w:rsidRDefault="005471AE" w:rsidP="00E01D38">
            <w:pPr>
              <w:pStyle w:val="a0"/>
              <w:spacing w:before="0" w:after="0"/>
              <w:jc w:val="left"/>
              <w:rPr>
                <w:sz w:val="16"/>
                <w:szCs w:val="16"/>
              </w:rPr>
            </w:pPr>
            <w:r w:rsidRPr="0017346C">
              <w:rPr>
                <w:sz w:val="16"/>
                <w:szCs w:val="16"/>
              </w:rPr>
              <w:t>Rice,</w:t>
            </w:r>
          </w:p>
          <w:p w14:paraId="7D735D25" w14:textId="77777777" w:rsidR="005471AE" w:rsidRDefault="005471AE" w:rsidP="00E01D38">
            <w:pPr>
              <w:pStyle w:val="a0"/>
              <w:spacing w:before="0" w:after="0"/>
              <w:jc w:val="left"/>
              <w:rPr>
                <w:sz w:val="16"/>
                <w:szCs w:val="16"/>
              </w:rPr>
            </w:pPr>
            <w:r w:rsidRPr="0017346C">
              <w:rPr>
                <w:sz w:val="16"/>
                <w:szCs w:val="16"/>
              </w:rPr>
              <w:t>Wheat,</w:t>
            </w:r>
          </w:p>
          <w:p w14:paraId="4DC95B03" w14:textId="77777777" w:rsidR="005471AE" w:rsidRDefault="005471AE" w:rsidP="00E01D38">
            <w:pPr>
              <w:pStyle w:val="a0"/>
              <w:spacing w:before="0" w:after="0"/>
              <w:jc w:val="left"/>
              <w:rPr>
                <w:sz w:val="16"/>
                <w:szCs w:val="16"/>
              </w:rPr>
            </w:pPr>
            <w:r w:rsidRPr="0017346C">
              <w:rPr>
                <w:sz w:val="16"/>
                <w:szCs w:val="16"/>
              </w:rPr>
              <w:t>Maize,</w:t>
            </w:r>
          </w:p>
          <w:p w14:paraId="40B5649F" w14:textId="77777777" w:rsidR="005471AE" w:rsidRDefault="005471AE" w:rsidP="00E01D38">
            <w:pPr>
              <w:pStyle w:val="a0"/>
              <w:spacing w:before="0" w:after="0"/>
              <w:jc w:val="left"/>
              <w:rPr>
                <w:sz w:val="16"/>
                <w:szCs w:val="16"/>
              </w:rPr>
            </w:pPr>
            <w:r w:rsidRPr="0017346C">
              <w:rPr>
                <w:sz w:val="16"/>
                <w:szCs w:val="16"/>
              </w:rPr>
              <w:t>Fruits,</w:t>
            </w:r>
          </w:p>
          <w:p w14:paraId="09E1FC22" w14:textId="77777777" w:rsidR="005471AE" w:rsidRPr="0017346C" w:rsidRDefault="005471AE" w:rsidP="00E01D38">
            <w:pPr>
              <w:pStyle w:val="a0"/>
              <w:spacing w:before="0" w:after="0"/>
              <w:jc w:val="left"/>
              <w:rPr>
                <w:sz w:val="16"/>
                <w:szCs w:val="16"/>
              </w:rPr>
            </w:pPr>
            <w:r w:rsidRPr="0017346C">
              <w:rPr>
                <w:sz w:val="16"/>
                <w:szCs w:val="16"/>
              </w:rPr>
              <w:t>Others.</w:t>
            </w:r>
          </w:p>
        </w:tc>
      </w:tr>
      <w:tr w:rsidR="005471AE" w:rsidRPr="0017346C" w14:paraId="715D0101" w14:textId="77777777" w:rsidTr="00E01D38">
        <w:tc>
          <w:tcPr>
            <w:tcW w:w="1052" w:type="dxa"/>
            <w:tcBorders>
              <w:top w:val="single" w:sz="4" w:space="0" w:color="auto"/>
              <w:left w:val="nil"/>
              <w:bottom w:val="nil"/>
              <w:right w:val="nil"/>
            </w:tcBorders>
            <w:vAlign w:val="center"/>
          </w:tcPr>
          <w:p w14:paraId="35484EC5" w14:textId="77777777" w:rsidR="005471AE" w:rsidRPr="0017346C" w:rsidRDefault="005471AE" w:rsidP="00E01D38">
            <w:pPr>
              <w:pStyle w:val="a0"/>
              <w:spacing w:before="0" w:after="0"/>
              <w:jc w:val="left"/>
              <w:rPr>
                <w:sz w:val="16"/>
                <w:szCs w:val="16"/>
              </w:rPr>
            </w:pPr>
            <w:r w:rsidRPr="0017346C">
              <w:rPr>
                <w:sz w:val="16"/>
                <w:szCs w:val="16"/>
              </w:rPr>
              <w:t>Industry</w:t>
            </w:r>
          </w:p>
        </w:tc>
        <w:tc>
          <w:tcPr>
            <w:tcW w:w="1637" w:type="dxa"/>
            <w:tcBorders>
              <w:top w:val="single" w:sz="4" w:space="0" w:color="auto"/>
              <w:left w:val="nil"/>
              <w:bottom w:val="nil"/>
              <w:right w:val="nil"/>
            </w:tcBorders>
            <w:vAlign w:val="center"/>
          </w:tcPr>
          <w:p w14:paraId="3202B4CF" w14:textId="77777777" w:rsidR="005471AE" w:rsidRPr="0017346C" w:rsidRDefault="005471AE" w:rsidP="00E01D38">
            <w:pPr>
              <w:pStyle w:val="a0"/>
              <w:spacing w:before="0" w:after="0"/>
              <w:jc w:val="left"/>
              <w:rPr>
                <w:sz w:val="16"/>
                <w:szCs w:val="16"/>
              </w:rPr>
            </w:pPr>
            <w:r w:rsidRPr="0017346C">
              <w:rPr>
                <w:sz w:val="16"/>
                <w:szCs w:val="16"/>
              </w:rPr>
              <w:t>Industrial gross value added</w:t>
            </w:r>
          </w:p>
        </w:tc>
        <w:tc>
          <w:tcPr>
            <w:tcW w:w="1275" w:type="dxa"/>
            <w:tcBorders>
              <w:top w:val="single" w:sz="4" w:space="0" w:color="auto"/>
              <w:left w:val="nil"/>
              <w:bottom w:val="nil"/>
              <w:right w:val="nil"/>
            </w:tcBorders>
            <w:vAlign w:val="center"/>
          </w:tcPr>
          <w:p w14:paraId="2CDF297D" w14:textId="77777777" w:rsidR="005471AE" w:rsidRPr="0017346C" w:rsidRDefault="005471AE" w:rsidP="00E01D38">
            <w:pPr>
              <w:pStyle w:val="a0"/>
              <w:spacing w:before="0" w:after="0"/>
              <w:jc w:val="left"/>
              <w:rPr>
                <w:sz w:val="16"/>
                <w:szCs w:val="16"/>
              </w:rPr>
            </w:pPr>
            <w:r w:rsidRPr="0017346C">
              <w:rPr>
                <w:sz w:val="16"/>
                <w:szCs w:val="16"/>
              </w:rPr>
              <w:t>Billion Yuan</w:t>
            </w:r>
          </w:p>
        </w:tc>
        <w:tc>
          <w:tcPr>
            <w:tcW w:w="2982" w:type="dxa"/>
            <w:tcBorders>
              <w:top w:val="single" w:sz="4" w:space="0" w:color="auto"/>
              <w:left w:val="nil"/>
              <w:bottom w:val="nil"/>
              <w:right w:val="nil"/>
            </w:tcBorders>
            <w:vAlign w:val="center"/>
          </w:tcPr>
          <w:p w14:paraId="08477469" w14:textId="77777777" w:rsidR="005471AE" w:rsidRPr="0017346C" w:rsidRDefault="005471AE" w:rsidP="00E01D38">
            <w:pPr>
              <w:pStyle w:val="a0"/>
              <w:spacing w:before="0" w:after="0"/>
              <w:jc w:val="left"/>
              <w:rPr>
                <w:sz w:val="16"/>
                <w:szCs w:val="16"/>
              </w:rPr>
            </w:pPr>
            <w:r w:rsidRPr="0017346C">
              <w:rPr>
                <w:sz w:val="16"/>
                <w:szCs w:val="16"/>
              </w:rPr>
              <w:t>Industrial GVA by industries</w:t>
            </w:r>
          </w:p>
        </w:tc>
        <w:tc>
          <w:tcPr>
            <w:tcW w:w="2688" w:type="dxa"/>
            <w:tcBorders>
              <w:top w:val="single" w:sz="4" w:space="0" w:color="auto"/>
              <w:left w:val="nil"/>
              <w:bottom w:val="nil"/>
              <w:right w:val="nil"/>
            </w:tcBorders>
          </w:tcPr>
          <w:p w14:paraId="38498503" w14:textId="77777777" w:rsidR="005471AE" w:rsidRDefault="005471AE" w:rsidP="00E01D38">
            <w:pPr>
              <w:pStyle w:val="a0"/>
              <w:spacing w:before="0" w:after="0"/>
              <w:jc w:val="left"/>
              <w:rPr>
                <w:sz w:val="16"/>
                <w:szCs w:val="16"/>
              </w:rPr>
            </w:pPr>
            <w:r w:rsidRPr="0017346C">
              <w:rPr>
                <w:sz w:val="16"/>
                <w:szCs w:val="16"/>
              </w:rPr>
              <w:t>Textile,</w:t>
            </w:r>
          </w:p>
          <w:p w14:paraId="778085A6" w14:textId="77777777" w:rsidR="005471AE" w:rsidRDefault="005471AE" w:rsidP="00E01D38">
            <w:pPr>
              <w:pStyle w:val="a0"/>
              <w:spacing w:before="0" w:after="0"/>
              <w:jc w:val="left"/>
              <w:rPr>
                <w:sz w:val="16"/>
                <w:szCs w:val="16"/>
              </w:rPr>
            </w:pPr>
            <w:r w:rsidRPr="0017346C">
              <w:rPr>
                <w:sz w:val="16"/>
                <w:szCs w:val="16"/>
              </w:rPr>
              <w:t>Papermaking,</w:t>
            </w:r>
          </w:p>
          <w:p w14:paraId="18942F09" w14:textId="77777777" w:rsidR="005471AE" w:rsidRDefault="005471AE" w:rsidP="00E01D38">
            <w:pPr>
              <w:pStyle w:val="a0"/>
              <w:spacing w:before="0" w:after="0"/>
              <w:jc w:val="left"/>
              <w:rPr>
                <w:sz w:val="16"/>
                <w:szCs w:val="16"/>
              </w:rPr>
            </w:pPr>
            <w:r w:rsidRPr="0017346C">
              <w:rPr>
                <w:sz w:val="16"/>
                <w:szCs w:val="16"/>
              </w:rPr>
              <w:t>Petrochemicals,</w:t>
            </w:r>
          </w:p>
          <w:p w14:paraId="07DD3E52" w14:textId="77777777" w:rsidR="005471AE" w:rsidRDefault="005471AE" w:rsidP="00E01D38">
            <w:pPr>
              <w:pStyle w:val="a0"/>
              <w:spacing w:before="0" w:after="0"/>
              <w:jc w:val="left"/>
              <w:rPr>
                <w:sz w:val="16"/>
                <w:szCs w:val="16"/>
              </w:rPr>
            </w:pPr>
            <w:r w:rsidRPr="0017346C">
              <w:rPr>
                <w:sz w:val="16"/>
                <w:szCs w:val="16"/>
              </w:rPr>
              <w:t>Metallurgy,</w:t>
            </w:r>
          </w:p>
          <w:p w14:paraId="4DAC7F4B" w14:textId="77777777" w:rsidR="005471AE" w:rsidRDefault="005471AE" w:rsidP="00E01D38">
            <w:pPr>
              <w:pStyle w:val="a0"/>
              <w:spacing w:before="0" w:after="0"/>
              <w:jc w:val="left"/>
              <w:rPr>
                <w:sz w:val="16"/>
                <w:szCs w:val="16"/>
              </w:rPr>
            </w:pPr>
            <w:r w:rsidRPr="0017346C">
              <w:rPr>
                <w:sz w:val="16"/>
                <w:szCs w:val="16"/>
              </w:rPr>
              <w:t>Mining,</w:t>
            </w:r>
          </w:p>
          <w:p w14:paraId="6D9C403A" w14:textId="77777777" w:rsidR="005471AE" w:rsidRDefault="005471AE" w:rsidP="00E01D38">
            <w:pPr>
              <w:pStyle w:val="a0"/>
              <w:spacing w:before="0" w:after="0"/>
              <w:jc w:val="left"/>
              <w:rPr>
                <w:sz w:val="16"/>
                <w:szCs w:val="16"/>
              </w:rPr>
            </w:pPr>
            <w:r w:rsidRPr="0017346C">
              <w:rPr>
                <w:sz w:val="16"/>
                <w:szCs w:val="16"/>
              </w:rPr>
              <w:t>Food,</w:t>
            </w:r>
          </w:p>
          <w:p w14:paraId="1E58E510" w14:textId="77777777" w:rsidR="005471AE" w:rsidRDefault="005471AE" w:rsidP="00E01D38">
            <w:pPr>
              <w:pStyle w:val="a0"/>
              <w:spacing w:before="0" w:after="0"/>
              <w:jc w:val="left"/>
              <w:rPr>
                <w:sz w:val="16"/>
                <w:szCs w:val="16"/>
              </w:rPr>
            </w:pPr>
            <w:r w:rsidRPr="0017346C">
              <w:rPr>
                <w:sz w:val="16"/>
                <w:szCs w:val="16"/>
              </w:rPr>
              <w:t>Cements,</w:t>
            </w:r>
          </w:p>
          <w:p w14:paraId="5358512E" w14:textId="77777777" w:rsidR="005471AE" w:rsidRDefault="005471AE" w:rsidP="00E01D38">
            <w:pPr>
              <w:pStyle w:val="a0"/>
              <w:spacing w:before="0" w:after="0"/>
              <w:jc w:val="left"/>
              <w:rPr>
                <w:sz w:val="16"/>
                <w:szCs w:val="16"/>
              </w:rPr>
            </w:pPr>
            <w:r w:rsidRPr="0017346C">
              <w:rPr>
                <w:sz w:val="16"/>
                <w:szCs w:val="16"/>
              </w:rPr>
              <w:t>Machinery,</w:t>
            </w:r>
          </w:p>
          <w:p w14:paraId="7E2F3EA7" w14:textId="77777777" w:rsidR="005471AE" w:rsidRDefault="005471AE" w:rsidP="00E01D38">
            <w:pPr>
              <w:pStyle w:val="a0"/>
              <w:spacing w:before="0" w:after="0"/>
              <w:jc w:val="left"/>
              <w:rPr>
                <w:sz w:val="16"/>
                <w:szCs w:val="16"/>
              </w:rPr>
            </w:pPr>
            <w:r w:rsidRPr="0017346C">
              <w:rPr>
                <w:sz w:val="16"/>
                <w:szCs w:val="16"/>
              </w:rPr>
              <w:t>Electronics,</w:t>
            </w:r>
          </w:p>
          <w:p w14:paraId="758390EA" w14:textId="77777777" w:rsidR="005471AE" w:rsidRDefault="005471AE" w:rsidP="00E01D38">
            <w:pPr>
              <w:pStyle w:val="a0"/>
              <w:spacing w:before="0" w:after="0"/>
              <w:jc w:val="left"/>
              <w:rPr>
                <w:sz w:val="16"/>
                <w:szCs w:val="16"/>
              </w:rPr>
            </w:pPr>
            <w:r w:rsidRPr="0017346C">
              <w:rPr>
                <w:sz w:val="16"/>
                <w:szCs w:val="16"/>
              </w:rPr>
              <w:t>Thermal</w:t>
            </w:r>
            <w:r>
              <w:rPr>
                <w:rFonts w:hint="eastAsia"/>
                <w:sz w:val="16"/>
                <w:szCs w:val="16"/>
                <w:lang w:eastAsia="zh-CN"/>
              </w:rPr>
              <w:t xml:space="preserve"> </w:t>
            </w:r>
            <w:r w:rsidRPr="0017346C">
              <w:rPr>
                <w:sz w:val="16"/>
                <w:szCs w:val="16"/>
              </w:rPr>
              <w:t>electrivity,</w:t>
            </w:r>
          </w:p>
          <w:p w14:paraId="535B51C6" w14:textId="77777777" w:rsidR="005471AE" w:rsidRPr="0017346C" w:rsidRDefault="005471AE" w:rsidP="00E01D38">
            <w:pPr>
              <w:pStyle w:val="a0"/>
              <w:spacing w:before="0" w:after="0"/>
              <w:jc w:val="left"/>
              <w:rPr>
                <w:sz w:val="16"/>
                <w:szCs w:val="16"/>
              </w:rPr>
            </w:pPr>
            <w:r w:rsidRPr="0017346C">
              <w:rPr>
                <w:sz w:val="16"/>
                <w:szCs w:val="16"/>
              </w:rPr>
              <w:t>Others.</w:t>
            </w:r>
          </w:p>
        </w:tc>
      </w:tr>
      <w:tr w:rsidR="005471AE" w:rsidRPr="0017346C" w14:paraId="68E3A3D8" w14:textId="77777777" w:rsidTr="00E01D38">
        <w:tc>
          <w:tcPr>
            <w:tcW w:w="1052" w:type="dxa"/>
            <w:tcBorders>
              <w:top w:val="nil"/>
              <w:left w:val="nil"/>
              <w:bottom w:val="single" w:sz="4" w:space="0" w:color="auto"/>
              <w:right w:val="nil"/>
            </w:tcBorders>
          </w:tcPr>
          <w:p w14:paraId="17FC68AB" w14:textId="77777777" w:rsidR="005471AE" w:rsidRPr="0017346C" w:rsidRDefault="005471AE" w:rsidP="00E01D38">
            <w:pPr>
              <w:pStyle w:val="a0"/>
              <w:spacing w:before="0" w:after="0"/>
              <w:jc w:val="left"/>
              <w:rPr>
                <w:sz w:val="16"/>
                <w:szCs w:val="16"/>
              </w:rPr>
            </w:pPr>
          </w:p>
        </w:tc>
        <w:tc>
          <w:tcPr>
            <w:tcW w:w="1637" w:type="dxa"/>
            <w:tcBorders>
              <w:top w:val="nil"/>
              <w:left w:val="nil"/>
              <w:bottom w:val="single" w:sz="4" w:space="0" w:color="auto"/>
              <w:right w:val="nil"/>
            </w:tcBorders>
          </w:tcPr>
          <w:p w14:paraId="494831C6" w14:textId="77777777" w:rsidR="005471AE" w:rsidRPr="0017346C" w:rsidRDefault="005471AE" w:rsidP="00E01D38">
            <w:pPr>
              <w:pStyle w:val="a0"/>
              <w:spacing w:before="0" w:after="0"/>
              <w:jc w:val="left"/>
              <w:rPr>
                <w:sz w:val="16"/>
                <w:szCs w:val="16"/>
              </w:rPr>
            </w:pPr>
            <w:r w:rsidRPr="0017346C">
              <w:rPr>
                <w:sz w:val="16"/>
                <w:szCs w:val="16"/>
              </w:rPr>
              <w:t>Industrial water use efficiency</w:t>
            </w:r>
          </w:p>
        </w:tc>
        <w:tc>
          <w:tcPr>
            <w:tcW w:w="1275" w:type="dxa"/>
            <w:tcBorders>
              <w:top w:val="nil"/>
              <w:left w:val="nil"/>
              <w:bottom w:val="single" w:sz="4" w:space="0" w:color="auto"/>
              <w:right w:val="nil"/>
            </w:tcBorders>
          </w:tcPr>
          <w:p w14:paraId="71AA67F9" w14:textId="77777777" w:rsidR="005471AE" w:rsidRPr="0017346C" w:rsidRDefault="005471AE" w:rsidP="00E01D38">
            <w:pPr>
              <w:pStyle w:val="a0"/>
              <w:spacing w:before="0" w:after="0"/>
              <w:jc w:val="left"/>
              <w:rPr>
                <w:i/>
                <w:iCs/>
                <w:sz w:val="16"/>
                <w:szCs w:val="16"/>
              </w:rPr>
            </w:pPr>
            <w:r w:rsidRPr="0017346C">
              <w:rPr>
                <w:i/>
                <w:iCs/>
                <w:sz w:val="16"/>
                <w:szCs w:val="16"/>
              </w:rPr>
              <w:t>%</w:t>
            </w:r>
          </w:p>
        </w:tc>
        <w:tc>
          <w:tcPr>
            <w:tcW w:w="2982" w:type="dxa"/>
            <w:tcBorders>
              <w:top w:val="nil"/>
              <w:left w:val="nil"/>
              <w:bottom w:val="single" w:sz="4" w:space="0" w:color="auto"/>
              <w:right w:val="nil"/>
            </w:tcBorders>
          </w:tcPr>
          <w:p w14:paraId="31639CA4" w14:textId="77777777" w:rsidR="005471AE" w:rsidRPr="0017346C" w:rsidRDefault="005471AE" w:rsidP="00E01D38">
            <w:pPr>
              <w:pStyle w:val="a0"/>
              <w:spacing w:before="0" w:after="0"/>
              <w:jc w:val="left"/>
              <w:rPr>
                <w:sz w:val="16"/>
                <w:szCs w:val="16"/>
              </w:rPr>
            </w:pPr>
            <w:r w:rsidRPr="0017346C">
              <w:rPr>
                <w:sz w:val="16"/>
                <w:szCs w:val="16"/>
              </w:rPr>
              <w:t>The ratio of recycled water and evaporated water to total industrial water use</w:t>
            </w:r>
          </w:p>
        </w:tc>
        <w:tc>
          <w:tcPr>
            <w:tcW w:w="2688" w:type="dxa"/>
            <w:tcBorders>
              <w:top w:val="nil"/>
              <w:left w:val="nil"/>
              <w:bottom w:val="single" w:sz="4" w:space="0" w:color="auto"/>
              <w:right w:val="nil"/>
            </w:tcBorders>
          </w:tcPr>
          <w:p w14:paraId="557D09AE" w14:textId="77777777" w:rsidR="005471AE" w:rsidRDefault="005471AE" w:rsidP="00E01D38">
            <w:pPr>
              <w:pStyle w:val="a0"/>
              <w:spacing w:before="0" w:after="0"/>
              <w:jc w:val="left"/>
              <w:rPr>
                <w:sz w:val="16"/>
                <w:szCs w:val="16"/>
              </w:rPr>
            </w:pPr>
            <w:r w:rsidRPr="0017346C">
              <w:rPr>
                <w:sz w:val="16"/>
                <w:szCs w:val="16"/>
              </w:rPr>
              <w:t xml:space="preserve">Ratio of industrial water recycling, </w:t>
            </w:r>
          </w:p>
          <w:p w14:paraId="38E94AB4" w14:textId="77777777" w:rsidR="005471AE" w:rsidRPr="0017346C" w:rsidRDefault="005471AE" w:rsidP="00E01D38">
            <w:pPr>
              <w:pStyle w:val="a0"/>
              <w:spacing w:before="0" w:after="0"/>
              <w:jc w:val="left"/>
              <w:rPr>
                <w:sz w:val="16"/>
                <w:szCs w:val="16"/>
              </w:rPr>
            </w:pPr>
            <w:r w:rsidRPr="0017346C">
              <w:rPr>
                <w:sz w:val="16"/>
                <w:szCs w:val="16"/>
              </w:rPr>
              <w:t>Ratio of industrial water</w:t>
            </w:r>
            <w:r>
              <w:rPr>
                <w:sz w:val="16"/>
                <w:szCs w:val="16"/>
              </w:rPr>
              <w:t xml:space="preserve"> </w:t>
            </w:r>
            <w:r w:rsidRPr="0017346C">
              <w:rPr>
                <w:sz w:val="16"/>
                <w:szCs w:val="16"/>
              </w:rPr>
              <w:t>evaporated.</w:t>
            </w:r>
          </w:p>
        </w:tc>
      </w:tr>
      <w:tr w:rsidR="005471AE" w:rsidRPr="0017346C" w14:paraId="743AAF24" w14:textId="77777777" w:rsidTr="00E01D38">
        <w:tc>
          <w:tcPr>
            <w:tcW w:w="1052" w:type="dxa"/>
            <w:tcBorders>
              <w:top w:val="single" w:sz="4" w:space="0" w:color="auto"/>
              <w:left w:val="nil"/>
              <w:bottom w:val="single" w:sz="4" w:space="0" w:color="auto"/>
              <w:right w:val="nil"/>
            </w:tcBorders>
            <w:vAlign w:val="center"/>
          </w:tcPr>
          <w:p w14:paraId="0011881D" w14:textId="77777777" w:rsidR="005471AE" w:rsidRPr="0017346C" w:rsidRDefault="005471AE" w:rsidP="00E01D38">
            <w:pPr>
              <w:pStyle w:val="a0"/>
              <w:spacing w:before="0" w:after="0"/>
              <w:rPr>
                <w:sz w:val="16"/>
                <w:szCs w:val="16"/>
              </w:rPr>
            </w:pPr>
            <w:r w:rsidRPr="0017346C">
              <w:rPr>
                <w:sz w:val="16"/>
                <w:szCs w:val="16"/>
              </w:rPr>
              <w:t>Services</w:t>
            </w:r>
          </w:p>
        </w:tc>
        <w:tc>
          <w:tcPr>
            <w:tcW w:w="1637" w:type="dxa"/>
            <w:tcBorders>
              <w:top w:val="single" w:sz="4" w:space="0" w:color="auto"/>
              <w:left w:val="nil"/>
              <w:bottom w:val="single" w:sz="4" w:space="0" w:color="auto"/>
              <w:right w:val="nil"/>
            </w:tcBorders>
            <w:vAlign w:val="center"/>
          </w:tcPr>
          <w:p w14:paraId="3B9F7091" w14:textId="77777777" w:rsidR="005471AE" w:rsidRPr="0017346C" w:rsidRDefault="005471AE" w:rsidP="00E01D38">
            <w:pPr>
              <w:pStyle w:val="a0"/>
              <w:spacing w:before="0" w:after="0"/>
              <w:rPr>
                <w:sz w:val="16"/>
                <w:szCs w:val="16"/>
              </w:rPr>
            </w:pPr>
            <w:r w:rsidRPr="0017346C">
              <w:rPr>
                <w:sz w:val="16"/>
                <w:szCs w:val="16"/>
              </w:rPr>
              <w:t>Services</w:t>
            </w:r>
            <w:r>
              <w:rPr>
                <w:sz w:val="16"/>
                <w:szCs w:val="16"/>
              </w:rPr>
              <w:t xml:space="preserve"> </w:t>
            </w:r>
            <w:r w:rsidRPr="0017346C">
              <w:rPr>
                <w:sz w:val="16"/>
                <w:szCs w:val="16"/>
              </w:rPr>
              <w:t>gross value added</w:t>
            </w:r>
          </w:p>
        </w:tc>
        <w:tc>
          <w:tcPr>
            <w:tcW w:w="1275" w:type="dxa"/>
            <w:tcBorders>
              <w:top w:val="single" w:sz="4" w:space="0" w:color="auto"/>
              <w:left w:val="nil"/>
              <w:bottom w:val="single" w:sz="4" w:space="0" w:color="auto"/>
              <w:right w:val="nil"/>
            </w:tcBorders>
            <w:vAlign w:val="center"/>
          </w:tcPr>
          <w:p w14:paraId="6EAE2EB6" w14:textId="77777777" w:rsidR="005471AE" w:rsidRPr="0017346C" w:rsidRDefault="005471AE" w:rsidP="00E01D38">
            <w:pPr>
              <w:pStyle w:val="a0"/>
              <w:spacing w:before="0" w:after="0"/>
              <w:rPr>
                <w:sz w:val="16"/>
                <w:szCs w:val="16"/>
              </w:rPr>
            </w:pPr>
            <w:r w:rsidRPr="0017346C">
              <w:rPr>
                <w:sz w:val="16"/>
                <w:szCs w:val="16"/>
              </w:rPr>
              <w:t>Billion Yuan</w:t>
            </w:r>
          </w:p>
        </w:tc>
        <w:tc>
          <w:tcPr>
            <w:tcW w:w="2982" w:type="dxa"/>
            <w:tcBorders>
              <w:top w:val="single" w:sz="4" w:space="0" w:color="auto"/>
              <w:left w:val="nil"/>
              <w:bottom w:val="single" w:sz="4" w:space="0" w:color="auto"/>
              <w:right w:val="nil"/>
            </w:tcBorders>
            <w:vAlign w:val="center"/>
          </w:tcPr>
          <w:p w14:paraId="2B42E0E6" w14:textId="77777777" w:rsidR="005471AE" w:rsidRPr="0017346C" w:rsidRDefault="005471AE" w:rsidP="00E01D38">
            <w:pPr>
              <w:pStyle w:val="a0"/>
              <w:spacing w:before="0" w:after="0"/>
              <w:rPr>
                <w:sz w:val="16"/>
                <w:szCs w:val="16"/>
              </w:rPr>
            </w:pPr>
            <w:r w:rsidRPr="0017346C">
              <w:rPr>
                <w:sz w:val="16"/>
                <w:szCs w:val="16"/>
              </w:rPr>
              <w:t>GVA of service activities</w:t>
            </w:r>
          </w:p>
        </w:tc>
        <w:tc>
          <w:tcPr>
            <w:tcW w:w="2688" w:type="dxa"/>
            <w:tcBorders>
              <w:top w:val="single" w:sz="4" w:space="0" w:color="auto"/>
              <w:left w:val="nil"/>
              <w:bottom w:val="single" w:sz="4" w:space="0" w:color="auto"/>
              <w:right w:val="nil"/>
            </w:tcBorders>
            <w:vAlign w:val="center"/>
          </w:tcPr>
          <w:p w14:paraId="3FBA96DF" w14:textId="77777777" w:rsidR="005471AE" w:rsidRPr="0017346C" w:rsidRDefault="005471AE" w:rsidP="00E01D38">
            <w:pPr>
              <w:pStyle w:val="a0"/>
              <w:spacing w:before="0" w:after="0"/>
              <w:rPr>
                <w:sz w:val="16"/>
                <w:szCs w:val="16"/>
              </w:rPr>
            </w:pPr>
            <w:r w:rsidRPr="0017346C">
              <w:rPr>
                <w:sz w:val="16"/>
                <w:szCs w:val="16"/>
              </w:rPr>
              <w:t>Services GVA</w:t>
            </w:r>
          </w:p>
        </w:tc>
      </w:tr>
      <w:tr w:rsidR="005471AE" w:rsidRPr="0017346C" w14:paraId="4B757E3A" w14:textId="77777777" w:rsidTr="00E01D38">
        <w:tc>
          <w:tcPr>
            <w:tcW w:w="1052" w:type="dxa"/>
            <w:vMerge w:val="restart"/>
            <w:tcBorders>
              <w:top w:val="single" w:sz="4" w:space="0" w:color="auto"/>
              <w:left w:val="nil"/>
              <w:bottom w:val="nil"/>
              <w:right w:val="nil"/>
            </w:tcBorders>
          </w:tcPr>
          <w:p w14:paraId="0A5DF8E2" w14:textId="77777777" w:rsidR="005471AE" w:rsidRPr="0017346C" w:rsidRDefault="005471AE" w:rsidP="00E01D38">
            <w:pPr>
              <w:pStyle w:val="a0"/>
              <w:spacing w:before="0" w:after="0"/>
              <w:jc w:val="left"/>
              <w:rPr>
                <w:sz w:val="16"/>
                <w:szCs w:val="16"/>
              </w:rPr>
            </w:pPr>
            <w:r w:rsidRPr="0017346C">
              <w:rPr>
                <w:sz w:val="16"/>
                <w:szCs w:val="16"/>
              </w:rPr>
              <w:t>Domestic</w:t>
            </w:r>
          </w:p>
        </w:tc>
        <w:tc>
          <w:tcPr>
            <w:tcW w:w="1637" w:type="dxa"/>
            <w:tcBorders>
              <w:top w:val="single" w:sz="4" w:space="0" w:color="auto"/>
              <w:left w:val="nil"/>
              <w:bottom w:val="nil"/>
              <w:right w:val="nil"/>
            </w:tcBorders>
          </w:tcPr>
          <w:p w14:paraId="5221B2DE" w14:textId="77777777" w:rsidR="005471AE" w:rsidRPr="0017346C" w:rsidRDefault="005471AE" w:rsidP="00E01D38">
            <w:pPr>
              <w:pStyle w:val="a0"/>
              <w:spacing w:before="0" w:after="0"/>
              <w:jc w:val="left"/>
              <w:rPr>
                <w:sz w:val="16"/>
                <w:szCs w:val="16"/>
              </w:rPr>
            </w:pPr>
            <w:r w:rsidRPr="0017346C">
              <w:rPr>
                <w:sz w:val="16"/>
                <w:szCs w:val="16"/>
              </w:rPr>
              <w:t>Urban population</w:t>
            </w:r>
          </w:p>
        </w:tc>
        <w:tc>
          <w:tcPr>
            <w:tcW w:w="1275" w:type="dxa"/>
            <w:tcBorders>
              <w:top w:val="single" w:sz="4" w:space="0" w:color="auto"/>
              <w:left w:val="nil"/>
              <w:bottom w:val="nil"/>
              <w:right w:val="nil"/>
            </w:tcBorders>
          </w:tcPr>
          <w:p w14:paraId="71D7D466" w14:textId="77777777" w:rsidR="005471AE" w:rsidRPr="0017346C" w:rsidRDefault="005471AE" w:rsidP="00E01D38">
            <w:pPr>
              <w:pStyle w:val="a0"/>
              <w:spacing w:before="0" w:after="0"/>
              <w:jc w:val="left"/>
              <w:rPr>
                <w:sz w:val="16"/>
                <w:szCs w:val="16"/>
              </w:rPr>
            </w:pPr>
            <w:r w:rsidRPr="0017346C">
              <w:rPr>
                <w:sz w:val="16"/>
                <w:szCs w:val="16"/>
              </w:rPr>
              <w:t>Million Capita</w:t>
            </w:r>
          </w:p>
        </w:tc>
        <w:tc>
          <w:tcPr>
            <w:tcW w:w="2982" w:type="dxa"/>
            <w:tcBorders>
              <w:top w:val="single" w:sz="4" w:space="0" w:color="auto"/>
              <w:left w:val="nil"/>
              <w:bottom w:val="nil"/>
              <w:right w:val="nil"/>
            </w:tcBorders>
          </w:tcPr>
          <w:p w14:paraId="7FFC4084" w14:textId="77777777" w:rsidR="005471AE" w:rsidRPr="0017346C" w:rsidRDefault="005471AE" w:rsidP="00E01D38">
            <w:pPr>
              <w:pStyle w:val="a0"/>
              <w:spacing w:before="0" w:after="0"/>
              <w:jc w:val="left"/>
              <w:rPr>
                <w:sz w:val="16"/>
                <w:szCs w:val="16"/>
              </w:rPr>
            </w:pPr>
            <w:r w:rsidRPr="0017346C">
              <w:rPr>
                <w:sz w:val="16"/>
                <w:szCs w:val="16"/>
              </w:rPr>
              <w:t>Population living in urban regions.</w:t>
            </w:r>
          </w:p>
        </w:tc>
        <w:tc>
          <w:tcPr>
            <w:tcW w:w="2688" w:type="dxa"/>
            <w:tcBorders>
              <w:top w:val="single" w:sz="4" w:space="0" w:color="auto"/>
              <w:left w:val="nil"/>
              <w:bottom w:val="nil"/>
              <w:right w:val="nil"/>
            </w:tcBorders>
          </w:tcPr>
          <w:p w14:paraId="0B4404B6" w14:textId="77777777" w:rsidR="005471AE" w:rsidRPr="0017346C" w:rsidRDefault="005471AE" w:rsidP="00E01D38">
            <w:pPr>
              <w:pStyle w:val="a0"/>
              <w:spacing w:before="0" w:after="0"/>
              <w:jc w:val="left"/>
              <w:rPr>
                <w:sz w:val="16"/>
                <w:szCs w:val="16"/>
              </w:rPr>
            </w:pPr>
            <w:r w:rsidRPr="0017346C">
              <w:rPr>
                <w:sz w:val="16"/>
                <w:szCs w:val="16"/>
              </w:rPr>
              <w:t>Urban pop</w:t>
            </w:r>
          </w:p>
        </w:tc>
      </w:tr>
      <w:tr w:rsidR="005471AE" w:rsidRPr="0017346C" w14:paraId="42992EA8" w14:textId="77777777" w:rsidTr="00E01D38">
        <w:tc>
          <w:tcPr>
            <w:tcW w:w="1052" w:type="dxa"/>
            <w:vMerge/>
            <w:tcBorders>
              <w:top w:val="nil"/>
              <w:left w:val="nil"/>
              <w:bottom w:val="nil"/>
              <w:right w:val="nil"/>
            </w:tcBorders>
          </w:tcPr>
          <w:p w14:paraId="7578552D" w14:textId="77777777" w:rsidR="005471AE" w:rsidRPr="0017346C" w:rsidRDefault="005471AE" w:rsidP="00E01D38">
            <w:pPr>
              <w:pStyle w:val="a0"/>
              <w:spacing w:before="0" w:after="0"/>
              <w:jc w:val="left"/>
              <w:rPr>
                <w:sz w:val="16"/>
                <w:szCs w:val="16"/>
              </w:rPr>
            </w:pPr>
          </w:p>
        </w:tc>
        <w:tc>
          <w:tcPr>
            <w:tcW w:w="1637" w:type="dxa"/>
            <w:tcBorders>
              <w:top w:val="nil"/>
              <w:left w:val="nil"/>
              <w:bottom w:val="nil"/>
              <w:right w:val="nil"/>
            </w:tcBorders>
          </w:tcPr>
          <w:p w14:paraId="2468A4F2" w14:textId="77777777" w:rsidR="005471AE" w:rsidRPr="0017346C" w:rsidRDefault="005471AE" w:rsidP="00E01D38">
            <w:pPr>
              <w:pStyle w:val="a0"/>
              <w:spacing w:before="0" w:after="0"/>
              <w:jc w:val="left"/>
              <w:rPr>
                <w:sz w:val="16"/>
                <w:szCs w:val="16"/>
              </w:rPr>
            </w:pPr>
            <w:r w:rsidRPr="0017346C">
              <w:rPr>
                <w:sz w:val="16"/>
                <w:szCs w:val="16"/>
              </w:rPr>
              <w:t>Rural population</w:t>
            </w:r>
          </w:p>
        </w:tc>
        <w:tc>
          <w:tcPr>
            <w:tcW w:w="1275" w:type="dxa"/>
            <w:tcBorders>
              <w:top w:val="nil"/>
              <w:left w:val="nil"/>
              <w:bottom w:val="nil"/>
              <w:right w:val="nil"/>
            </w:tcBorders>
          </w:tcPr>
          <w:p w14:paraId="5D8CACA8" w14:textId="77777777" w:rsidR="005471AE" w:rsidRPr="0017346C" w:rsidRDefault="005471AE" w:rsidP="00E01D38">
            <w:pPr>
              <w:pStyle w:val="a0"/>
              <w:spacing w:before="0" w:after="0"/>
              <w:jc w:val="left"/>
              <w:rPr>
                <w:sz w:val="16"/>
                <w:szCs w:val="16"/>
              </w:rPr>
            </w:pPr>
            <w:r w:rsidRPr="0017346C">
              <w:rPr>
                <w:sz w:val="16"/>
                <w:szCs w:val="16"/>
              </w:rPr>
              <w:t>Million Capita</w:t>
            </w:r>
          </w:p>
        </w:tc>
        <w:tc>
          <w:tcPr>
            <w:tcW w:w="2982" w:type="dxa"/>
            <w:tcBorders>
              <w:top w:val="nil"/>
              <w:left w:val="nil"/>
              <w:bottom w:val="nil"/>
              <w:right w:val="nil"/>
            </w:tcBorders>
          </w:tcPr>
          <w:p w14:paraId="78C89393" w14:textId="77777777" w:rsidR="005471AE" w:rsidRPr="0017346C" w:rsidRDefault="005471AE" w:rsidP="00E01D38">
            <w:pPr>
              <w:pStyle w:val="a0"/>
              <w:spacing w:before="0" w:after="0"/>
              <w:jc w:val="left"/>
              <w:rPr>
                <w:sz w:val="16"/>
                <w:szCs w:val="16"/>
              </w:rPr>
            </w:pPr>
            <w:r w:rsidRPr="0017346C">
              <w:rPr>
                <w:sz w:val="16"/>
                <w:szCs w:val="16"/>
              </w:rPr>
              <w:t>Population living in rural regions.</w:t>
            </w:r>
          </w:p>
        </w:tc>
        <w:tc>
          <w:tcPr>
            <w:tcW w:w="2688" w:type="dxa"/>
            <w:tcBorders>
              <w:top w:val="nil"/>
              <w:left w:val="nil"/>
              <w:bottom w:val="nil"/>
              <w:right w:val="nil"/>
            </w:tcBorders>
          </w:tcPr>
          <w:p w14:paraId="41D279D8" w14:textId="77777777" w:rsidR="005471AE" w:rsidRPr="0017346C" w:rsidRDefault="005471AE" w:rsidP="00E01D38">
            <w:pPr>
              <w:pStyle w:val="a0"/>
              <w:spacing w:before="0" w:after="0"/>
              <w:jc w:val="left"/>
              <w:rPr>
                <w:sz w:val="16"/>
                <w:szCs w:val="16"/>
              </w:rPr>
            </w:pPr>
            <w:r w:rsidRPr="0017346C">
              <w:rPr>
                <w:sz w:val="16"/>
                <w:szCs w:val="16"/>
              </w:rPr>
              <w:t>Rural pop</w:t>
            </w:r>
          </w:p>
        </w:tc>
      </w:tr>
      <w:tr w:rsidR="005471AE" w:rsidRPr="0017346C" w14:paraId="471927BE" w14:textId="77777777" w:rsidTr="00E01D38">
        <w:tc>
          <w:tcPr>
            <w:tcW w:w="1052" w:type="dxa"/>
            <w:vMerge/>
            <w:tcBorders>
              <w:top w:val="nil"/>
              <w:left w:val="nil"/>
              <w:bottom w:val="single" w:sz="4" w:space="0" w:color="auto"/>
              <w:right w:val="nil"/>
            </w:tcBorders>
          </w:tcPr>
          <w:p w14:paraId="099FBF0C" w14:textId="77777777" w:rsidR="005471AE" w:rsidRPr="0017346C" w:rsidRDefault="005471AE" w:rsidP="00E01D38">
            <w:pPr>
              <w:pStyle w:val="a0"/>
              <w:spacing w:before="0" w:after="0"/>
              <w:jc w:val="left"/>
              <w:rPr>
                <w:sz w:val="16"/>
                <w:szCs w:val="16"/>
              </w:rPr>
            </w:pPr>
          </w:p>
        </w:tc>
        <w:tc>
          <w:tcPr>
            <w:tcW w:w="1637" w:type="dxa"/>
            <w:tcBorders>
              <w:top w:val="nil"/>
              <w:left w:val="nil"/>
              <w:bottom w:val="single" w:sz="4" w:space="0" w:color="auto"/>
              <w:right w:val="nil"/>
            </w:tcBorders>
          </w:tcPr>
          <w:p w14:paraId="5070E4EF" w14:textId="77777777" w:rsidR="005471AE" w:rsidRPr="0017346C" w:rsidRDefault="005471AE" w:rsidP="00E01D38">
            <w:pPr>
              <w:pStyle w:val="a0"/>
              <w:spacing w:before="0" w:after="0"/>
              <w:jc w:val="left"/>
              <w:rPr>
                <w:sz w:val="16"/>
                <w:szCs w:val="16"/>
              </w:rPr>
            </w:pPr>
            <w:r w:rsidRPr="0017346C">
              <w:rPr>
                <w:sz w:val="16"/>
                <w:szCs w:val="16"/>
              </w:rPr>
              <w:t>Livestock population</w:t>
            </w:r>
          </w:p>
        </w:tc>
        <w:tc>
          <w:tcPr>
            <w:tcW w:w="1275" w:type="dxa"/>
            <w:tcBorders>
              <w:top w:val="nil"/>
              <w:left w:val="nil"/>
              <w:bottom w:val="single" w:sz="4" w:space="0" w:color="auto"/>
              <w:right w:val="nil"/>
            </w:tcBorders>
          </w:tcPr>
          <w:p w14:paraId="160B79CC" w14:textId="77777777" w:rsidR="005471AE" w:rsidRPr="0017346C" w:rsidRDefault="005471AE" w:rsidP="00E01D38">
            <w:pPr>
              <w:pStyle w:val="a0"/>
              <w:spacing w:before="0" w:after="0"/>
              <w:jc w:val="left"/>
              <w:rPr>
                <w:sz w:val="16"/>
                <w:szCs w:val="16"/>
              </w:rPr>
            </w:pPr>
            <w:r w:rsidRPr="0017346C">
              <w:rPr>
                <w:sz w:val="16"/>
                <w:szCs w:val="16"/>
              </w:rPr>
              <w:t>Billion KJ</w:t>
            </w:r>
          </w:p>
        </w:tc>
        <w:tc>
          <w:tcPr>
            <w:tcW w:w="2982" w:type="dxa"/>
            <w:tcBorders>
              <w:top w:val="nil"/>
              <w:left w:val="nil"/>
              <w:bottom w:val="single" w:sz="4" w:space="0" w:color="auto"/>
              <w:right w:val="nil"/>
            </w:tcBorders>
          </w:tcPr>
          <w:p w14:paraId="514C39D6" w14:textId="77777777" w:rsidR="005471AE" w:rsidRPr="0017346C" w:rsidRDefault="005471AE" w:rsidP="00E01D38">
            <w:pPr>
              <w:pStyle w:val="a0"/>
              <w:spacing w:before="0" w:after="0"/>
              <w:jc w:val="left"/>
              <w:rPr>
                <w:sz w:val="16"/>
                <w:szCs w:val="16"/>
              </w:rPr>
            </w:pPr>
            <w:r w:rsidRPr="0017346C">
              <w:rPr>
                <w:sz w:val="16"/>
                <w:szCs w:val="16"/>
              </w:rPr>
              <w:t>Livestock commodity calories summed from 7 types of animal.</w:t>
            </w:r>
          </w:p>
        </w:tc>
        <w:tc>
          <w:tcPr>
            <w:tcW w:w="2688" w:type="dxa"/>
            <w:tcBorders>
              <w:top w:val="nil"/>
              <w:left w:val="nil"/>
              <w:bottom w:val="single" w:sz="4" w:space="0" w:color="auto"/>
              <w:right w:val="nil"/>
            </w:tcBorders>
          </w:tcPr>
          <w:p w14:paraId="74539F74" w14:textId="77777777" w:rsidR="005471AE" w:rsidRPr="0017346C" w:rsidRDefault="005471AE" w:rsidP="00E01D38">
            <w:pPr>
              <w:pStyle w:val="a0"/>
              <w:spacing w:before="0" w:after="0"/>
              <w:jc w:val="left"/>
              <w:rPr>
                <w:sz w:val="16"/>
                <w:szCs w:val="16"/>
              </w:rPr>
            </w:pPr>
            <w:r w:rsidRPr="0017346C">
              <w:rPr>
                <w:sz w:val="16"/>
                <w:szCs w:val="16"/>
              </w:rPr>
              <w:t>Livestock</w:t>
            </w:r>
          </w:p>
        </w:tc>
      </w:tr>
      <w:tr w:rsidR="005471AE" w:rsidRPr="0017346C" w14:paraId="3D5575B0" w14:textId="77777777" w:rsidTr="00E01D38">
        <w:tc>
          <w:tcPr>
            <w:tcW w:w="1052" w:type="dxa"/>
            <w:vMerge w:val="restart"/>
            <w:tcBorders>
              <w:top w:val="single" w:sz="4" w:space="0" w:color="auto"/>
              <w:left w:val="nil"/>
              <w:bottom w:val="nil"/>
              <w:right w:val="nil"/>
            </w:tcBorders>
          </w:tcPr>
          <w:p w14:paraId="2B166E94" w14:textId="77777777" w:rsidR="005471AE" w:rsidRPr="0017346C" w:rsidRDefault="005471AE" w:rsidP="00E01D38">
            <w:pPr>
              <w:pStyle w:val="a0"/>
              <w:spacing w:before="0" w:after="0"/>
              <w:jc w:val="left"/>
              <w:rPr>
                <w:sz w:val="16"/>
                <w:szCs w:val="16"/>
              </w:rPr>
            </w:pPr>
            <w:r w:rsidRPr="0017346C">
              <w:rPr>
                <w:sz w:val="16"/>
                <w:szCs w:val="16"/>
              </w:rPr>
              <w:t>Environment</w:t>
            </w:r>
          </w:p>
        </w:tc>
        <w:tc>
          <w:tcPr>
            <w:tcW w:w="1637" w:type="dxa"/>
            <w:tcBorders>
              <w:top w:val="single" w:sz="4" w:space="0" w:color="auto"/>
              <w:left w:val="nil"/>
              <w:bottom w:val="nil"/>
              <w:right w:val="nil"/>
            </w:tcBorders>
          </w:tcPr>
          <w:p w14:paraId="169CF358" w14:textId="77777777" w:rsidR="005471AE" w:rsidRPr="0017346C" w:rsidRDefault="005471AE" w:rsidP="00E01D38">
            <w:pPr>
              <w:pStyle w:val="a0"/>
              <w:spacing w:before="0" w:after="0"/>
              <w:jc w:val="left"/>
              <w:rPr>
                <w:sz w:val="16"/>
                <w:szCs w:val="16"/>
              </w:rPr>
            </w:pPr>
            <w:r w:rsidRPr="0017346C">
              <w:rPr>
                <w:sz w:val="16"/>
                <w:szCs w:val="16"/>
              </w:rPr>
              <w:t>Temperature</w:t>
            </w:r>
          </w:p>
        </w:tc>
        <w:tc>
          <w:tcPr>
            <w:tcW w:w="1275" w:type="dxa"/>
            <w:tcBorders>
              <w:top w:val="single" w:sz="4" w:space="0" w:color="auto"/>
              <w:left w:val="nil"/>
              <w:bottom w:val="nil"/>
              <w:right w:val="nil"/>
            </w:tcBorders>
          </w:tcPr>
          <w:p w14:paraId="1E3026B3" w14:textId="77777777" w:rsidR="005471AE" w:rsidRPr="0017346C" w:rsidRDefault="005471AE" w:rsidP="00E01D38">
            <w:pPr>
              <w:pStyle w:val="a0"/>
              <w:spacing w:before="0" w:after="0"/>
              <w:jc w:val="left"/>
              <w:rPr>
                <w:i/>
                <w:iCs/>
                <w:sz w:val="16"/>
                <w:szCs w:val="16"/>
                <w:lang w:eastAsia="zh-CN"/>
              </w:rPr>
            </w:pPr>
            <w:r w:rsidRPr="0017346C">
              <w:rPr>
                <w:rFonts w:hint="eastAsia"/>
                <w:i/>
                <w:iCs/>
                <w:sz w:val="16"/>
                <w:szCs w:val="16"/>
                <w:lang w:eastAsia="zh-CN"/>
              </w:rPr>
              <w:t>K</w:t>
            </w:r>
          </w:p>
        </w:tc>
        <w:tc>
          <w:tcPr>
            <w:tcW w:w="2982" w:type="dxa"/>
            <w:tcBorders>
              <w:top w:val="single" w:sz="4" w:space="0" w:color="auto"/>
              <w:left w:val="nil"/>
              <w:bottom w:val="nil"/>
              <w:right w:val="nil"/>
            </w:tcBorders>
          </w:tcPr>
          <w:p w14:paraId="38496F8E" w14:textId="77777777" w:rsidR="005471AE" w:rsidRPr="0017346C" w:rsidRDefault="005471AE" w:rsidP="00E01D38">
            <w:pPr>
              <w:pStyle w:val="a0"/>
              <w:spacing w:before="0" w:after="0"/>
              <w:jc w:val="left"/>
              <w:rPr>
                <w:sz w:val="16"/>
                <w:szCs w:val="16"/>
              </w:rPr>
            </w:pPr>
            <w:r w:rsidRPr="0017346C">
              <w:rPr>
                <w:sz w:val="16"/>
                <w:szCs w:val="16"/>
              </w:rPr>
              <w:t xml:space="preserve">Near surface air temperature </w:t>
            </w:r>
          </w:p>
        </w:tc>
        <w:tc>
          <w:tcPr>
            <w:tcW w:w="2688" w:type="dxa"/>
            <w:tcBorders>
              <w:top w:val="single" w:sz="4" w:space="0" w:color="auto"/>
              <w:left w:val="nil"/>
              <w:bottom w:val="nil"/>
              <w:right w:val="nil"/>
            </w:tcBorders>
          </w:tcPr>
          <w:p w14:paraId="74495BD8" w14:textId="77777777" w:rsidR="005471AE" w:rsidRPr="0017346C" w:rsidRDefault="005471AE" w:rsidP="00E01D38">
            <w:pPr>
              <w:pStyle w:val="a0"/>
              <w:spacing w:before="0" w:after="0"/>
              <w:jc w:val="left"/>
              <w:rPr>
                <w:sz w:val="16"/>
                <w:szCs w:val="16"/>
              </w:rPr>
            </w:pPr>
            <w:r w:rsidRPr="0017346C">
              <w:rPr>
                <w:sz w:val="16"/>
                <w:szCs w:val="16"/>
              </w:rPr>
              <w:t>Temperature</w:t>
            </w:r>
          </w:p>
        </w:tc>
      </w:tr>
      <w:tr w:rsidR="005471AE" w:rsidRPr="0017346C" w14:paraId="1F1B5462" w14:textId="77777777" w:rsidTr="00E01D38">
        <w:tc>
          <w:tcPr>
            <w:tcW w:w="1052" w:type="dxa"/>
            <w:vMerge/>
            <w:tcBorders>
              <w:top w:val="nil"/>
              <w:left w:val="nil"/>
              <w:bottom w:val="single" w:sz="4" w:space="0" w:color="auto"/>
              <w:right w:val="nil"/>
            </w:tcBorders>
          </w:tcPr>
          <w:p w14:paraId="1290C379" w14:textId="77777777" w:rsidR="005471AE" w:rsidRPr="0017346C" w:rsidRDefault="005471AE" w:rsidP="00E01D38">
            <w:pPr>
              <w:pStyle w:val="a0"/>
              <w:spacing w:before="0" w:after="0"/>
              <w:jc w:val="left"/>
              <w:rPr>
                <w:sz w:val="16"/>
                <w:szCs w:val="16"/>
              </w:rPr>
            </w:pPr>
          </w:p>
        </w:tc>
        <w:tc>
          <w:tcPr>
            <w:tcW w:w="1637" w:type="dxa"/>
            <w:tcBorders>
              <w:top w:val="nil"/>
              <w:left w:val="nil"/>
              <w:bottom w:val="single" w:sz="4" w:space="0" w:color="auto"/>
              <w:right w:val="nil"/>
            </w:tcBorders>
          </w:tcPr>
          <w:p w14:paraId="56A7A6F6" w14:textId="77777777" w:rsidR="005471AE" w:rsidRPr="0017346C" w:rsidRDefault="005471AE" w:rsidP="00E01D38">
            <w:pPr>
              <w:pStyle w:val="a0"/>
              <w:spacing w:before="0" w:after="0"/>
              <w:jc w:val="left"/>
              <w:rPr>
                <w:sz w:val="16"/>
                <w:szCs w:val="16"/>
              </w:rPr>
            </w:pPr>
            <w:r w:rsidRPr="0017346C">
              <w:rPr>
                <w:sz w:val="16"/>
                <w:szCs w:val="16"/>
              </w:rPr>
              <w:t>Precipitation</w:t>
            </w:r>
          </w:p>
        </w:tc>
        <w:tc>
          <w:tcPr>
            <w:tcW w:w="1275" w:type="dxa"/>
            <w:tcBorders>
              <w:top w:val="nil"/>
              <w:left w:val="nil"/>
              <w:bottom w:val="single" w:sz="4" w:space="0" w:color="auto"/>
              <w:right w:val="nil"/>
            </w:tcBorders>
          </w:tcPr>
          <w:p w14:paraId="78BD196F" w14:textId="77777777" w:rsidR="005471AE" w:rsidRPr="0017346C" w:rsidRDefault="005471AE" w:rsidP="00E01D38">
            <w:pPr>
              <w:pStyle w:val="a0"/>
              <w:spacing w:before="0" w:after="0"/>
              <w:jc w:val="left"/>
              <w:rPr>
                <w:i/>
                <w:iCs/>
                <w:sz w:val="16"/>
                <w:szCs w:val="16"/>
                <w:lang w:eastAsia="zh-CN"/>
              </w:rPr>
            </w:pPr>
            <w:r w:rsidRPr="0017346C">
              <w:rPr>
                <w:rFonts w:hint="eastAsia"/>
                <w:i/>
                <w:iCs/>
                <w:sz w:val="16"/>
                <w:szCs w:val="16"/>
                <w:lang w:eastAsia="zh-CN"/>
              </w:rPr>
              <w:t>m</w:t>
            </w:r>
            <w:r w:rsidRPr="0017346C">
              <w:rPr>
                <w:i/>
                <w:iCs/>
                <w:sz w:val="16"/>
                <w:szCs w:val="16"/>
                <w:lang w:eastAsia="zh-CN"/>
              </w:rPr>
              <w:t>m</w:t>
            </w:r>
          </w:p>
        </w:tc>
        <w:tc>
          <w:tcPr>
            <w:tcW w:w="2982" w:type="dxa"/>
            <w:tcBorders>
              <w:top w:val="nil"/>
              <w:left w:val="nil"/>
              <w:bottom w:val="single" w:sz="4" w:space="0" w:color="auto"/>
              <w:right w:val="nil"/>
            </w:tcBorders>
          </w:tcPr>
          <w:p w14:paraId="0985B103" w14:textId="77777777" w:rsidR="005471AE" w:rsidRPr="0017346C" w:rsidRDefault="005471AE" w:rsidP="00E01D38">
            <w:pPr>
              <w:pStyle w:val="a0"/>
              <w:spacing w:before="0" w:after="0"/>
              <w:jc w:val="left"/>
              <w:rPr>
                <w:sz w:val="16"/>
                <w:szCs w:val="16"/>
              </w:rPr>
            </w:pPr>
            <w:r w:rsidRPr="0017346C">
              <w:rPr>
                <w:sz w:val="16"/>
                <w:szCs w:val="16"/>
              </w:rPr>
              <w:t>Annual accumulated precipitation</w:t>
            </w:r>
          </w:p>
        </w:tc>
        <w:tc>
          <w:tcPr>
            <w:tcW w:w="2688" w:type="dxa"/>
            <w:tcBorders>
              <w:top w:val="nil"/>
              <w:left w:val="nil"/>
              <w:bottom w:val="single" w:sz="4" w:space="0" w:color="auto"/>
              <w:right w:val="nil"/>
            </w:tcBorders>
          </w:tcPr>
          <w:p w14:paraId="68E472F7" w14:textId="77777777" w:rsidR="005471AE" w:rsidRPr="0017346C" w:rsidRDefault="005471AE" w:rsidP="00E01D38">
            <w:pPr>
              <w:pStyle w:val="a0"/>
              <w:spacing w:before="0" w:after="0"/>
              <w:jc w:val="left"/>
              <w:rPr>
                <w:sz w:val="16"/>
                <w:szCs w:val="16"/>
              </w:rPr>
            </w:pPr>
            <w:r w:rsidRPr="0017346C">
              <w:rPr>
                <w:sz w:val="16"/>
                <w:szCs w:val="16"/>
              </w:rPr>
              <w:t>Precipitation</w:t>
            </w:r>
          </w:p>
        </w:tc>
      </w:tr>
    </w:tbl>
    <w:p w14:paraId="76810798" w14:textId="77777777" w:rsidR="005471AE" w:rsidRPr="00075A7E" w:rsidRDefault="005471AE" w:rsidP="005471AE">
      <w:pPr>
        <w:pStyle w:val="a0"/>
        <w:rPr>
          <w:sz w:val="21"/>
          <w:szCs w:val="21"/>
        </w:rPr>
      </w:pPr>
      <w:r w:rsidRPr="00075A7E">
        <w:rPr>
          <w:b/>
          <w:bCs/>
          <w:sz w:val="21"/>
          <w:szCs w:val="21"/>
        </w:rPr>
        <w:t>Figure 11.</w:t>
      </w:r>
      <w:r w:rsidRPr="00075A7E">
        <w:rPr>
          <w:sz w:val="21"/>
          <w:szCs w:val="21"/>
        </w:rPr>
        <w:t xml:space="preserve"> Choose number of pricipal components by Elbow method, 5 pricipal components already capture 89.63% explained variance.</w:t>
      </w:r>
    </w:p>
    <w:p w14:paraId="4F0D43CF" w14:textId="77777777" w:rsidR="005471AE" w:rsidRPr="00075A7E" w:rsidRDefault="005471AE" w:rsidP="005471AE">
      <w:pPr>
        <w:pStyle w:val="a0"/>
        <w:rPr>
          <w:sz w:val="21"/>
          <w:szCs w:val="21"/>
        </w:rPr>
      </w:pPr>
      <w:r w:rsidRPr="00075A7E">
        <w:rPr>
          <w:b/>
          <w:bCs/>
          <w:sz w:val="21"/>
          <w:szCs w:val="21"/>
        </w:rPr>
        <w:t>Table 3.</w:t>
      </w:r>
      <w:r w:rsidRPr="00075A7E">
        <w:rPr>
          <w:sz w:val="21"/>
          <w:szCs w:val="21"/>
        </w:rPr>
        <w:t xml:space="preserve"> Pre and post treatment root mean squared prediction error (RMSPE) for YRB’s provinces</w:t>
      </w:r>
    </w:p>
    <w:tbl>
      <w:tblPr>
        <w:tblStyle w:val="Table"/>
        <w:tblW w:w="0" w:type="auto"/>
        <w:tblBorders>
          <w:top w:val="single" w:sz="4" w:space="0" w:color="auto"/>
          <w:bottom w:val="single" w:sz="4" w:space="0" w:color="auto"/>
        </w:tblBorders>
        <w:tblLook w:val="0000" w:firstRow="0" w:lastRow="0" w:firstColumn="0" w:lastColumn="0" w:noHBand="0" w:noVBand="0"/>
      </w:tblPr>
      <w:tblGrid>
        <w:gridCol w:w="1017"/>
        <w:gridCol w:w="1110"/>
        <w:gridCol w:w="1156"/>
        <w:gridCol w:w="709"/>
        <w:gridCol w:w="1077"/>
        <w:gridCol w:w="1008"/>
        <w:gridCol w:w="1070"/>
        <w:gridCol w:w="576"/>
        <w:gridCol w:w="997"/>
      </w:tblGrid>
      <w:tr w:rsidR="005471AE" w:rsidRPr="00D20729" w14:paraId="1D59FFEB" w14:textId="77777777" w:rsidTr="00E01D38">
        <w:tc>
          <w:tcPr>
            <w:tcW w:w="1017" w:type="dxa"/>
            <w:tcBorders>
              <w:top w:val="single" w:sz="4" w:space="0" w:color="auto"/>
              <w:bottom w:val="nil"/>
            </w:tcBorders>
          </w:tcPr>
          <w:p w14:paraId="4AEF4420" w14:textId="77777777" w:rsidR="005471AE" w:rsidRPr="00896D44" w:rsidRDefault="005471AE" w:rsidP="00E01D38">
            <w:pPr>
              <w:pStyle w:val="Compact"/>
              <w:rPr>
                <w:sz w:val="16"/>
                <w:szCs w:val="16"/>
              </w:rPr>
            </w:pPr>
          </w:p>
        </w:tc>
        <w:tc>
          <w:tcPr>
            <w:tcW w:w="4052" w:type="dxa"/>
            <w:gridSpan w:val="4"/>
            <w:tcBorders>
              <w:top w:val="single" w:sz="4" w:space="0" w:color="auto"/>
              <w:bottom w:val="nil"/>
            </w:tcBorders>
          </w:tcPr>
          <w:p w14:paraId="581556FE" w14:textId="77777777" w:rsidR="005471AE" w:rsidRPr="00896D44" w:rsidRDefault="005471AE" w:rsidP="00E01D38">
            <w:pPr>
              <w:pStyle w:val="Compact"/>
              <w:jc w:val="center"/>
              <w:rPr>
                <w:sz w:val="16"/>
                <w:szCs w:val="16"/>
              </w:rPr>
            </w:pPr>
            <w:r w:rsidRPr="00896D44">
              <w:rPr>
                <w:sz w:val="16"/>
                <w:szCs w:val="16"/>
              </w:rPr>
              <w:t>1987-WAS</w:t>
            </w:r>
          </w:p>
        </w:tc>
        <w:tc>
          <w:tcPr>
            <w:tcW w:w="0" w:type="auto"/>
            <w:gridSpan w:val="4"/>
            <w:tcBorders>
              <w:top w:val="single" w:sz="4" w:space="0" w:color="auto"/>
              <w:bottom w:val="nil"/>
            </w:tcBorders>
          </w:tcPr>
          <w:p w14:paraId="45B7202C" w14:textId="77777777" w:rsidR="005471AE" w:rsidRPr="00896D44" w:rsidRDefault="005471AE" w:rsidP="00E01D38">
            <w:pPr>
              <w:pStyle w:val="Compact"/>
              <w:jc w:val="center"/>
              <w:rPr>
                <w:sz w:val="16"/>
                <w:szCs w:val="16"/>
              </w:rPr>
            </w:pPr>
            <w:r w:rsidRPr="00896D44">
              <w:rPr>
                <w:sz w:val="16"/>
                <w:szCs w:val="16"/>
              </w:rPr>
              <w:t>1998-UBR</w:t>
            </w:r>
          </w:p>
        </w:tc>
      </w:tr>
      <w:tr w:rsidR="005471AE" w:rsidRPr="00D20729" w14:paraId="36D7CAEA" w14:textId="77777777" w:rsidTr="00E01D38">
        <w:tc>
          <w:tcPr>
            <w:tcW w:w="1017" w:type="dxa"/>
            <w:tcBorders>
              <w:top w:val="nil"/>
              <w:left w:val="nil"/>
              <w:bottom w:val="single" w:sz="4" w:space="0" w:color="auto"/>
              <w:right w:val="nil"/>
            </w:tcBorders>
          </w:tcPr>
          <w:p w14:paraId="20BB9C3C" w14:textId="77777777" w:rsidR="005471AE" w:rsidRPr="00896D44" w:rsidRDefault="005471AE" w:rsidP="00E01D38">
            <w:pPr>
              <w:pStyle w:val="Compact"/>
              <w:jc w:val="left"/>
              <w:rPr>
                <w:sz w:val="16"/>
                <w:szCs w:val="16"/>
              </w:rPr>
            </w:pPr>
            <w:r w:rsidRPr="00896D44">
              <w:rPr>
                <w:sz w:val="16"/>
                <w:szCs w:val="16"/>
              </w:rPr>
              <w:t>Provinces</w:t>
            </w:r>
          </w:p>
        </w:tc>
        <w:tc>
          <w:tcPr>
            <w:tcW w:w="1028" w:type="dxa"/>
            <w:tcBorders>
              <w:top w:val="nil"/>
              <w:left w:val="nil"/>
              <w:bottom w:val="single" w:sz="4" w:space="0" w:color="auto"/>
              <w:right w:val="nil"/>
            </w:tcBorders>
          </w:tcPr>
          <w:p w14:paraId="586576AC" w14:textId="77777777" w:rsidR="005471AE" w:rsidRPr="00896D44" w:rsidRDefault="005471AE" w:rsidP="00E01D38">
            <w:pPr>
              <w:pStyle w:val="Compact"/>
              <w:jc w:val="left"/>
              <w:rPr>
                <w:sz w:val="16"/>
                <w:szCs w:val="16"/>
              </w:rPr>
            </w:pPr>
            <w:r w:rsidRPr="00896D44">
              <w:rPr>
                <w:sz w:val="16"/>
                <w:szCs w:val="16"/>
              </w:rPr>
              <w:t>Pre-RMSPE</w:t>
            </w:r>
          </w:p>
        </w:tc>
        <w:tc>
          <w:tcPr>
            <w:tcW w:w="0" w:type="auto"/>
            <w:tcBorders>
              <w:top w:val="nil"/>
              <w:left w:val="nil"/>
              <w:bottom w:val="single" w:sz="4" w:space="0" w:color="auto"/>
              <w:right w:val="nil"/>
            </w:tcBorders>
          </w:tcPr>
          <w:p w14:paraId="47868C43" w14:textId="77777777" w:rsidR="005471AE" w:rsidRPr="00896D44" w:rsidRDefault="005471AE" w:rsidP="00E01D38">
            <w:pPr>
              <w:pStyle w:val="Compact"/>
              <w:jc w:val="left"/>
              <w:rPr>
                <w:sz w:val="16"/>
                <w:szCs w:val="16"/>
              </w:rPr>
            </w:pPr>
            <w:r w:rsidRPr="00896D44">
              <w:rPr>
                <w:sz w:val="16"/>
                <w:szCs w:val="16"/>
              </w:rPr>
              <w:t>Post-RMSPE</w:t>
            </w:r>
          </w:p>
        </w:tc>
        <w:tc>
          <w:tcPr>
            <w:tcW w:w="0" w:type="auto"/>
            <w:tcBorders>
              <w:top w:val="nil"/>
              <w:left w:val="nil"/>
              <w:bottom w:val="single" w:sz="4" w:space="0" w:color="auto"/>
              <w:right w:val="nil"/>
            </w:tcBorders>
          </w:tcPr>
          <w:p w14:paraId="0FBFAFC6" w14:textId="77777777" w:rsidR="005471AE" w:rsidRPr="00896D44" w:rsidRDefault="005471AE" w:rsidP="00E01D38">
            <w:pPr>
              <w:pStyle w:val="Compact"/>
              <w:jc w:val="right"/>
              <w:rPr>
                <w:sz w:val="16"/>
                <w:szCs w:val="16"/>
              </w:rPr>
            </w:pPr>
            <w:r w:rsidRPr="00896D44">
              <w:rPr>
                <w:sz w:val="16"/>
                <w:szCs w:val="16"/>
              </w:rPr>
              <w:t>Ratio</w:t>
            </w:r>
          </w:p>
        </w:tc>
        <w:tc>
          <w:tcPr>
            <w:tcW w:w="0" w:type="auto"/>
            <w:tcBorders>
              <w:top w:val="nil"/>
              <w:left w:val="nil"/>
              <w:bottom w:val="single" w:sz="4" w:space="0" w:color="auto"/>
              <w:right w:val="nil"/>
            </w:tcBorders>
          </w:tcPr>
          <w:p w14:paraId="47C6F2B4" w14:textId="77777777" w:rsidR="005471AE" w:rsidRPr="00896D44" w:rsidRDefault="005471AE" w:rsidP="00E01D38">
            <w:pPr>
              <w:pStyle w:val="Compact"/>
              <w:jc w:val="right"/>
              <w:rPr>
                <w:sz w:val="16"/>
                <w:szCs w:val="16"/>
              </w:rPr>
            </w:pPr>
            <w:r w:rsidRPr="00896D44">
              <w:rPr>
                <w:sz w:val="16"/>
                <w:szCs w:val="16"/>
              </w:rPr>
              <w:t>Significant</w:t>
            </w:r>
            <m:oMath>
              <m:sSup>
                <m:sSupPr>
                  <m:ctrlPr>
                    <w:rPr>
                      <w:rFonts w:ascii="Cambria Math" w:hAnsi="Cambria Math"/>
                      <w:sz w:val="16"/>
                      <w:szCs w:val="16"/>
                    </w:rPr>
                  </m:ctrlPr>
                </m:sSupPr>
                <m:e>
                  <m:r>
                    <w:rPr>
                      <w:rFonts w:ascii="Cambria Math" w:hAnsi="Cambria Math"/>
                      <w:sz w:val="16"/>
                      <w:szCs w:val="16"/>
                    </w:rPr>
                    <m:t>​</m:t>
                  </m:r>
                </m:e>
                <m:sup>
                  <m:r>
                    <w:rPr>
                      <w:rFonts w:ascii="Cambria Math" w:hAnsi="Cambria Math"/>
                      <w:sz w:val="16"/>
                      <w:szCs w:val="16"/>
                    </w:rPr>
                    <m:t>a</m:t>
                  </m:r>
                </m:sup>
              </m:sSup>
            </m:oMath>
          </w:p>
        </w:tc>
        <w:tc>
          <w:tcPr>
            <w:tcW w:w="0" w:type="auto"/>
            <w:tcBorders>
              <w:top w:val="nil"/>
              <w:left w:val="nil"/>
              <w:bottom w:val="single" w:sz="4" w:space="0" w:color="auto"/>
              <w:right w:val="nil"/>
            </w:tcBorders>
          </w:tcPr>
          <w:p w14:paraId="3659D0F0" w14:textId="77777777" w:rsidR="005471AE" w:rsidRPr="00896D44" w:rsidRDefault="005471AE" w:rsidP="00E01D38">
            <w:pPr>
              <w:pStyle w:val="Compact"/>
              <w:jc w:val="left"/>
              <w:rPr>
                <w:sz w:val="16"/>
                <w:szCs w:val="16"/>
              </w:rPr>
            </w:pPr>
            <w:r w:rsidRPr="00896D44">
              <w:rPr>
                <w:sz w:val="16"/>
                <w:szCs w:val="16"/>
              </w:rPr>
              <w:t>Pre-RMSPE</w:t>
            </w:r>
          </w:p>
        </w:tc>
        <w:tc>
          <w:tcPr>
            <w:tcW w:w="0" w:type="auto"/>
            <w:tcBorders>
              <w:top w:val="nil"/>
              <w:left w:val="nil"/>
              <w:bottom w:val="single" w:sz="4" w:space="0" w:color="auto"/>
              <w:right w:val="nil"/>
            </w:tcBorders>
          </w:tcPr>
          <w:p w14:paraId="2EB15018" w14:textId="77777777" w:rsidR="005471AE" w:rsidRPr="00896D44" w:rsidRDefault="005471AE" w:rsidP="00E01D38">
            <w:pPr>
              <w:pStyle w:val="Compact"/>
              <w:jc w:val="left"/>
              <w:rPr>
                <w:sz w:val="16"/>
                <w:szCs w:val="16"/>
              </w:rPr>
            </w:pPr>
            <w:r w:rsidRPr="00896D44">
              <w:rPr>
                <w:sz w:val="16"/>
                <w:szCs w:val="16"/>
              </w:rPr>
              <w:t>Post-RMSPE</w:t>
            </w:r>
          </w:p>
        </w:tc>
        <w:tc>
          <w:tcPr>
            <w:tcW w:w="0" w:type="auto"/>
            <w:tcBorders>
              <w:top w:val="nil"/>
              <w:left w:val="nil"/>
              <w:bottom w:val="single" w:sz="4" w:space="0" w:color="auto"/>
              <w:right w:val="nil"/>
            </w:tcBorders>
          </w:tcPr>
          <w:p w14:paraId="635A7871" w14:textId="77777777" w:rsidR="005471AE" w:rsidRPr="00896D44" w:rsidRDefault="005471AE" w:rsidP="00E01D38">
            <w:pPr>
              <w:pStyle w:val="Compact"/>
              <w:jc w:val="right"/>
              <w:rPr>
                <w:sz w:val="16"/>
                <w:szCs w:val="16"/>
              </w:rPr>
            </w:pPr>
            <w:r w:rsidRPr="00896D44">
              <w:rPr>
                <w:sz w:val="16"/>
                <w:szCs w:val="16"/>
              </w:rPr>
              <w:t>Ratio</w:t>
            </w:r>
          </w:p>
        </w:tc>
        <w:tc>
          <w:tcPr>
            <w:tcW w:w="0" w:type="auto"/>
            <w:tcBorders>
              <w:top w:val="nil"/>
              <w:left w:val="nil"/>
              <w:bottom w:val="single" w:sz="4" w:space="0" w:color="auto"/>
              <w:right w:val="nil"/>
            </w:tcBorders>
          </w:tcPr>
          <w:p w14:paraId="20CB6B15" w14:textId="77777777" w:rsidR="005471AE" w:rsidRPr="00896D44" w:rsidRDefault="005471AE" w:rsidP="00E01D38">
            <w:pPr>
              <w:pStyle w:val="Compact"/>
              <w:jc w:val="right"/>
              <w:rPr>
                <w:sz w:val="16"/>
                <w:szCs w:val="16"/>
              </w:rPr>
            </w:pPr>
            <w:r w:rsidRPr="00896D44">
              <w:rPr>
                <w:sz w:val="16"/>
                <w:szCs w:val="16"/>
              </w:rPr>
              <w:t>Significant</w:t>
            </w:r>
            <m:oMath>
              <m:sSup>
                <m:sSupPr>
                  <m:ctrlPr>
                    <w:rPr>
                      <w:rFonts w:ascii="Cambria Math" w:hAnsi="Cambria Math"/>
                      <w:sz w:val="16"/>
                      <w:szCs w:val="16"/>
                    </w:rPr>
                  </m:ctrlPr>
                </m:sSupPr>
                <m:e>
                  <m:r>
                    <w:rPr>
                      <w:rFonts w:ascii="Cambria Math" w:hAnsi="Cambria Math"/>
                      <w:sz w:val="16"/>
                      <w:szCs w:val="16"/>
                    </w:rPr>
                    <m:t>​</m:t>
                  </m:r>
                </m:e>
                <m:sup>
                  <m:r>
                    <w:rPr>
                      <w:rFonts w:ascii="Cambria Math" w:hAnsi="Cambria Math"/>
                      <w:sz w:val="16"/>
                      <w:szCs w:val="16"/>
                    </w:rPr>
                    <m:t>a</m:t>
                  </m:r>
                </m:sup>
              </m:sSup>
            </m:oMath>
          </w:p>
        </w:tc>
      </w:tr>
      <w:tr w:rsidR="005471AE" w:rsidRPr="00D20729" w14:paraId="2B3FB374" w14:textId="77777777" w:rsidTr="00E01D38">
        <w:tc>
          <w:tcPr>
            <w:tcW w:w="1017" w:type="dxa"/>
            <w:tcBorders>
              <w:top w:val="single" w:sz="4" w:space="0" w:color="auto"/>
            </w:tcBorders>
          </w:tcPr>
          <w:p w14:paraId="0F903506" w14:textId="77777777" w:rsidR="005471AE" w:rsidRPr="00896D44" w:rsidRDefault="005471AE" w:rsidP="00E01D38">
            <w:pPr>
              <w:pStyle w:val="Compact"/>
              <w:jc w:val="left"/>
              <w:rPr>
                <w:sz w:val="16"/>
                <w:szCs w:val="16"/>
              </w:rPr>
            </w:pPr>
            <w:r w:rsidRPr="00896D44">
              <w:rPr>
                <w:sz w:val="16"/>
                <w:szCs w:val="16"/>
              </w:rPr>
              <w:t>Qinghai</w:t>
            </w:r>
          </w:p>
        </w:tc>
        <w:tc>
          <w:tcPr>
            <w:tcW w:w="1028" w:type="dxa"/>
            <w:tcBorders>
              <w:top w:val="single" w:sz="4" w:space="0" w:color="auto"/>
            </w:tcBorders>
          </w:tcPr>
          <w:p w14:paraId="2A4EDBA2" w14:textId="77777777" w:rsidR="005471AE" w:rsidRPr="00896D44" w:rsidRDefault="005471AE" w:rsidP="00E01D38">
            <w:pPr>
              <w:pStyle w:val="Compact"/>
              <w:jc w:val="center"/>
              <w:rPr>
                <w:sz w:val="16"/>
                <w:szCs w:val="16"/>
              </w:rPr>
            </w:pPr>
            <w:r w:rsidRPr="00896D44">
              <w:rPr>
                <w:sz w:val="16"/>
                <w:szCs w:val="16"/>
              </w:rPr>
              <w:t>0.016</w:t>
            </w:r>
          </w:p>
        </w:tc>
        <w:tc>
          <w:tcPr>
            <w:tcW w:w="0" w:type="auto"/>
            <w:tcBorders>
              <w:top w:val="single" w:sz="4" w:space="0" w:color="auto"/>
            </w:tcBorders>
          </w:tcPr>
          <w:p w14:paraId="2E4C8F06" w14:textId="77777777" w:rsidR="005471AE" w:rsidRPr="00896D44" w:rsidRDefault="005471AE" w:rsidP="00E01D38">
            <w:pPr>
              <w:pStyle w:val="Compact"/>
              <w:jc w:val="center"/>
              <w:rPr>
                <w:sz w:val="16"/>
                <w:szCs w:val="16"/>
              </w:rPr>
            </w:pPr>
            <w:r w:rsidRPr="00896D44">
              <w:rPr>
                <w:sz w:val="16"/>
                <w:szCs w:val="16"/>
              </w:rPr>
              <w:t>0.231</w:t>
            </w:r>
          </w:p>
        </w:tc>
        <w:tc>
          <w:tcPr>
            <w:tcW w:w="0" w:type="auto"/>
            <w:tcBorders>
              <w:top w:val="single" w:sz="4" w:space="0" w:color="auto"/>
            </w:tcBorders>
          </w:tcPr>
          <w:p w14:paraId="4A17A35C" w14:textId="77777777" w:rsidR="005471AE" w:rsidRPr="00896D44" w:rsidRDefault="005471AE" w:rsidP="00E01D38">
            <w:pPr>
              <w:pStyle w:val="Compact"/>
              <w:jc w:val="center"/>
              <w:rPr>
                <w:sz w:val="16"/>
                <w:szCs w:val="16"/>
              </w:rPr>
            </w:pPr>
            <w:r w:rsidRPr="00896D44">
              <w:rPr>
                <w:sz w:val="16"/>
                <w:szCs w:val="16"/>
              </w:rPr>
              <w:t>14.606</w:t>
            </w:r>
          </w:p>
        </w:tc>
        <w:tc>
          <w:tcPr>
            <w:tcW w:w="0" w:type="auto"/>
            <w:tcBorders>
              <w:top w:val="single" w:sz="4" w:space="0" w:color="auto"/>
            </w:tcBorders>
          </w:tcPr>
          <w:p w14:paraId="07E2D385" w14:textId="77777777" w:rsidR="005471AE" w:rsidRPr="00896D44" w:rsidRDefault="005471AE" w:rsidP="00E01D38">
            <w:pPr>
              <w:pStyle w:val="Compact"/>
              <w:jc w:val="center"/>
              <w:rPr>
                <w:sz w:val="16"/>
                <w:szCs w:val="16"/>
              </w:rPr>
            </w:pPr>
            <w:r w:rsidRPr="00896D44">
              <w:rPr>
                <w:sz w:val="16"/>
                <w:szCs w:val="16"/>
              </w:rPr>
              <w:t>True</w:t>
            </w:r>
          </w:p>
        </w:tc>
        <w:tc>
          <w:tcPr>
            <w:tcW w:w="0" w:type="auto"/>
            <w:tcBorders>
              <w:top w:val="single" w:sz="4" w:space="0" w:color="auto"/>
            </w:tcBorders>
          </w:tcPr>
          <w:p w14:paraId="23D959A7" w14:textId="77777777" w:rsidR="005471AE" w:rsidRPr="00896D44" w:rsidRDefault="005471AE" w:rsidP="00E01D38">
            <w:pPr>
              <w:pStyle w:val="Compact"/>
              <w:jc w:val="center"/>
              <w:rPr>
                <w:sz w:val="16"/>
                <w:szCs w:val="16"/>
              </w:rPr>
            </w:pPr>
            <w:r w:rsidRPr="00896D44">
              <w:rPr>
                <w:sz w:val="16"/>
                <w:szCs w:val="16"/>
              </w:rPr>
              <w:t>0.230</w:t>
            </w:r>
          </w:p>
        </w:tc>
        <w:tc>
          <w:tcPr>
            <w:tcW w:w="0" w:type="auto"/>
            <w:tcBorders>
              <w:top w:val="single" w:sz="4" w:space="0" w:color="auto"/>
            </w:tcBorders>
          </w:tcPr>
          <w:p w14:paraId="64512851" w14:textId="77777777" w:rsidR="005471AE" w:rsidRPr="00896D44" w:rsidRDefault="005471AE" w:rsidP="00E01D38">
            <w:pPr>
              <w:pStyle w:val="Compact"/>
              <w:jc w:val="center"/>
              <w:rPr>
                <w:sz w:val="16"/>
                <w:szCs w:val="16"/>
              </w:rPr>
            </w:pPr>
            <w:r w:rsidRPr="00896D44">
              <w:rPr>
                <w:sz w:val="16"/>
                <w:szCs w:val="16"/>
              </w:rPr>
              <w:t>1.170</w:t>
            </w:r>
          </w:p>
        </w:tc>
        <w:tc>
          <w:tcPr>
            <w:tcW w:w="0" w:type="auto"/>
            <w:tcBorders>
              <w:top w:val="single" w:sz="4" w:space="0" w:color="auto"/>
            </w:tcBorders>
          </w:tcPr>
          <w:p w14:paraId="1884A4AA" w14:textId="77777777" w:rsidR="005471AE" w:rsidRPr="00896D44" w:rsidRDefault="005471AE" w:rsidP="00E01D38">
            <w:pPr>
              <w:pStyle w:val="Compact"/>
              <w:jc w:val="center"/>
              <w:rPr>
                <w:sz w:val="16"/>
                <w:szCs w:val="16"/>
              </w:rPr>
            </w:pPr>
            <w:r w:rsidRPr="00896D44">
              <w:rPr>
                <w:sz w:val="16"/>
                <w:szCs w:val="16"/>
              </w:rPr>
              <w:t>5.096</w:t>
            </w:r>
          </w:p>
        </w:tc>
        <w:tc>
          <w:tcPr>
            <w:tcW w:w="0" w:type="auto"/>
            <w:tcBorders>
              <w:top w:val="single" w:sz="4" w:space="0" w:color="auto"/>
            </w:tcBorders>
          </w:tcPr>
          <w:p w14:paraId="33ADBD30" w14:textId="77777777" w:rsidR="005471AE" w:rsidRPr="00896D44" w:rsidRDefault="005471AE" w:rsidP="00E01D38">
            <w:pPr>
              <w:pStyle w:val="Compact"/>
              <w:jc w:val="center"/>
              <w:rPr>
                <w:sz w:val="16"/>
                <w:szCs w:val="16"/>
              </w:rPr>
            </w:pPr>
            <w:r w:rsidRPr="00896D44">
              <w:rPr>
                <w:sz w:val="16"/>
                <w:szCs w:val="16"/>
              </w:rPr>
              <w:t>True</w:t>
            </w:r>
          </w:p>
        </w:tc>
      </w:tr>
      <w:tr w:rsidR="005471AE" w:rsidRPr="00D20729" w14:paraId="28EB8E0C" w14:textId="77777777" w:rsidTr="00E01D38">
        <w:tc>
          <w:tcPr>
            <w:tcW w:w="1017" w:type="dxa"/>
          </w:tcPr>
          <w:p w14:paraId="45D43AE3" w14:textId="77777777" w:rsidR="005471AE" w:rsidRPr="00896D44" w:rsidRDefault="005471AE" w:rsidP="00E01D38">
            <w:pPr>
              <w:pStyle w:val="Compact"/>
              <w:jc w:val="left"/>
              <w:rPr>
                <w:sz w:val="16"/>
                <w:szCs w:val="16"/>
              </w:rPr>
            </w:pPr>
            <w:r w:rsidRPr="00896D44">
              <w:rPr>
                <w:sz w:val="16"/>
                <w:szCs w:val="16"/>
              </w:rPr>
              <w:t>Gansu</w:t>
            </w:r>
          </w:p>
        </w:tc>
        <w:tc>
          <w:tcPr>
            <w:tcW w:w="1028" w:type="dxa"/>
          </w:tcPr>
          <w:p w14:paraId="79E3F6D2" w14:textId="77777777" w:rsidR="005471AE" w:rsidRPr="00896D44" w:rsidRDefault="005471AE" w:rsidP="00E01D38">
            <w:pPr>
              <w:pStyle w:val="Compact"/>
              <w:jc w:val="center"/>
              <w:rPr>
                <w:sz w:val="16"/>
                <w:szCs w:val="16"/>
              </w:rPr>
            </w:pPr>
            <w:r w:rsidRPr="00896D44">
              <w:rPr>
                <w:sz w:val="16"/>
                <w:szCs w:val="16"/>
              </w:rPr>
              <w:t>0.056</w:t>
            </w:r>
          </w:p>
        </w:tc>
        <w:tc>
          <w:tcPr>
            <w:tcW w:w="0" w:type="auto"/>
          </w:tcPr>
          <w:p w14:paraId="3980C6C2" w14:textId="77777777" w:rsidR="005471AE" w:rsidRPr="00896D44" w:rsidRDefault="005471AE" w:rsidP="00E01D38">
            <w:pPr>
              <w:pStyle w:val="Compact"/>
              <w:jc w:val="center"/>
              <w:rPr>
                <w:sz w:val="16"/>
                <w:szCs w:val="16"/>
              </w:rPr>
            </w:pPr>
            <w:r w:rsidRPr="00896D44">
              <w:rPr>
                <w:sz w:val="16"/>
                <w:szCs w:val="16"/>
              </w:rPr>
              <w:t>1.307</w:t>
            </w:r>
          </w:p>
        </w:tc>
        <w:tc>
          <w:tcPr>
            <w:tcW w:w="0" w:type="auto"/>
          </w:tcPr>
          <w:p w14:paraId="1C55CCAE" w14:textId="77777777" w:rsidR="005471AE" w:rsidRPr="00896D44" w:rsidRDefault="005471AE" w:rsidP="00E01D38">
            <w:pPr>
              <w:pStyle w:val="Compact"/>
              <w:jc w:val="center"/>
              <w:rPr>
                <w:sz w:val="16"/>
                <w:szCs w:val="16"/>
              </w:rPr>
            </w:pPr>
            <w:r w:rsidRPr="00896D44">
              <w:rPr>
                <w:sz w:val="16"/>
                <w:szCs w:val="16"/>
              </w:rPr>
              <w:t>23.265</w:t>
            </w:r>
          </w:p>
        </w:tc>
        <w:tc>
          <w:tcPr>
            <w:tcW w:w="0" w:type="auto"/>
          </w:tcPr>
          <w:p w14:paraId="2299FEA3" w14:textId="77777777" w:rsidR="005471AE" w:rsidRPr="00896D44" w:rsidRDefault="005471AE" w:rsidP="00E01D38">
            <w:pPr>
              <w:pStyle w:val="Compact"/>
              <w:jc w:val="center"/>
              <w:rPr>
                <w:sz w:val="16"/>
                <w:szCs w:val="16"/>
              </w:rPr>
            </w:pPr>
            <w:r w:rsidRPr="00896D44">
              <w:rPr>
                <w:sz w:val="16"/>
                <w:szCs w:val="16"/>
              </w:rPr>
              <w:t>True</w:t>
            </w:r>
          </w:p>
        </w:tc>
        <w:tc>
          <w:tcPr>
            <w:tcW w:w="0" w:type="auto"/>
          </w:tcPr>
          <w:p w14:paraId="08CA7B60" w14:textId="77777777" w:rsidR="005471AE" w:rsidRPr="00896D44" w:rsidRDefault="005471AE" w:rsidP="00E01D38">
            <w:pPr>
              <w:pStyle w:val="Compact"/>
              <w:jc w:val="center"/>
              <w:rPr>
                <w:sz w:val="16"/>
                <w:szCs w:val="16"/>
              </w:rPr>
            </w:pPr>
            <w:r w:rsidRPr="00896D44">
              <w:rPr>
                <w:sz w:val="16"/>
                <w:szCs w:val="16"/>
              </w:rPr>
              <w:t>0.244</w:t>
            </w:r>
          </w:p>
        </w:tc>
        <w:tc>
          <w:tcPr>
            <w:tcW w:w="0" w:type="auto"/>
          </w:tcPr>
          <w:p w14:paraId="5AEBC247" w14:textId="77777777" w:rsidR="005471AE" w:rsidRPr="00896D44" w:rsidRDefault="005471AE" w:rsidP="00E01D38">
            <w:pPr>
              <w:pStyle w:val="Compact"/>
              <w:jc w:val="center"/>
              <w:rPr>
                <w:sz w:val="16"/>
                <w:szCs w:val="16"/>
              </w:rPr>
            </w:pPr>
            <w:r w:rsidRPr="00896D44">
              <w:rPr>
                <w:sz w:val="16"/>
                <w:szCs w:val="16"/>
              </w:rPr>
              <w:t>0.841</w:t>
            </w:r>
          </w:p>
        </w:tc>
        <w:tc>
          <w:tcPr>
            <w:tcW w:w="0" w:type="auto"/>
          </w:tcPr>
          <w:p w14:paraId="218904AC" w14:textId="77777777" w:rsidR="005471AE" w:rsidRPr="00896D44" w:rsidRDefault="005471AE" w:rsidP="00E01D38">
            <w:pPr>
              <w:pStyle w:val="Compact"/>
              <w:jc w:val="center"/>
              <w:rPr>
                <w:sz w:val="16"/>
                <w:szCs w:val="16"/>
              </w:rPr>
            </w:pPr>
            <w:r w:rsidRPr="00896D44">
              <w:rPr>
                <w:sz w:val="16"/>
                <w:szCs w:val="16"/>
              </w:rPr>
              <w:t>3.448</w:t>
            </w:r>
          </w:p>
        </w:tc>
        <w:tc>
          <w:tcPr>
            <w:tcW w:w="0" w:type="auto"/>
          </w:tcPr>
          <w:p w14:paraId="2084FD06" w14:textId="77777777" w:rsidR="005471AE" w:rsidRPr="00896D44" w:rsidRDefault="005471AE" w:rsidP="00E01D38">
            <w:pPr>
              <w:pStyle w:val="Compact"/>
              <w:jc w:val="center"/>
              <w:rPr>
                <w:sz w:val="16"/>
                <w:szCs w:val="16"/>
              </w:rPr>
            </w:pPr>
            <w:r w:rsidRPr="00896D44">
              <w:rPr>
                <w:sz w:val="16"/>
                <w:szCs w:val="16"/>
              </w:rPr>
              <w:t>True</w:t>
            </w:r>
          </w:p>
        </w:tc>
      </w:tr>
      <w:tr w:rsidR="005471AE" w:rsidRPr="00D20729" w14:paraId="6F8DDF99" w14:textId="77777777" w:rsidTr="00E01D38">
        <w:tc>
          <w:tcPr>
            <w:tcW w:w="1017" w:type="dxa"/>
          </w:tcPr>
          <w:p w14:paraId="6FB5250B" w14:textId="77777777" w:rsidR="005471AE" w:rsidRPr="00896D44" w:rsidRDefault="005471AE" w:rsidP="00E01D38">
            <w:pPr>
              <w:pStyle w:val="Compact"/>
              <w:jc w:val="left"/>
              <w:rPr>
                <w:sz w:val="16"/>
                <w:szCs w:val="16"/>
              </w:rPr>
            </w:pPr>
            <w:r w:rsidRPr="00896D44">
              <w:rPr>
                <w:sz w:val="16"/>
                <w:szCs w:val="16"/>
              </w:rPr>
              <w:t>Ningxia</w:t>
            </w:r>
          </w:p>
        </w:tc>
        <w:tc>
          <w:tcPr>
            <w:tcW w:w="1028" w:type="dxa"/>
          </w:tcPr>
          <w:p w14:paraId="135B0A2A" w14:textId="77777777" w:rsidR="005471AE" w:rsidRPr="00896D44" w:rsidRDefault="005471AE" w:rsidP="00E01D38">
            <w:pPr>
              <w:pStyle w:val="Compact"/>
              <w:jc w:val="center"/>
              <w:rPr>
                <w:sz w:val="16"/>
                <w:szCs w:val="16"/>
              </w:rPr>
            </w:pPr>
            <w:r w:rsidRPr="00896D44">
              <w:rPr>
                <w:sz w:val="16"/>
                <w:szCs w:val="16"/>
              </w:rPr>
              <w:t>0.097</w:t>
            </w:r>
          </w:p>
        </w:tc>
        <w:tc>
          <w:tcPr>
            <w:tcW w:w="0" w:type="auto"/>
          </w:tcPr>
          <w:p w14:paraId="26A1A7C7" w14:textId="77777777" w:rsidR="005471AE" w:rsidRPr="00896D44" w:rsidRDefault="005471AE" w:rsidP="00E01D38">
            <w:pPr>
              <w:pStyle w:val="Compact"/>
              <w:jc w:val="center"/>
              <w:rPr>
                <w:sz w:val="16"/>
                <w:szCs w:val="16"/>
              </w:rPr>
            </w:pPr>
            <w:r w:rsidRPr="00896D44">
              <w:rPr>
                <w:sz w:val="16"/>
                <w:szCs w:val="16"/>
              </w:rPr>
              <w:t>0.944</w:t>
            </w:r>
          </w:p>
        </w:tc>
        <w:tc>
          <w:tcPr>
            <w:tcW w:w="0" w:type="auto"/>
          </w:tcPr>
          <w:p w14:paraId="22AE51D0" w14:textId="77777777" w:rsidR="005471AE" w:rsidRPr="00896D44" w:rsidRDefault="005471AE" w:rsidP="00E01D38">
            <w:pPr>
              <w:pStyle w:val="Compact"/>
              <w:jc w:val="center"/>
              <w:rPr>
                <w:sz w:val="16"/>
                <w:szCs w:val="16"/>
              </w:rPr>
            </w:pPr>
            <w:r w:rsidRPr="00896D44">
              <w:rPr>
                <w:sz w:val="16"/>
                <w:szCs w:val="16"/>
              </w:rPr>
              <w:t>9.697</w:t>
            </w:r>
          </w:p>
        </w:tc>
        <w:tc>
          <w:tcPr>
            <w:tcW w:w="0" w:type="auto"/>
          </w:tcPr>
          <w:p w14:paraId="14856E35" w14:textId="77777777" w:rsidR="005471AE" w:rsidRPr="00896D44" w:rsidRDefault="005471AE" w:rsidP="00E01D38">
            <w:pPr>
              <w:pStyle w:val="Compact"/>
              <w:jc w:val="center"/>
              <w:rPr>
                <w:sz w:val="16"/>
                <w:szCs w:val="16"/>
              </w:rPr>
            </w:pPr>
            <w:r w:rsidRPr="00896D44">
              <w:rPr>
                <w:sz w:val="16"/>
                <w:szCs w:val="16"/>
              </w:rPr>
              <w:t>True</w:t>
            </w:r>
          </w:p>
        </w:tc>
        <w:tc>
          <w:tcPr>
            <w:tcW w:w="0" w:type="auto"/>
          </w:tcPr>
          <w:p w14:paraId="5DE1B255" w14:textId="77777777" w:rsidR="005471AE" w:rsidRPr="00896D44" w:rsidRDefault="005471AE" w:rsidP="00E01D38">
            <w:pPr>
              <w:pStyle w:val="Compact"/>
              <w:jc w:val="center"/>
              <w:rPr>
                <w:sz w:val="16"/>
                <w:szCs w:val="16"/>
              </w:rPr>
            </w:pPr>
            <w:r w:rsidRPr="00896D44">
              <w:rPr>
                <w:sz w:val="16"/>
                <w:szCs w:val="16"/>
              </w:rPr>
              <w:t>0.332</w:t>
            </w:r>
          </w:p>
        </w:tc>
        <w:tc>
          <w:tcPr>
            <w:tcW w:w="0" w:type="auto"/>
          </w:tcPr>
          <w:p w14:paraId="368340DE" w14:textId="77777777" w:rsidR="005471AE" w:rsidRPr="00896D44" w:rsidRDefault="005471AE" w:rsidP="00E01D38">
            <w:pPr>
              <w:pStyle w:val="Compact"/>
              <w:jc w:val="center"/>
              <w:rPr>
                <w:sz w:val="16"/>
                <w:szCs w:val="16"/>
              </w:rPr>
            </w:pPr>
            <w:r w:rsidRPr="00896D44">
              <w:rPr>
                <w:sz w:val="16"/>
                <w:szCs w:val="16"/>
              </w:rPr>
              <w:t>1.091</w:t>
            </w:r>
          </w:p>
        </w:tc>
        <w:tc>
          <w:tcPr>
            <w:tcW w:w="0" w:type="auto"/>
          </w:tcPr>
          <w:p w14:paraId="645C6441" w14:textId="77777777" w:rsidR="005471AE" w:rsidRPr="00896D44" w:rsidRDefault="005471AE" w:rsidP="00E01D38">
            <w:pPr>
              <w:pStyle w:val="Compact"/>
              <w:jc w:val="center"/>
              <w:rPr>
                <w:sz w:val="16"/>
                <w:szCs w:val="16"/>
              </w:rPr>
            </w:pPr>
            <w:r w:rsidRPr="00896D44">
              <w:rPr>
                <w:sz w:val="16"/>
                <w:szCs w:val="16"/>
              </w:rPr>
              <w:t>3.284</w:t>
            </w:r>
          </w:p>
        </w:tc>
        <w:tc>
          <w:tcPr>
            <w:tcW w:w="0" w:type="auto"/>
          </w:tcPr>
          <w:p w14:paraId="477F0920" w14:textId="77777777" w:rsidR="005471AE" w:rsidRPr="00896D44" w:rsidRDefault="005471AE" w:rsidP="00E01D38">
            <w:pPr>
              <w:pStyle w:val="Compact"/>
              <w:jc w:val="center"/>
              <w:rPr>
                <w:sz w:val="16"/>
                <w:szCs w:val="16"/>
              </w:rPr>
            </w:pPr>
            <w:r w:rsidRPr="00896D44">
              <w:rPr>
                <w:sz w:val="16"/>
                <w:szCs w:val="16"/>
              </w:rPr>
              <w:t>True</w:t>
            </w:r>
          </w:p>
        </w:tc>
      </w:tr>
      <w:tr w:rsidR="005471AE" w:rsidRPr="00D20729" w14:paraId="02A336D6" w14:textId="77777777" w:rsidTr="00E01D38">
        <w:tc>
          <w:tcPr>
            <w:tcW w:w="1017" w:type="dxa"/>
          </w:tcPr>
          <w:p w14:paraId="30C7DBA8" w14:textId="77777777" w:rsidR="005471AE" w:rsidRPr="00896D44" w:rsidRDefault="005471AE" w:rsidP="00E01D38">
            <w:pPr>
              <w:pStyle w:val="Compact"/>
              <w:jc w:val="left"/>
              <w:rPr>
                <w:sz w:val="16"/>
                <w:szCs w:val="16"/>
              </w:rPr>
            </w:pPr>
            <w:r w:rsidRPr="00896D44">
              <w:rPr>
                <w:sz w:val="16"/>
                <w:szCs w:val="16"/>
              </w:rPr>
              <w:lastRenderedPageBreak/>
              <w:t>Neimeng</w:t>
            </w:r>
          </w:p>
        </w:tc>
        <w:tc>
          <w:tcPr>
            <w:tcW w:w="1028" w:type="dxa"/>
          </w:tcPr>
          <w:p w14:paraId="7E42853C" w14:textId="77777777" w:rsidR="005471AE" w:rsidRPr="00896D44" w:rsidRDefault="005471AE" w:rsidP="00E01D38">
            <w:pPr>
              <w:pStyle w:val="Compact"/>
              <w:jc w:val="center"/>
              <w:rPr>
                <w:sz w:val="16"/>
                <w:szCs w:val="16"/>
              </w:rPr>
            </w:pPr>
            <w:r w:rsidRPr="00896D44">
              <w:rPr>
                <w:sz w:val="16"/>
                <w:szCs w:val="16"/>
              </w:rPr>
              <w:t>0.335</w:t>
            </w:r>
          </w:p>
        </w:tc>
        <w:tc>
          <w:tcPr>
            <w:tcW w:w="0" w:type="auto"/>
          </w:tcPr>
          <w:p w14:paraId="58FE3A65" w14:textId="77777777" w:rsidR="005471AE" w:rsidRPr="00896D44" w:rsidRDefault="005471AE" w:rsidP="00E01D38">
            <w:pPr>
              <w:pStyle w:val="Compact"/>
              <w:jc w:val="center"/>
              <w:rPr>
                <w:sz w:val="16"/>
                <w:szCs w:val="16"/>
              </w:rPr>
            </w:pPr>
            <w:r w:rsidRPr="00896D44">
              <w:rPr>
                <w:sz w:val="16"/>
                <w:szCs w:val="16"/>
              </w:rPr>
              <w:t>3.846</w:t>
            </w:r>
          </w:p>
        </w:tc>
        <w:tc>
          <w:tcPr>
            <w:tcW w:w="0" w:type="auto"/>
          </w:tcPr>
          <w:p w14:paraId="2C13083D" w14:textId="77777777" w:rsidR="005471AE" w:rsidRPr="00896D44" w:rsidRDefault="005471AE" w:rsidP="00E01D38">
            <w:pPr>
              <w:pStyle w:val="Compact"/>
              <w:jc w:val="center"/>
              <w:rPr>
                <w:sz w:val="16"/>
                <w:szCs w:val="16"/>
              </w:rPr>
            </w:pPr>
            <w:r w:rsidRPr="00896D44">
              <w:rPr>
                <w:sz w:val="16"/>
                <w:szCs w:val="16"/>
              </w:rPr>
              <w:t>11.479</w:t>
            </w:r>
          </w:p>
        </w:tc>
        <w:tc>
          <w:tcPr>
            <w:tcW w:w="0" w:type="auto"/>
          </w:tcPr>
          <w:p w14:paraId="712FD3F0" w14:textId="77777777" w:rsidR="005471AE" w:rsidRPr="00896D44" w:rsidRDefault="005471AE" w:rsidP="00E01D38">
            <w:pPr>
              <w:pStyle w:val="Compact"/>
              <w:jc w:val="center"/>
              <w:rPr>
                <w:sz w:val="16"/>
                <w:szCs w:val="16"/>
              </w:rPr>
            </w:pPr>
            <w:r w:rsidRPr="00896D44">
              <w:rPr>
                <w:sz w:val="16"/>
                <w:szCs w:val="16"/>
              </w:rPr>
              <w:t>True</w:t>
            </w:r>
          </w:p>
        </w:tc>
        <w:tc>
          <w:tcPr>
            <w:tcW w:w="0" w:type="auto"/>
          </w:tcPr>
          <w:p w14:paraId="52E29ED7" w14:textId="77777777" w:rsidR="005471AE" w:rsidRPr="00896D44" w:rsidRDefault="005471AE" w:rsidP="00E01D38">
            <w:pPr>
              <w:pStyle w:val="Compact"/>
              <w:jc w:val="center"/>
              <w:rPr>
                <w:sz w:val="16"/>
                <w:szCs w:val="16"/>
              </w:rPr>
            </w:pPr>
            <w:r w:rsidRPr="00896D44">
              <w:rPr>
                <w:sz w:val="16"/>
                <w:szCs w:val="16"/>
              </w:rPr>
              <w:t>1.320</w:t>
            </w:r>
          </w:p>
        </w:tc>
        <w:tc>
          <w:tcPr>
            <w:tcW w:w="0" w:type="auto"/>
          </w:tcPr>
          <w:p w14:paraId="5AF4734C" w14:textId="77777777" w:rsidR="005471AE" w:rsidRPr="00896D44" w:rsidRDefault="005471AE" w:rsidP="00E01D38">
            <w:pPr>
              <w:pStyle w:val="Compact"/>
              <w:jc w:val="center"/>
              <w:rPr>
                <w:sz w:val="16"/>
                <w:szCs w:val="16"/>
              </w:rPr>
            </w:pPr>
            <w:r w:rsidRPr="00896D44">
              <w:rPr>
                <w:sz w:val="16"/>
                <w:szCs w:val="16"/>
              </w:rPr>
              <w:t>1.183</w:t>
            </w:r>
          </w:p>
        </w:tc>
        <w:tc>
          <w:tcPr>
            <w:tcW w:w="0" w:type="auto"/>
          </w:tcPr>
          <w:p w14:paraId="6EF8189A" w14:textId="77777777" w:rsidR="005471AE" w:rsidRPr="00896D44" w:rsidRDefault="005471AE" w:rsidP="00E01D38">
            <w:pPr>
              <w:pStyle w:val="Compact"/>
              <w:jc w:val="center"/>
              <w:rPr>
                <w:sz w:val="16"/>
                <w:szCs w:val="16"/>
              </w:rPr>
            </w:pPr>
            <w:r w:rsidRPr="00896D44">
              <w:rPr>
                <w:sz w:val="16"/>
                <w:szCs w:val="16"/>
              </w:rPr>
              <w:t>0.896</w:t>
            </w:r>
          </w:p>
        </w:tc>
        <w:tc>
          <w:tcPr>
            <w:tcW w:w="0" w:type="auto"/>
          </w:tcPr>
          <w:p w14:paraId="3ED4BEA9" w14:textId="77777777" w:rsidR="005471AE" w:rsidRPr="00896D44" w:rsidRDefault="005471AE" w:rsidP="00E01D38">
            <w:pPr>
              <w:pStyle w:val="Compact"/>
              <w:jc w:val="center"/>
              <w:rPr>
                <w:sz w:val="16"/>
                <w:szCs w:val="16"/>
              </w:rPr>
            </w:pPr>
            <w:r w:rsidRPr="00896D44">
              <w:rPr>
                <w:sz w:val="16"/>
                <w:szCs w:val="16"/>
              </w:rPr>
              <w:t>False</w:t>
            </w:r>
          </w:p>
        </w:tc>
      </w:tr>
      <w:tr w:rsidR="005471AE" w:rsidRPr="00D20729" w14:paraId="0357124B" w14:textId="77777777" w:rsidTr="00E01D38">
        <w:tc>
          <w:tcPr>
            <w:tcW w:w="1017" w:type="dxa"/>
          </w:tcPr>
          <w:p w14:paraId="4A7B5043" w14:textId="77777777" w:rsidR="005471AE" w:rsidRPr="00896D44" w:rsidRDefault="005471AE" w:rsidP="00E01D38">
            <w:pPr>
              <w:pStyle w:val="Compact"/>
              <w:jc w:val="left"/>
              <w:rPr>
                <w:sz w:val="16"/>
                <w:szCs w:val="16"/>
              </w:rPr>
            </w:pPr>
            <w:r w:rsidRPr="00896D44">
              <w:rPr>
                <w:sz w:val="16"/>
                <w:szCs w:val="16"/>
              </w:rPr>
              <w:t>Shanxi</w:t>
            </w:r>
          </w:p>
        </w:tc>
        <w:tc>
          <w:tcPr>
            <w:tcW w:w="1028" w:type="dxa"/>
          </w:tcPr>
          <w:p w14:paraId="77C2EDBC" w14:textId="77777777" w:rsidR="005471AE" w:rsidRPr="00896D44" w:rsidRDefault="005471AE" w:rsidP="00E01D38">
            <w:pPr>
              <w:pStyle w:val="Compact"/>
              <w:jc w:val="center"/>
              <w:rPr>
                <w:sz w:val="16"/>
                <w:szCs w:val="16"/>
              </w:rPr>
            </w:pPr>
            <w:r w:rsidRPr="00896D44">
              <w:rPr>
                <w:sz w:val="16"/>
                <w:szCs w:val="16"/>
              </w:rPr>
              <w:t>0.208</w:t>
            </w:r>
          </w:p>
        </w:tc>
        <w:tc>
          <w:tcPr>
            <w:tcW w:w="0" w:type="auto"/>
          </w:tcPr>
          <w:p w14:paraId="0C273C83" w14:textId="77777777" w:rsidR="005471AE" w:rsidRPr="00896D44" w:rsidRDefault="005471AE" w:rsidP="00E01D38">
            <w:pPr>
              <w:pStyle w:val="Compact"/>
              <w:jc w:val="center"/>
              <w:rPr>
                <w:sz w:val="16"/>
                <w:szCs w:val="16"/>
              </w:rPr>
            </w:pPr>
            <w:r w:rsidRPr="00896D44">
              <w:rPr>
                <w:sz w:val="16"/>
                <w:szCs w:val="16"/>
              </w:rPr>
              <w:t>0.675</w:t>
            </w:r>
          </w:p>
        </w:tc>
        <w:tc>
          <w:tcPr>
            <w:tcW w:w="0" w:type="auto"/>
          </w:tcPr>
          <w:p w14:paraId="584920C4" w14:textId="77777777" w:rsidR="005471AE" w:rsidRPr="00896D44" w:rsidRDefault="005471AE" w:rsidP="00E01D38">
            <w:pPr>
              <w:pStyle w:val="Compact"/>
              <w:jc w:val="center"/>
              <w:rPr>
                <w:sz w:val="16"/>
                <w:szCs w:val="16"/>
              </w:rPr>
            </w:pPr>
            <w:r w:rsidRPr="00896D44">
              <w:rPr>
                <w:sz w:val="16"/>
                <w:szCs w:val="16"/>
              </w:rPr>
              <w:t>3.241</w:t>
            </w:r>
          </w:p>
        </w:tc>
        <w:tc>
          <w:tcPr>
            <w:tcW w:w="0" w:type="auto"/>
          </w:tcPr>
          <w:p w14:paraId="087ADB5E" w14:textId="77777777" w:rsidR="005471AE" w:rsidRPr="00896D44" w:rsidRDefault="005471AE" w:rsidP="00E01D38">
            <w:pPr>
              <w:pStyle w:val="Compact"/>
              <w:jc w:val="center"/>
              <w:rPr>
                <w:sz w:val="16"/>
                <w:szCs w:val="16"/>
              </w:rPr>
            </w:pPr>
            <w:r w:rsidRPr="00896D44">
              <w:rPr>
                <w:sz w:val="16"/>
                <w:szCs w:val="16"/>
              </w:rPr>
              <w:t>False</w:t>
            </w:r>
          </w:p>
        </w:tc>
        <w:tc>
          <w:tcPr>
            <w:tcW w:w="0" w:type="auto"/>
          </w:tcPr>
          <w:p w14:paraId="6C3E68A8" w14:textId="77777777" w:rsidR="005471AE" w:rsidRPr="00896D44" w:rsidRDefault="005471AE" w:rsidP="00E01D38">
            <w:pPr>
              <w:pStyle w:val="Compact"/>
              <w:jc w:val="center"/>
              <w:rPr>
                <w:sz w:val="16"/>
                <w:szCs w:val="16"/>
              </w:rPr>
            </w:pPr>
            <w:r w:rsidRPr="00896D44">
              <w:rPr>
                <w:sz w:val="16"/>
                <w:szCs w:val="16"/>
              </w:rPr>
              <w:t>0.264</w:t>
            </w:r>
          </w:p>
        </w:tc>
        <w:tc>
          <w:tcPr>
            <w:tcW w:w="0" w:type="auto"/>
          </w:tcPr>
          <w:p w14:paraId="3141E81F" w14:textId="77777777" w:rsidR="005471AE" w:rsidRPr="00896D44" w:rsidRDefault="005471AE" w:rsidP="00E01D38">
            <w:pPr>
              <w:pStyle w:val="Compact"/>
              <w:jc w:val="center"/>
              <w:rPr>
                <w:sz w:val="16"/>
                <w:szCs w:val="16"/>
              </w:rPr>
            </w:pPr>
            <w:r w:rsidRPr="00896D44">
              <w:rPr>
                <w:sz w:val="16"/>
                <w:szCs w:val="16"/>
              </w:rPr>
              <w:t>0.401</w:t>
            </w:r>
          </w:p>
        </w:tc>
        <w:tc>
          <w:tcPr>
            <w:tcW w:w="0" w:type="auto"/>
          </w:tcPr>
          <w:p w14:paraId="4872C71A" w14:textId="77777777" w:rsidR="005471AE" w:rsidRPr="00896D44" w:rsidRDefault="005471AE" w:rsidP="00E01D38">
            <w:pPr>
              <w:pStyle w:val="Compact"/>
              <w:jc w:val="center"/>
              <w:rPr>
                <w:sz w:val="16"/>
                <w:szCs w:val="16"/>
              </w:rPr>
            </w:pPr>
            <w:r w:rsidRPr="00896D44">
              <w:rPr>
                <w:sz w:val="16"/>
                <w:szCs w:val="16"/>
              </w:rPr>
              <w:t>1.520</w:t>
            </w:r>
          </w:p>
        </w:tc>
        <w:tc>
          <w:tcPr>
            <w:tcW w:w="0" w:type="auto"/>
          </w:tcPr>
          <w:p w14:paraId="764D021D" w14:textId="77777777" w:rsidR="005471AE" w:rsidRPr="00896D44" w:rsidRDefault="005471AE" w:rsidP="00E01D38">
            <w:pPr>
              <w:pStyle w:val="Compact"/>
              <w:jc w:val="center"/>
              <w:rPr>
                <w:sz w:val="16"/>
                <w:szCs w:val="16"/>
              </w:rPr>
            </w:pPr>
            <w:r w:rsidRPr="00896D44">
              <w:rPr>
                <w:sz w:val="16"/>
                <w:szCs w:val="16"/>
              </w:rPr>
              <w:t>False</w:t>
            </w:r>
          </w:p>
        </w:tc>
      </w:tr>
      <w:tr w:rsidR="005471AE" w:rsidRPr="00D20729" w14:paraId="444981AF" w14:textId="77777777" w:rsidTr="00E01D38">
        <w:tc>
          <w:tcPr>
            <w:tcW w:w="1017" w:type="dxa"/>
          </w:tcPr>
          <w:p w14:paraId="3E656F2F" w14:textId="77777777" w:rsidR="005471AE" w:rsidRPr="00896D44" w:rsidRDefault="005471AE" w:rsidP="00E01D38">
            <w:pPr>
              <w:pStyle w:val="Compact"/>
              <w:jc w:val="left"/>
              <w:rPr>
                <w:sz w:val="16"/>
                <w:szCs w:val="16"/>
              </w:rPr>
            </w:pPr>
            <w:r w:rsidRPr="00896D44">
              <w:rPr>
                <w:sz w:val="16"/>
                <w:szCs w:val="16"/>
              </w:rPr>
              <w:t>Shaanxi</w:t>
            </w:r>
          </w:p>
        </w:tc>
        <w:tc>
          <w:tcPr>
            <w:tcW w:w="1028" w:type="dxa"/>
          </w:tcPr>
          <w:p w14:paraId="546730CB" w14:textId="77777777" w:rsidR="005471AE" w:rsidRPr="00896D44" w:rsidRDefault="005471AE" w:rsidP="00E01D38">
            <w:pPr>
              <w:pStyle w:val="Compact"/>
              <w:jc w:val="center"/>
              <w:rPr>
                <w:sz w:val="16"/>
                <w:szCs w:val="16"/>
              </w:rPr>
            </w:pPr>
            <w:r w:rsidRPr="00896D44">
              <w:rPr>
                <w:sz w:val="16"/>
                <w:szCs w:val="16"/>
              </w:rPr>
              <w:t>0.181</w:t>
            </w:r>
          </w:p>
        </w:tc>
        <w:tc>
          <w:tcPr>
            <w:tcW w:w="0" w:type="auto"/>
          </w:tcPr>
          <w:p w14:paraId="15C7C9F8" w14:textId="77777777" w:rsidR="005471AE" w:rsidRPr="00896D44" w:rsidRDefault="005471AE" w:rsidP="00E01D38">
            <w:pPr>
              <w:pStyle w:val="Compact"/>
              <w:jc w:val="center"/>
              <w:rPr>
                <w:sz w:val="16"/>
                <w:szCs w:val="16"/>
              </w:rPr>
            </w:pPr>
            <w:r w:rsidRPr="00896D44">
              <w:rPr>
                <w:sz w:val="16"/>
                <w:szCs w:val="16"/>
              </w:rPr>
              <w:t>0.572</w:t>
            </w:r>
          </w:p>
        </w:tc>
        <w:tc>
          <w:tcPr>
            <w:tcW w:w="0" w:type="auto"/>
          </w:tcPr>
          <w:p w14:paraId="2C9BE9FD" w14:textId="77777777" w:rsidR="005471AE" w:rsidRPr="00896D44" w:rsidRDefault="005471AE" w:rsidP="00E01D38">
            <w:pPr>
              <w:pStyle w:val="Compact"/>
              <w:jc w:val="center"/>
              <w:rPr>
                <w:sz w:val="16"/>
                <w:szCs w:val="16"/>
              </w:rPr>
            </w:pPr>
            <w:r w:rsidRPr="00896D44">
              <w:rPr>
                <w:sz w:val="16"/>
                <w:szCs w:val="16"/>
              </w:rPr>
              <w:t>3.164</w:t>
            </w:r>
          </w:p>
        </w:tc>
        <w:tc>
          <w:tcPr>
            <w:tcW w:w="0" w:type="auto"/>
          </w:tcPr>
          <w:p w14:paraId="746C5FE8" w14:textId="77777777" w:rsidR="005471AE" w:rsidRPr="00896D44" w:rsidRDefault="005471AE" w:rsidP="00E01D38">
            <w:pPr>
              <w:pStyle w:val="Compact"/>
              <w:jc w:val="center"/>
              <w:rPr>
                <w:sz w:val="16"/>
                <w:szCs w:val="16"/>
              </w:rPr>
            </w:pPr>
            <w:r w:rsidRPr="00896D44">
              <w:rPr>
                <w:sz w:val="16"/>
                <w:szCs w:val="16"/>
              </w:rPr>
              <w:t>False</w:t>
            </w:r>
          </w:p>
        </w:tc>
        <w:tc>
          <w:tcPr>
            <w:tcW w:w="0" w:type="auto"/>
          </w:tcPr>
          <w:p w14:paraId="7CA82EAE" w14:textId="77777777" w:rsidR="005471AE" w:rsidRPr="00896D44" w:rsidRDefault="005471AE" w:rsidP="00E01D38">
            <w:pPr>
              <w:pStyle w:val="Compact"/>
              <w:jc w:val="center"/>
              <w:rPr>
                <w:sz w:val="16"/>
                <w:szCs w:val="16"/>
              </w:rPr>
            </w:pPr>
            <w:r w:rsidRPr="00896D44">
              <w:rPr>
                <w:sz w:val="16"/>
                <w:szCs w:val="16"/>
              </w:rPr>
              <w:t>0.096</w:t>
            </w:r>
          </w:p>
        </w:tc>
        <w:tc>
          <w:tcPr>
            <w:tcW w:w="0" w:type="auto"/>
          </w:tcPr>
          <w:p w14:paraId="5B13BC86" w14:textId="77777777" w:rsidR="005471AE" w:rsidRPr="00896D44" w:rsidRDefault="005471AE" w:rsidP="00E01D38">
            <w:pPr>
              <w:pStyle w:val="Compact"/>
              <w:jc w:val="center"/>
              <w:rPr>
                <w:sz w:val="16"/>
                <w:szCs w:val="16"/>
              </w:rPr>
            </w:pPr>
            <w:r w:rsidRPr="00896D44">
              <w:rPr>
                <w:sz w:val="16"/>
                <w:szCs w:val="16"/>
              </w:rPr>
              <w:t>0.724</w:t>
            </w:r>
          </w:p>
        </w:tc>
        <w:tc>
          <w:tcPr>
            <w:tcW w:w="0" w:type="auto"/>
          </w:tcPr>
          <w:p w14:paraId="1F344F80" w14:textId="77777777" w:rsidR="005471AE" w:rsidRPr="00896D44" w:rsidRDefault="005471AE" w:rsidP="00E01D38">
            <w:pPr>
              <w:pStyle w:val="Compact"/>
              <w:jc w:val="center"/>
              <w:rPr>
                <w:sz w:val="16"/>
                <w:szCs w:val="16"/>
              </w:rPr>
            </w:pPr>
            <w:r w:rsidRPr="00896D44">
              <w:rPr>
                <w:sz w:val="16"/>
                <w:szCs w:val="16"/>
              </w:rPr>
              <w:t>7.579</w:t>
            </w:r>
          </w:p>
        </w:tc>
        <w:tc>
          <w:tcPr>
            <w:tcW w:w="0" w:type="auto"/>
          </w:tcPr>
          <w:p w14:paraId="34DAADC7" w14:textId="77777777" w:rsidR="005471AE" w:rsidRPr="00896D44" w:rsidRDefault="005471AE" w:rsidP="00E01D38">
            <w:pPr>
              <w:pStyle w:val="Compact"/>
              <w:jc w:val="center"/>
              <w:rPr>
                <w:sz w:val="16"/>
                <w:szCs w:val="16"/>
              </w:rPr>
            </w:pPr>
            <w:r w:rsidRPr="00896D44">
              <w:rPr>
                <w:sz w:val="16"/>
                <w:szCs w:val="16"/>
              </w:rPr>
              <w:t>True</w:t>
            </w:r>
          </w:p>
        </w:tc>
      </w:tr>
      <w:tr w:rsidR="005471AE" w:rsidRPr="00D20729" w14:paraId="77202D7F" w14:textId="77777777" w:rsidTr="00E01D38">
        <w:tc>
          <w:tcPr>
            <w:tcW w:w="1017" w:type="dxa"/>
          </w:tcPr>
          <w:p w14:paraId="530100F9" w14:textId="77777777" w:rsidR="005471AE" w:rsidRPr="00896D44" w:rsidRDefault="005471AE" w:rsidP="00E01D38">
            <w:pPr>
              <w:pStyle w:val="Compact"/>
              <w:jc w:val="left"/>
              <w:rPr>
                <w:sz w:val="16"/>
                <w:szCs w:val="16"/>
              </w:rPr>
            </w:pPr>
            <w:r w:rsidRPr="00896D44">
              <w:rPr>
                <w:sz w:val="16"/>
                <w:szCs w:val="16"/>
              </w:rPr>
              <w:t>Henan</w:t>
            </w:r>
          </w:p>
        </w:tc>
        <w:tc>
          <w:tcPr>
            <w:tcW w:w="1028" w:type="dxa"/>
          </w:tcPr>
          <w:p w14:paraId="688F2799" w14:textId="77777777" w:rsidR="005471AE" w:rsidRPr="00896D44" w:rsidRDefault="005471AE" w:rsidP="00E01D38">
            <w:pPr>
              <w:pStyle w:val="Compact"/>
              <w:jc w:val="center"/>
              <w:rPr>
                <w:sz w:val="16"/>
                <w:szCs w:val="16"/>
              </w:rPr>
            </w:pPr>
            <w:r w:rsidRPr="00896D44">
              <w:rPr>
                <w:sz w:val="16"/>
                <w:szCs w:val="16"/>
              </w:rPr>
              <w:t>0.210</w:t>
            </w:r>
          </w:p>
        </w:tc>
        <w:tc>
          <w:tcPr>
            <w:tcW w:w="0" w:type="auto"/>
          </w:tcPr>
          <w:p w14:paraId="56EEFBF0" w14:textId="77777777" w:rsidR="005471AE" w:rsidRPr="00896D44" w:rsidRDefault="005471AE" w:rsidP="00E01D38">
            <w:pPr>
              <w:pStyle w:val="Compact"/>
              <w:jc w:val="center"/>
              <w:rPr>
                <w:sz w:val="16"/>
                <w:szCs w:val="16"/>
              </w:rPr>
            </w:pPr>
            <w:r w:rsidRPr="00896D44">
              <w:rPr>
                <w:sz w:val="16"/>
                <w:szCs w:val="16"/>
              </w:rPr>
              <w:t>3.207</w:t>
            </w:r>
          </w:p>
        </w:tc>
        <w:tc>
          <w:tcPr>
            <w:tcW w:w="0" w:type="auto"/>
          </w:tcPr>
          <w:p w14:paraId="2943FA7C" w14:textId="77777777" w:rsidR="005471AE" w:rsidRPr="00896D44" w:rsidRDefault="005471AE" w:rsidP="00E01D38">
            <w:pPr>
              <w:pStyle w:val="Compact"/>
              <w:jc w:val="center"/>
              <w:rPr>
                <w:sz w:val="16"/>
                <w:szCs w:val="16"/>
              </w:rPr>
            </w:pPr>
            <w:r w:rsidRPr="00896D44">
              <w:rPr>
                <w:sz w:val="16"/>
                <w:szCs w:val="16"/>
              </w:rPr>
              <w:t>15.292</w:t>
            </w:r>
          </w:p>
        </w:tc>
        <w:tc>
          <w:tcPr>
            <w:tcW w:w="0" w:type="auto"/>
          </w:tcPr>
          <w:p w14:paraId="2FED27C9" w14:textId="77777777" w:rsidR="005471AE" w:rsidRPr="00896D44" w:rsidRDefault="005471AE" w:rsidP="00E01D38">
            <w:pPr>
              <w:pStyle w:val="Compact"/>
              <w:jc w:val="center"/>
              <w:rPr>
                <w:sz w:val="16"/>
                <w:szCs w:val="16"/>
              </w:rPr>
            </w:pPr>
            <w:r w:rsidRPr="00896D44">
              <w:rPr>
                <w:sz w:val="16"/>
                <w:szCs w:val="16"/>
              </w:rPr>
              <w:t>True</w:t>
            </w:r>
          </w:p>
        </w:tc>
        <w:tc>
          <w:tcPr>
            <w:tcW w:w="0" w:type="auto"/>
          </w:tcPr>
          <w:p w14:paraId="381C2176" w14:textId="77777777" w:rsidR="005471AE" w:rsidRPr="00896D44" w:rsidRDefault="005471AE" w:rsidP="00E01D38">
            <w:pPr>
              <w:pStyle w:val="Compact"/>
              <w:jc w:val="center"/>
              <w:rPr>
                <w:sz w:val="16"/>
                <w:szCs w:val="16"/>
              </w:rPr>
            </w:pPr>
            <w:r w:rsidRPr="00896D44">
              <w:rPr>
                <w:sz w:val="16"/>
                <w:szCs w:val="16"/>
              </w:rPr>
              <w:t>1.222</w:t>
            </w:r>
          </w:p>
        </w:tc>
        <w:tc>
          <w:tcPr>
            <w:tcW w:w="0" w:type="auto"/>
          </w:tcPr>
          <w:p w14:paraId="2A3C84BC" w14:textId="77777777" w:rsidR="005471AE" w:rsidRPr="00896D44" w:rsidRDefault="005471AE" w:rsidP="00E01D38">
            <w:pPr>
              <w:pStyle w:val="Compact"/>
              <w:jc w:val="center"/>
              <w:rPr>
                <w:sz w:val="16"/>
                <w:szCs w:val="16"/>
              </w:rPr>
            </w:pPr>
            <w:r w:rsidRPr="00896D44">
              <w:rPr>
                <w:sz w:val="16"/>
                <w:szCs w:val="16"/>
              </w:rPr>
              <w:t>2.479</w:t>
            </w:r>
          </w:p>
        </w:tc>
        <w:tc>
          <w:tcPr>
            <w:tcW w:w="0" w:type="auto"/>
          </w:tcPr>
          <w:p w14:paraId="6EBCE41B" w14:textId="77777777" w:rsidR="005471AE" w:rsidRPr="00896D44" w:rsidRDefault="005471AE" w:rsidP="00E01D38">
            <w:pPr>
              <w:pStyle w:val="Compact"/>
              <w:jc w:val="center"/>
              <w:rPr>
                <w:sz w:val="16"/>
                <w:szCs w:val="16"/>
              </w:rPr>
            </w:pPr>
            <w:r w:rsidRPr="00896D44">
              <w:rPr>
                <w:sz w:val="16"/>
                <w:szCs w:val="16"/>
              </w:rPr>
              <w:t>2.029</w:t>
            </w:r>
          </w:p>
        </w:tc>
        <w:tc>
          <w:tcPr>
            <w:tcW w:w="0" w:type="auto"/>
          </w:tcPr>
          <w:p w14:paraId="5F87C868" w14:textId="77777777" w:rsidR="005471AE" w:rsidRPr="00896D44" w:rsidRDefault="005471AE" w:rsidP="00E01D38">
            <w:pPr>
              <w:pStyle w:val="Compact"/>
              <w:jc w:val="center"/>
              <w:rPr>
                <w:sz w:val="16"/>
                <w:szCs w:val="16"/>
              </w:rPr>
            </w:pPr>
            <w:r w:rsidRPr="00896D44">
              <w:rPr>
                <w:sz w:val="16"/>
                <w:szCs w:val="16"/>
              </w:rPr>
              <w:t>False</w:t>
            </w:r>
          </w:p>
        </w:tc>
      </w:tr>
      <w:tr w:rsidR="005471AE" w:rsidRPr="00D20729" w14:paraId="0E527C5A" w14:textId="77777777" w:rsidTr="00E01D38">
        <w:tc>
          <w:tcPr>
            <w:tcW w:w="1017" w:type="dxa"/>
          </w:tcPr>
          <w:p w14:paraId="287E5AAC" w14:textId="77777777" w:rsidR="005471AE" w:rsidRPr="00896D44" w:rsidRDefault="005471AE" w:rsidP="00E01D38">
            <w:pPr>
              <w:pStyle w:val="Compact"/>
              <w:jc w:val="left"/>
              <w:rPr>
                <w:sz w:val="16"/>
                <w:szCs w:val="16"/>
              </w:rPr>
            </w:pPr>
            <w:r w:rsidRPr="00896D44">
              <w:rPr>
                <w:sz w:val="16"/>
                <w:szCs w:val="16"/>
              </w:rPr>
              <w:t>Shandong</w:t>
            </w:r>
          </w:p>
        </w:tc>
        <w:tc>
          <w:tcPr>
            <w:tcW w:w="1028" w:type="dxa"/>
          </w:tcPr>
          <w:p w14:paraId="126943F1" w14:textId="77777777" w:rsidR="005471AE" w:rsidRPr="00896D44" w:rsidRDefault="005471AE" w:rsidP="00E01D38">
            <w:pPr>
              <w:pStyle w:val="Compact"/>
              <w:jc w:val="center"/>
              <w:rPr>
                <w:sz w:val="16"/>
                <w:szCs w:val="16"/>
              </w:rPr>
            </w:pPr>
            <w:r w:rsidRPr="00896D44">
              <w:rPr>
                <w:sz w:val="16"/>
                <w:szCs w:val="16"/>
              </w:rPr>
              <w:t>0.209</w:t>
            </w:r>
          </w:p>
        </w:tc>
        <w:tc>
          <w:tcPr>
            <w:tcW w:w="0" w:type="auto"/>
          </w:tcPr>
          <w:p w14:paraId="6B6024A7" w14:textId="77777777" w:rsidR="005471AE" w:rsidRPr="00896D44" w:rsidRDefault="005471AE" w:rsidP="00E01D38">
            <w:pPr>
              <w:pStyle w:val="Compact"/>
              <w:jc w:val="center"/>
              <w:rPr>
                <w:sz w:val="16"/>
                <w:szCs w:val="16"/>
              </w:rPr>
            </w:pPr>
            <w:r w:rsidRPr="00896D44">
              <w:rPr>
                <w:sz w:val="16"/>
                <w:szCs w:val="16"/>
              </w:rPr>
              <w:t>1.840</w:t>
            </w:r>
          </w:p>
        </w:tc>
        <w:tc>
          <w:tcPr>
            <w:tcW w:w="0" w:type="auto"/>
          </w:tcPr>
          <w:p w14:paraId="626B0C08" w14:textId="77777777" w:rsidR="005471AE" w:rsidRPr="00896D44" w:rsidRDefault="005471AE" w:rsidP="00E01D38">
            <w:pPr>
              <w:pStyle w:val="Compact"/>
              <w:jc w:val="center"/>
              <w:rPr>
                <w:sz w:val="16"/>
                <w:szCs w:val="16"/>
              </w:rPr>
            </w:pPr>
            <w:r w:rsidRPr="00896D44">
              <w:rPr>
                <w:sz w:val="16"/>
                <w:szCs w:val="16"/>
              </w:rPr>
              <w:t>8.785</w:t>
            </w:r>
          </w:p>
        </w:tc>
        <w:tc>
          <w:tcPr>
            <w:tcW w:w="0" w:type="auto"/>
          </w:tcPr>
          <w:p w14:paraId="3FB9885E" w14:textId="77777777" w:rsidR="005471AE" w:rsidRPr="00896D44" w:rsidRDefault="005471AE" w:rsidP="00E01D38">
            <w:pPr>
              <w:pStyle w:val="Compact"/>
              <w:jc w:val="center"/>
              <w:rPr>
                <w:sz w:val="16"/>
                <w:szCs w:val="16"/>
              </w:rPr>
            </w:pPr>
            <w:r w:rsidRPr="00896D44">
              <w:rPr>
                <w:sz w:val="16"/>
                <w:szCs w:val="16"/>
              </w:rPr>
              <w:t>True</w:t>
            </w:r>
          </w:p>
        </w:tc>
        <w:tc>
          <w:tcPr>
            <w:tcW w:w="0" w:type="auto"/>
          </w:tcPr>
          <w:p w14:paraId="4BB1427C" w14:textId="77777777" w:rsidR="005471AE" w:rsidRPr="00896D44" w:rsidRDefault="005471AE" w:rsidP="00E01D38">
            <w:pPr>
              <w:pStyle w:val="Compact"/>
              <w:jc w:val="center"/>
              <w:rPr>
                <w:sz w:val="16"/>
                <w:szCs w:val="16"/>
              </w:rPr>
            </w:pPr>
            <w:r w:rsidRPr="00896D44">
              <w:rPr>
                <w:sz w:val="16"/>
                <w:szCs w:val="16"/>
              </w:rPr>
              <w:t>0.431</w:t>
            </w:r>
          </w:p>
        </w:tc>
        <w:tc>
          <w:tcPr>
            <w:tcW w:w="0" w:type="auto"/>
          </w:tcPr>
          <w:p w14:paraId="6A505BB2" w14:textId="77777777" w:rsidR="005471AE" w:rsidRPr="00896D44" w:rsidRDefault="005471AE" w:rsidP="00E01D38">
            <w:pPr>
              <w:pStyle w:val="Compact"/>
              <w:jc w:val="center"/>
              <w:rPr>
                <w:sz w:val="16"/>
                <w:szCs w:val="16"/>
              </w:rPr>
            </w:pPr>
            <w:r w:rsidRPr="00896D44">
              <w:rPr>
                <w:sz w:val="16"/>
                <w:szCs w:val="16"/>
              </w:rPr>
              <w:t>1.517</w:t>
            </w:r>
          </w:p>
        </w:tc>
        <w:tc>
          <w:tcPr>
            <w:tcW w:w="0" w:type="auto"/>
          </w:tcPr>
          <w:p w14:paraId="27DAB4E6" w14:textId="77777777" w:rsidR="005471AE" w:rsidRPr="00896D44" w:rsidRDefault="005471AE" w:rsidP="00E01D38">
            <w:pPr>
              <w:pStyle w:val="Compact"/>
              <w:jc w:val="center"/>
              <w:rPr>
                <w:sz w:val="16"/>
                <w:szCs w:val="16"/>
              </w:rPr>
            </w:pPr>
            <w:r w:rsidRPr="00896D44">
              <w:rPr>
                <w:sz w:val="16"/>
                <w:szCs w:val="16"/>
              </w:rPr>
              <w:t>3.516</w:t>
            </w:r>
          </w:p>
        </w:tc>
        <w:tc>
          <w:tcPr>
            <w:tcW w:w="0" w:type="auto"/>
          </w:tcPr>
          <w:p w14:paraId="0C5AB15A" w14:textId="77777777" w:rsidR="005471AE" w:rsidRPr="00896D44" w:rsidRDefault="005471AE" w:rsidP="00E01D38">
            <w:pPr>
              <w:pStyle w:val="Compact"/>
              <w:jc w:val="center"/>
              <w:rPr>
                <w:sz w:val="16"/>
                <w:szCs w:val="16"/>
              </w:rPr>
            </w:pPr>
            <w:r w:rsidRPr="00896D44">
              <w:rPr>
                <w:sz w:val="16"/>
                <w:szCs w:val="16"/>
              </w:rPr>
              <w:t>True</w:t>
            </w:r>
          </w:p>
        </w:tc>
      </w:tr>
    </w:tbl>
    <w:p w14:paraId="0D793415" w14:textId="77777777" w:rsidR="005471AE" w:rsidRPr="00D20729" w:rsidRDefault="005471AE" w:rsidP="005471AE">
      <w:pPr>
        <w:pStyle w:val="a0"/>
        <w:rPr>
          <w:sz w:val="21"/>
          <w:szCs w:val="21"/>
        </w:rPr>
      </w:pPr>
      <w:r w:rsidRPr="00D20729">
        <w:rPr>
          <w:sz w:val="21"/>
          <w:szCs w:val="21"/>
        </w:rPr>
        <w:t>[a]Larger post/pre RMSPE than the median of the placebos.</w:t>
      </w:r>
    </w:p>
    <w:p w14:paraId="7DCFC39F" w14:textId="77777777" w:rsidR="005471AE" w:rsidRDefault="005471AE" w:rsidP="005471AE">
      <w:pPr>
        <w:pStyle w:val="1"/>
      </w:pPr>
      <w:bookmarkStart w:id="26" w:name="secS4"/>
      <w:bookmarkEnd w:id="25"/>
      <w:r>
        <w:t>8</w:t>
      </w:r>
      <w:r>
        <w:tab/>
        <w:t>S3: Optimization model for water use</w:t>
      </w:r>
    </w:p>
    <w:p w14:paraId="26909B3B" w14:textId="77777777" w:rsidR="005471AE" w:rsidRPr="00896D44" w:rsidRDefault="005471AE" w:rsidP="005471AE">
      <w:pPr>
        <w:pStyle w:val="FirstParagraph"/>
      </w:pPr>
      <w:bookmarkStart w:id="27" w:name="setup"/>
      <w:r w:rsidRPr="00896D44">
        <w:rPr>
          <w:i/>
          <w:iCs/>
        </w:rPr>
        <w:t>Setup</w:t>
      </w:r>
      <w:r w:rsidRPr="00896D44">
        <w:rPr>
          <w:i/>
          <w:iCs/>
          <w:lang w:eastAsia="zh-CN"/>
        </w:rPr>
        <w:t>.</w:t>
      </w:r>
      <w:r>
        <w:rPr>
          <w:lang w:eastAsia="zh-CN"/>
        </w:rPr>
        <w:t xml:space="preserve"> </w:t>
      </w:r>
      <w:r>
        <w:t>To understand the mechanisms through which the SES structure impacts provincial water use, we developed a dynamic economic model to analyze how institutional mismatch could have led to the changes in water use, especially among provinces with high incentives for excess water use. Specifically, we modeled individual provincial decision-making in water resources before quota execution.</w:t>
      </w:r>
    </w:p>
    <w:p w14:paraId="149FF2A3" w14:textId="77777777" w:rsidR="005471AE" w:rsidRDefault="005471AE" w:rsidP="005471AE">
      <w:pPr>
        <w:pStyle w:val="a0"/>
      </w:pPr>
      <w:r>
        <w:t>We proposed three intuitive and general assumptions:</w:t>
      </w:r>
    </w:p>
    <w:p w14:paraId="572C26A3" w14:textId="77777777" w:rsidR="005471AE" w:rsidRDefault="005471AE" w:rsidP="005471AE">
      <w:pPr>
        <w:pStyle w:val="a0"/>
      </w:pPr>
      <w:r>
        <w:rPr>
          <w:b/>
          <w:bCs/>
        </w:rPr>
        <w:t>Assumption 4</w:t>
      </w:r>
      <w:r>
        <w:t xml:space="preserve">.  </w:t>
      </w:r>
      <w:r>
        <w:rPr>
          <w:i/>
          <w:iCs/>
        </w:rPr>
        <w:t xml:space="preserve">(Water-dependent production) Because of irreplaceability, water is assumed to be the only input of the production function with two types of production efficiency. The production function of a high-incentive province is </w:t>
      </w:r>
      <m:oMath>
        <m:sSub>
          <m:sSubPr>
            <m:ctrlPr>
              <w:rPr>
                <w:rFonts w:ascii="Cambria Math" w:hAnsi="Cambria Math"/>
              </w:rPr>
            </m:ctrlPr>
          </m:sSubPr>
          <m:e>
            <m:r>
              <w:rPr>
                <w:rFonts w:ascii="Cambria Math" w:hAnsi="Cambria Math"/>
              </w:rPr>
              <m:t>A</m:t>
            </m:r>
          </m:e>
          <m:sub>
            <m:r>
              <w:rPr>
                <w:rFonts w:ascii="Cambria Math" w:hAnsi="Cambria Math"/>
              </w:rPr>
              <m:t>H</m:t>
            </m:r>
          </m:sub>
        </m:sSub>
        <m:r>
          <w:rPr>
            <w:rFonts w:ascii="Cambria Math" w:hAnsi="Cambria Math"/>
          </w:rPr>
          <m:t>F</m:t>
        </m:r>
        <m:d>
          <m:dPr>
            <m:ctrlPr>
              <w:rPr>
                <w:rFonts w:ascii="Cambria Math" w:hAnsi="Cambria Math"/>
              </w:rPr>
            </m:ctrlPr>
          </m:dPr>
          <m:e>
            <m:r>
              <w:rPr>
                <w:rFonts w:ascii="Cambria Math" w:hAnsi="Cambria Math"/>
              </w:rPr>
              <m:t>x</m:t>
            </m:r>
          </m:e>
        </m:d>
      </m:oMath>
      <w:r>
        <w:rPr>
          <w:i/>
          <w:iCs/>
        </w:rPr>
        <w:t xml:space="preserve">, and the production function of a low-incentive province is </w:t>
      </w:r>
      <m:oMath>
        <m:sSub>
          <m:sSubPr>
            <m:ctrlPr>
              <w:rPr>
                <w:rFonts w:ascii="Cambria Math" w:hAnsi="Cambria Math"/>
              </w:rPr>
            </m:ctrlPr>
          </m:sSubPr>
          <m:e>
            <m:r>
              <w:rPr>
                <w:rFonts w:ascii="Cambria Math" w:hAnsi="Cambria Math"/>
              </w:rPr>
              <m:t>A</m:t>
            </m:r>
          </m:e>
          <m:sub>
            <m:r>
              <w:rPr>
                <w:rFonts w:ascii="Cambria Math" w:hAnsi="Cambria Math"/>
              </w:rPr>
              <m:t>L</m:t>
            </m:r>
          </m:sub>
        </m:sSub>
        <m:r>
          <w:rPr>
            <w:rFonts w:ascii="Cambria Math" w:hAnsi="Cambria Math"/>
          </w:rPr>
          <m:t>F</m:t>
        </m:r>
        <m:d>
          <m:dPr>
            <m:ctrlPr>
              <w:rPr>
                <w:rFonts w:ascii="Cambria Math" w:hAnsi="Cambria Math"/>
              </w:rPr>
            </m:ctrlPr>
          </m:dPr>
          <m:e>
            <m:r>
              <w:rPr>
                <w:rFonts w:ascii="Cambria Math" w:hAnsi="Cambria Math"/>
              </w:rPr>
              <m:t>x</m:t>
            </m:r>
          </m:e>
        </m:d>
      </m:oMath>
      <w:r>
        <w:rPr>
          <w:i/>
          <w:iCs/>
        </w:rPr>
        <w:t xml:space="preserve"> (</w:t>
      </w:r>
      <m:oMath>
        <m:sSub>
          <m:sSubPr>
            <m:ctrlPr>
              <w:rPr>
                <w:rFonts w:ascii="Cambria Math" w:hAnsi="Cambria Math"/>
              </w:rPr>
            </m:ctrlPr>
          </m:sSubPr>
          <m:e>
            <m:r>
              <w:rPr>
                <w:rFonts w:ascii="Cambria Math" w:hAnsi="Cambria Math"/>
              </w:rPr>
              <m:t>A</m:t>
            </m:r>
          </m:e>
          <m:sub>
            <m:r>
              <w:rPr>
                <w:rFonts w:ascii="Cambria Math" w:hAnsi="Cambria Math"/>
              </w:rPr>
              <m:t>H</m:t>
            </m:r>
          </m:sub>
        </m:sSub>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F(x) is continuous, </w:t>
      </w: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0</m:t>
            </m:r>
          </m:e>
        </m:d>
        <m:r>
          <m:rPr>
            <m:sty m:val="p"/>
          </m:rPr>
          <w:rPr>
            <w:rFonts w:ascii="Cambria Math" w:hAnsi="Cambria Math"/>
          </w:rPr>
          <m:t>=∞</m:t>
        </m:r>
      </m:oMath>
      <w:r>
        <w:rPr>
          <w:i/>
          <w:iCs/>
        </w:rPr>
        <w:t xml:space="preserve">, </w:t>
      </w:r>
      <m:oMath>
        <m:r>
          <w:rPr>
            <w:rFonts w:ascii="Cambria Math" w:hAnsi="Cambria Math"/>
          </w:rPr>
          <m:t>F</m:t>
        </m:r>
        <m:r>
          <m:rPr>
            <m:sty m:val="p"/>
          </m:rPr>
          <w:rPr>
            <w:rFonts w:ascii="Cambria Math" w:hAnsi="Cambria Math"/>
          </w:rPr>
          <m:t>'</m:t>
        </m:r>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0</m:t>
        </m:r>
      </m:oMath>
      <w:r>
        <w:rPr>
          <w:i/>
          <w:iCs/>
        </w:rPr>
        <w:t xml:space="preserve">, </w:t>
      </w: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&gt;</m:t>
        </m:r>
        <m:r>
          <w:rPr>
            <w:rFonts w:ascii="Cambria Math" w:hAnsi="Cambria Math"/>
          </w:rPr>
          <m:t>0</m:t>
        </m:r>
      </m:oMath>
      <w:r>
        <w:rPr>
          <w:i/>
          <w:iCs/>
        </w:rPr>
        <w:t xml:space="preserve">, and </w:t>
      </w: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0</m:t>
        </m:r>
      </m:oMath>
      <w:r>
        <w:rPr>
          <w:i/>
          <w:iCs/>
        </w:rPr>
        <w:t xml:space="preserve">. The production output is under perfect competition, with a constant unit price of </w:t>
      </w:r>
      <m:oMath>
        <m:r>
          <w:rPr>
            <w:rFonts w:ascii="Cambria Math" w:hAnsi="Cambria Math"/>
          </w:rPr>
          <m:t>P</m:t>
        </m:r>
      </m:oMath>
      <w:r>
        <w:rPr>
          <w:i/>
          <w:iCs/>
        </w:rPr>
        <w:t>.</w:t>
      </w:r>
    </w:p>
    <w:p w14:paraId="53D329BC" w14:textId="77777777" w:rsidR="005471AE" w:rsidRDefault="005471AE" w:rsidP="005471AE">
      <w:pPr>
        <w:pStyle w:val="a0"/>
      </w:pPr>
      <w:r>
        <w:rPr>
          <w:b/>
          <w:bCs/>
        </w:rPr>
        <w:t>Assumption 5</w:t>
      </w:r>
      <w:r>
        <w:t xml:space="preserve">.  </w:t>
      </w:r>
      <w:r>
        <w:rPr>
          <w:i/>
          <w:iCs/>
        </w:rPr>
        <w:t xml:space="preserve">(Ecological cost allocation) Under the assumption that the ecology is a single entity for the whole basin involved in </w:t>
      </w:r>
      <m:oMath>
        <m:r>
          <w:rPr>
            <w:rFonts w:ascii="Cambria Math" w:hAnsi="Cambria Math"/>
          </w:rPr>
          <m:t>N</m:t>
        </m:r>
      </m:oMath>
      <w:r>
        <w:rPr>
          <w:i/>
          <w:iCs/>
        </w:rPr>
        <w:t xml:space="preserve"> provinces, the cost of water use is equally assigned to each province under any water use. The unit cost of water is a constant </w:t>
      </w:r>
      <m:oMath>
        <m:r>
          <w:rPr>
            <w:rFonts w:ascii="Cambria Math" w:hAnsi="Cambria Math"/>
          </w:rPr>
          <m:t>C</m:t>
        </m:r>
      </m:oMath>
      <w:r>
        <w:rPr>
          <w:i/>
          <w:iCs/>
        </w:rPr>
        <w:t>.</w:t>
      </w:r>
    </w:p>
    <w:p w14:paraId="66F4E810" w14:textId="77777777" w:rsidR="005471AE" w:rsidRDefault="005471AE" w:rsidP="005471AE">
      <w:pPr>
        <w:pStyle w:val="a0"/>
      </w:pPr>
      <w:r>
        <w:rPr>
          <w:b/>
          <w:bCs/>
        </w:rPr>
        <w:t>Assumption 6</w:t>
      </w:r>
      <w:r>
        <w:t xml:space="preserve">.  </w:t>
      </w:r>
      <w:r>
        <w:rPr>
          <w:i/>
          <w:iCs/>
        </w:rPr>
        <w:t xml:space="preserve">(Multi-period settings) There are infinite periods with a constant discount factor </w:t>
      </w:r>
      <m:oMath>
        <m:r>
          <w:rPr>
            <w:rFonts w:ascii="Cambria Math" w:hAnsi="Cambria Math"/>
          </w:rPr>
          <m:t>β</m:t>
        </m:r>
      </m:oMath>
      <w:r>
        <w:rPr>
          <w:i/>
          <w:iCs/>
        </w:rPr>
        <w:t xml:space="preserve"> lying in (0,1). There is no cross-period smoothing in water use.</w:t>
      </w:r>
    </w:p>
    <w:p w14:paraId="5C7794B0" w14:textId="77777777" w:rsidR="005471AE" w:rsidRDefault="005471AE" w:rsidP="005471AE">
      <w:pPr>
        <w:pStyle w:val="a0"/>
      </w:pPr>
      <w:r>
        <w:t>Under the above assumptions, we can demonstrate three cases to simulate the water use decision-making and water use patterns in a whole basin.</w:t>
      </w:r>
    </w:p>
    <w:p w14:paraId="72900CD6" w14:textId="77777777" w:rsidR="005471AE" w:rsidRDefault="005471AE" w:rsidP="005471AE">
      <w:pPr>
        <w:pStyle w:val="a0"/>
      </w:pPr>
      <w:r>
        <w:t>Under the above assumptions, we can demonstrate three cases consisting of local governments in a whole basin to simulate their water use decision-making and water use patterns.</w:t>
      </w:r>
    </w:p>
    <w:p w14:paraId="1B4952F9" w14:textId="77777777" w:rsidR="005471AE" w:rsidRDefault="005471AE" w:rsidP="005471AE">
      <w:pPr>
        <w:pStyle w:val="a0"/>
      </w:pPr>
      <w:r>
        <w:rPr>
          <w:b/>
          <w:bCs/>
        </w:rPr>
        <w:t>Case 1</w:t>
      </w:r>
      <w:r>
        <w:t xml:space="preserve">.  </w:t>
      </w:r>
      <w:r>
        <w:rPr>
          <w:i/>
          <w:iCs/>
        </w:rPr>
        <w:t>Dentralized decision: This case corresponds to a situation without any high-level water allocation institution.</w:t>
      </w:r>
    </w:p>
    <w:p w14:paraId="6700DD37" w14:textId="77777777" w:rsidR="005471AE" w:rsidRDefault="005471AE" w:rsidP="005471AE">
      <w:pPr>
        <w:pStyle w:val="a0"/>
      </w:pPr>
      <w:r>
        <w:rPr>
          <w:i/>
          <w:iCs/>
        </w:rPr>
        <w:t xml:space="preserve">When each province independently decides on its water use, the optimal water use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in province </w:t>
      </w:r>
      <m:oMath>
        <m:r>
          <w:rPr>
            <w:rFonts w:ascii="Cambria Math" w:hAnsi="Cambria Math"/>
          </w:rPr>
          <m:t>i</m:t>
        </m:r>
      </m:oMath>
      <w:r>
        <w:rPr>
          <w:i/>
          <w:iCs/>
        </w:rPr>
        <w:t xml:space="preserve"> satisfies:</w:t>
      </w:r>
    </w:p>
    <w:p w14:paraId="2733811E" w14:textId="77777777" w:rsidR="005471AE" w:rsidRDefault="005471AE" w:rsidP="005471AE">
      <w:pPr>
        <w:pStyle w:val="a0"/>
      </w:pPr>
      <m:oMath>
        <m:r>
          <w:rPr>
            <w:rFonts w:ascii="Cambria Math" w:hAnsi="Cambria Math"/>
          </w:rPr>
          <m:t>AF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den>
        </m:f>
      </m:oMath>
      <w:r>
        <w:rPr>
          <w:i/>
          <w:iCs/>
        </w:rPr>
        <w:t>,</w:t>
      </w:r>
    </w:p>
    <w:p w14:paraId="7DED1238" w14:textId="77777777" w:rsidR="005471AE" w:rsidRDefault="005471AE" w:rsidP="005471AE">
      <w:pPr>
        <w:pStyle w:val="a0"/>
      </w:pPr>
      <w:r>
        <w:rPr>
          <w:i/>
          <w:iCs/>
        </w:rPr>
        <w:t xml:space="preserve">where </w:t>
      </w:r>
      <m:oMath>
        <m:sSub>
          <m:sSubPr>
            <m:ctrlPr>
              <w:rPr>
                <w:rFonts w:ascii="Cambria Math" w:hAnsi="Cambria Math"/>
              </w:rPr>
            </m:ctrlPr>
          </m:sSubPr>
          <m:e>
            <m:r>
              <w:rPr>
                <w:rFonts w:ascii="Cambria Math" w:hAnsi="Cambria Math"/>
              </w:rPr>
              <m:t>A</m:t>
            </m:r>
          </m:e>
          <m:sub>
            <m:r>
              <w:rPr>
                <w:rFonts w:ascii="Cambria Math" w:hAnsi="Cambria Math"/>
              </w:rPr>
              <m:t>H</m:t>
            </m:r>
          </m:sub>
        </m:sSub>
      </m:oMath>
      <w:r>
        <w:rPr>
          <w:i/>
          <w:iCs/>
        </w:rPr>
        <w:t xml:space="preserve"> and </w:t>
      </w:r>
      <m:oMath>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denote high-incentive and low-incentive provinces, respectively.</w:t>
      </w:r>
    </w:p>
    <w:p w14:paraId="0AE0E2A3" w14:textId="77777777" w:rsidR="005471AE" w:rsidRDefault="005471AE" w:rsidP="005471AE">
      <w:pPr>
        <w:pStyle w:val="a0"/>
      </w:pPr>
      <w:r>
        <w:rPr>
          <w:i/>
          <w:iCs/>
        </w:rPr>
        <w:t xml:space="preserve">When the decisions in different periods are independent, for </w:t>
      </w:r>
      <m:oMath>
        <m:r>
          <w:rPr>
            <w:rFonts w:ascii="Cambria Math" w:hAnsi="Cambria Math"/>
          </w:rPr>
          <m:t>t</m:t>
        </m:r>
      </m:oMath>
      <w:r>
        <w:rPr>
          <w:i/>
          <w:iCs/>
        </w:rPr>
        <w:t xml:space="preserve"> = </w:t>
      </w:r>
      <m:oMath>
        <m:r>
          <w:rPr>
            <w:rFonts w:ascii="Cambria Math" w:hAnsi="Cambria Math"/>
          </w:rPr>
          <m:t>0</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rPr>
          <w:i/>
          <w:iCs/>
        </w:rPr>
        <w:t>, then:</w:t>
      </w:r>
    </w:p>
    <w:p w14:paraId="70633717" w14:textId="77777777" w:rsidR="005471AE" w:rsidRDefault="005471AE" w:rsidP="005471AE">
      <w:pPr>
        <w:pStyle w:val="a0"/>
      </w:pPr>
      <m:oMathPara>
        <m:oMath>
          <m:sSubSup>
            <m:sSubSupPr>
              <m:ctrlPr>
                <w:rPr>
                  <w:rFonts w:ascii="Cambria Math" w:hAnsi="Cambria Math"/>
                </w:rPr>
              </m:ctrlPr>
            </m:sSubSupPr>
            <m:e>
              <m:r>
                <w:rPr>
                  <w:rFonts w:ascii="Cambria Math" w:hAnsi="Cambria Math"/>
                </w:rPr>
                <m:t>x</m:t>
              </m:r>
            </m:e>
            <m:sub>
              <m:r>
                <w:rPr>
                  <w:rFonts w:ascii="Cambria Math" w:hAnsi="Cambria Math"/>
                </w:rPr>
                <m:t>it</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m:oMathPara>
    </w:p>
    <w:p w14:paraId="2945702F" w14:textId="77777777" w:rsidR="005471AE" w:rsidRDefault="005471AE" w:rsidP="005471AE">
      <w:pPr>
        <w:pStyle w:val="a0"/>
      </w:pPr>
      <w:r>
        <w:rPr>
          <w:b/>
          <w:bCs/>
        </w:rPr>
        <w:t>Case 2</w:t>
      </w:r>
      <w:r>
        <w:t xml:space="preserve">.  </w:t>
      </w:r>
      <w:r>
        <w:rPr>
          <w:i/>
          <w:iCs/>
        </w:rPr>
        <w:t>Mismatched decision: This case corresponds to a mismatched institution.</w:t>
      </w:r>
    </w:p>
    <w:p w14:paraId="67ED743E" w14:textId="77777777" w:rsidR="005471AE" w:rsidRDefault="005471AE" w:rsidP="005471AE">
      <w:pPr>
        <w:pStyle w:val="a0"/>
      </w:pPr>
      <w:r>
        <w:rPr>
          <w:i/>
          <w:iCs/>
        </w:rPr>
        <w:t xml:space="preserve">The water quota is determined at </w:t>
      </w:r>
      <m:oMath>
        <m:r>
          <w:rPr>
            <w:rFonts w:ascii="Cambria Math" w:hAnsi="Cambria Math"/>
          </w:rPr>
          <m:t>t</m:t>
        </m:r>
      </m:oMath>
      <w:r>
        <w:rPr>
          <w:i/>
          <w:iCs/>
        </w:rPr>
        <w:t xml:space="preserve">=0 and imposed in </w:t>
      </w:r>
      <m:oMath>
        <m:r>
          <w:rPr>
            <w:rFonts w:ascii="Cambria Math" w:hAnsi="Cambria Math"/>
          </w:rPr>
          <m:t>t</m:t>
        </m:r>
      </m:oMath>
      <w:r>
        <w:rPr>
          <w:i/>
          <w:iCs/>
        </w:rPr>
        <w:t xml:space="preserve">=1,2,... Under the subjective expectation of each province that current water use may influence the future water allocation </w:t>
      </w:r>
      <w:r>
        <w:rPr>
          <w:i/>
          <w:iCs/>
        </w:rPr>
        <w:lastRenderedPageBreak/>
        <w:t xml:space="preserve">determined by high-level authorities, the total quota is a constant denoted as Q, and the quota for province </w:t>
      </w:r>
      <m:oMath>
        <m:r>
          <w:rPr>
            <w:rFonts w:ascii="Cambria Math" w:hAnsi="Cambria Math"/>
          </w:rPr>
          <m:t>i</m:t>
        </m:r>
      </m:oMath>
      <w:r>
        <w:rPr>
          <w:i/>
          <w:iCs/>
        </w:rPr>
        <w:t xml:space="preserve"> is determined in a proportional form:</w:t>
      </w:r>
    </w:p>
    <w:p w14:paraId="1B915F11" w14:textId="77777777" w:rsidR="005471AE" w:rsidRDefault="005471AE" w:rsidP="005471AE">
      <w:pPr>
        <w:pStyle w:val="a0"/>
      </w:pPr>
      <m:oMath>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sub>
                  </m:sSub>
                </m:e>
              </m:mr>
            </m:m>
          </m:den>
        </m:f>
      </m:oMath>
      <w:r>
        <w:rPr>
          <w:i/>
          <w:iCs/>
        </w:rPr>
        <w:t>.</w:t>
      </w:r>
    </w:p>
    <w:p w14:paraId="32F8E246" w14:textId="77777777" w:rsidR="005471AE" w:rsidRDefault="005471AE" w:rsidP="005471AE">
      <w:pPr>
        <w:pStyle w:val="a0"/>
      </w:pPr>
      <w:r>
        <w:rPr>
          <w:i/>
          <w:iCs/>
        </w:rPr>
        <w:t xml:space="preserve">Under a scenario with decentralized decision-making with a water quota, given other provinces’ decisions on water use remain unchanged, the optimal water use of province </w:t>
      </w:r>
      <m:oMath>
        <m:r>
          <w:rPr>
            <w:rFonts w:ascii="Cambria Math" w:hAnsi="Cambria Math"/>
          </w:rPr>
          <m:t>i</m:t>
        </m:r>
      </m:oMath>
      <w:r>
        <w:rPr>
          <w:i/>
          <w:iCs/>
        </w:rPr>
        <w:t xml:space="preserve"> at </w:t>
      </w:r>
      <m:oMath>
        <m:r>
          <w:rPr>
            <w:rFonts w:ascii="Cambria Math" w:hAnsi="Cambria Math"/>
          </w:rPr>
          <m:t>t</m:t>
        </m:r>
      </m:oMath>
      <w:r>
        <w:rPr>
          <w:i/>
          <w:iCs/>
        </w:rPr>
        <w:t>=0 satisfies:</w:t>
      </w:r>
    </w:p>
    <w:p w14:paraId="110D5BC4" w14:textId="77777777" w:rsidR="005471AE" w:rsidRDefault="005471AE" w:rsidP="005471AE">
      <w:pPr>
        <w:pStyle w:val="a0"/>
      </w:pPr>
      <m:oMath>
        <m:r>
          <w:rPr>
            <w:rFonts w:ascii="Cambria Math" w:hAnsi="Cambria Math"/>
          </w:rPr>
          <m:t>AF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r>
              <m:rPr>
                <m:sty m:val="p"/>
              </m:rPr>
              <w:rPr>
                <w:rFonts w:ascii="Cambria Math" w:hAnsi="Cambria Math"/>
              </w:rPr>
              <m:t>⋅</m:t>
            </m:r>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oMath>
      <w:r>
        <w:rPr>
          <w:i/>
          <w:iCs/>
        </w:rPr>
        <w:t>,</w:t>
      </w:r>
    </w:p>
    <w:p w14:paraId="48863ADB" w14:textId="77777777" w:rsidR="005471AE" w:rsidRDefault="005471AE" w:rsidP="005471AE">
      <w:pPr>
        <w:pStyle w:val="a0"/>
      </w:pPr>
      <w:r>
        <w:rPr>
          <w:i/>
          <w:iCs/>
        </w:rPr>
        <w:t xml:space="preserve">where </w:t>
      </w:r>
      <m:oMath>
        <m:sSub>
          <m:sSubPr>
            <m:ctrlPr>
              <w:rPr>
                <w:rFonts w:ascii="Cambria Math" w:hAnsi="Cambria Math"/>
              </w:rPr>
            </m:ctrlPr>
          </m:sSubPr>
          <m:e>
            <m:r>
              <w:rPr>
                <w:rFonts w:ascii="Cambria Math" w:hAnsi="Cambria Math"/>
              </w:rPr>
              <m:t>A</m:t>
            </m:r>
          </m:e>
          <m:sub>
            <m:r>
              <w:rPr>
                <w:rFonts w:ascii="Cambria Math" w:hAnsi="Cambria Math"/>
              </w:rPr>
              <m:t>H</m:t>
            </m:r>
          </m:sub>
        </m:sSub>
      </m:oMath>
      <w:r>
        <w:rPr>
          <w:i/>
          <w:iCs/>
        </w:rPr>
        <w:t xml:space="preserve"> denotes a high-incentive province and </w:t>
      </w:r>
      <m:oMath>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denotes a low-incentive province.</w:t>
      </w:r>
    </w:p>
    <w:p w14:paraId="608CB66D" w14:textId="77777777" w:rsidR="005471AE" w:rsidRDefault="005471AE" w:rsidP="005471AE">
      <w:pPr>
        <w:pStyle w:val="a0"/>
      </w:pPr>
      <w:r>
        <w:rPr>
          <w:b/>
          <w:bCs/>
        </w:rPr>
        <w:t>Case 3</w:t>
      </w:r>
      <w:r>
        <w:t xml:space="preserve">.  </w:t>
      </w:r>
      <w:r>
        <w:rPr>
          <w:i/>
          <w:iCs/>
        </w:rPr>
        <w:t>Matched institution: This case corresponds to the institution under which water use in a basin is centrally managed.</w:t>
      </w:r>
    </w:p>
    <w:p w14:paraId="113F6FC2" w14:textId="77777777" w:rsidR="005471AE" w:rsidRDefault="005471AE" w:rsidP="005471AE">
      <w:pPr>
        <w:pStyle w:val="a0"/>
      </w:pPr>
      <w:r>
        <w:rPr>
          <w:i/>
          <w:iCs/>
        </w:rPr>
        <w:t xml:space="preserve">When the </w:t>
      </w:r>
      <m:oMath>
        <m:r>
          <w:rPr>
            <w:rFonts w:ascii="Cambria Math" w:hAnsi="Cambria Math"/>
          </w:rPr>
          <m:t>N</m:t>
        </m:r>
      </m:oMath>
      <w:r>
        <w:rPr>
          <w:i/>
          <w:iCs/>
        </w:rPr>
        <w:t xml:space="preserve"> provinces decide on water use as a unified whole (e.g., the central government completely decides and controls the water use in each province), the optimal water use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of province </w:t>
      </w:r>
      <m:oMath>
        <m:r>
          <w:rPr>
            <w:rFonts w:ascii="Cambria Math" w:hAnsi="Cambria Math"/>
          </w:rPr>
          <m:t>i</m:t>
        </m:r>
      </m:oMath>
      <w:r>
        <w:rPr>
          <w:i/>
          <w:iCs/>
        </w:rPr>
        <w:t xml:space="preserve"> satisfies:</w:t>
      </w:r>
    </w:p>
    <w:p w14:paraId="49AF1821" w14:textId="77777777" w:rsidR="005471AE" w:rsidRDefault="005471AE" w:rsidP="005471AE">
      <w:pPr>
        <w:pStyle w:val="a0"/>
      </w:pP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den>
        </m:f>
      </m:oMath>
      <w:r>
        <w:rPr>
          <w:i/>
          <w:iCs/>
        </w:rPr>
        <w:t>.</w:t>
      </w:r>
    </w:p>
    <w:p w14:paraId="5D3D7BBC" w14:textId="77777777" w:rsidR="005471AE" w:rsidRDefault="005471AE" w:rsidP="005471AE">
      <w:pPr>
        <w:pStyle w:val="a0"/>
      </w:pPr>
      <w:r>
        <w:t>We propose Proposition 1 and Proposition 2:</w:t>
      </w:r>
    </w:p>
    <w:p w14:paraId="1AC0BBA8" w14:textId="77777777" w:rsidR="005471AE" w:rsidRDefault="005471AE" w:rsidP="005471AE">
      <w:pPr>
        <w:pStyle w:val="a0"/>
      </w:pPr>
      <w:r>
        <w:t>Proposition 1: Compared with the decentralized institution, a matched institution with unified management decreases total water use.</w:t>
      </w:r>
    </w:p>
    <w:p w14:paraId="6EEBE622" w14:textId="77777777" w:rsidR="005471AE" w:rsidRDefault="005471AE" w:rsidP="005471AE">
      <w:pPr>
        <w:pStyle w:val="a0"/>
      </w:pPr>
      <w:r>
        <w:t>The optimal water use under the three cases implies that mismatched institutions cause incentive distortions and lead to resource overuse.</w:t>
      </w:r>
    </w:p>
    <w:p w14:paraId="6AE898D7" w14:textId="77777777" w:rsidR="005471AE" w:rsidRDefault="005471AE" w:rsidP="005471AE">
      <w:pPr>
        <w:pStyle w:val="a0"/>
      </w:pPr>
      <w:r>
        <w:t>Proposition 2: Water overuse is higher among provinces with high water use incentives than low- water use incentives under a mismatched institution.</w:t>
      </w:r>
    </w:p>
    <w:p w14:paraId="783C5EEC" w14:textId="77777777" w:rsidR="005471AE" w:rsidRDefault="005471AE" w:rsidP="005471AE">
      <w:pPr>
        <w:pStyle w:val="a0"/>
      </w:pPr>
      <w:r>
        <w:t xml:space="preserve">The intuition for this proposition is straightforward in that all provinces would use up their allocated quota under a relatively small </w:t>
      </w:r>
      <m:oMath>
        <m:r>
          <w:rPr>
            <w:rFonts w:ascii="Cambria Math" w:hAnsi="Cambria Math"/>
          </w:rPr>
          <m:t>Q</m:t>
        </m:r>
      </m:oMath>
      <w:r>
        <w:t>. As production efficiency increases, the marginal benefits of a unit quota increase, and the quota would provide higher future benefits for a pre-emptive water use strategy. Provinces with high production efficiency have higher optimal water use values under the decentralized decision. The divergence in water use would be exaggerated when the water quota is expected to be implemented with greater competition.</w:t>
      </w:r>
    </w:p>
    <w:p w14:paraId="3F127673" w14:textId="77777777" w:rsidR="005471AE" w:rsidRDefault="005471AE" w:rsidP="005471AE">
      <w:pPr>
        <w:pStyle w:val="a0"/>
      </w:pPr>
      <w:r>
        <w:t>Extensions of the model are shown in Supplementary Material S3.</w:t>
      </w:r>
    </w:p>
    <w:p w14:paraId="4256F737" w14:textId="77777777" w:rsidR="005471AE" w:rsidRDefault="005471AE" w:rsidP="005471AE">
      <w:pPr>
        <w:pStyle w:val="a0"/>
      </w:pPr>
      <w:r>
        <w:t>Appendix: Water Use Optimization</w:t>
      </w:r>
    </w:p>
    <w:p w14:paraId="1D56BFDD" w14:textId="77777777" w:rsidR="005471AE" w:rsidRDefault="005471AE" w:rsidP="005471AE">
      <w:pPr>
        <w:pStyle w:val="a0"/>
      </w:pPr>
      <w:r>
        <w:rPr>
          <w:b/>
          <w:bCs/>
        </w:rPr>
        <w:t>Case 1</w:t>
      </w:r>
      <w:r>
        <w:t xml:space="preserve">.  </w:t>
      </w:r>
      <w:r>
        <w:rPr>
          <w:i/>
          <w:iCs/>
        </w:rPr>
        <w:t>Centralized decision</w:t>
      </w:r>
    </w:p>
    <w:p w14:paraId="240B54AF" w14:textId="77777777" w:rsidR="005471AE" w:rsidRDefault="005471AE" w:rsidP="005471AE">
      <w:pPr>
        <w:pStyle w:val="a0"/>
      </w:pPr>
      <w:r>
        <w:rPr>
          <w:i/>
          <w:iCs/>
        </w:rPr>
        <w:t xml:space="preserve">When the N provinces decide on water uses as a unity, the marginal cost is C, equal to its fixed unit cost. The water use of province </w:t>
      </w:r>
      <m:oMath>
        <m:r>
          <w:rPr>
            <w:rFonts w:ascii="Cambria Math" w:hAnsi="Cambria Math"/>
          </w:rPr>
          <m:t>i</m:t>
        </m:r>
      </m:oMath>
      <w:r>
        <w:rPr>
          <w:i/>
          <w:iCs/>
        </w:rPr>
        <w:t xml:space="preserve"> aims to maximize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m:t>
        </m:r>
      </m:oMath>
      <w:r>
        <w:rPr>
          <w:i/>
          <w:iCs/>
        </w:rPr>
        <w:t xml:space="preserve">. Hence,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satisfies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C</m:t>
        </m:r>
      </m:oMath>
      <w:r>
        <w:rPr>
          <w:i/>
          <w:iCs/>
        </w:rPr>
        <w:t xml:space="preserve">, i.e., </w:t>
      </w:r>
      <m:oMath>
        <m:r>
          <w:rPr>
            <w:rFonts w:ascii="Cambria Math" w:hAnsi="Cambria Math"/>
          </w:rPr>
          <m:t>AF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den>
        </m:f>
      </m:oMath>
      <w:r>
        <w:rPr>
          <w:i/>
          <w:iCs/>
        </w:rPr>
        <w:t xml:space="preserve">, where A denotes </w:t>
      </w:r>
      <m:oMath>
        <m:sSub>
          <m:sSubPr>
            <m:ctrlPr>
              <w:rPr>
                <w:rFonts w:ascii="Cambria Math" w:hAnsi="Cambria Math"/>
              </w:rPr>
            </m:ctrlPr>
          </m:sSubPr>
          <m:e>
            <m:r>
              <w:rPr>
                <w:rFonts w:ascii="Cambria Math" w:hAnsi="Cambria Math"/>
              </w:rPr>
              <m:t>A</m:t>
            </m:r>
          </m:e>
          <m:sub>
            <m:r>
              <w:rPr>
                <w:rFonts w:ascii="Cambria Math" w:hAnsi="Cambria Math"/>
              </w:rPr>
              <m:t>H</m:t>
            </m:r>
          </m:sub>
        </m:sSub>
      </m:oMath>
      <w:r>
        <w:rPr>
          <w:i/>
          <w:iCs/>
        </w:rPr>
        <w:t xml:space="preserve"> for a high-incentive province and </w:t>
      </w:r>
      <m:oMath>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for a low-incentive province.</w:t>
      </w:r>
    </w:p>
    <w:p w14:paraId="61BC776B" w14:textId="77777777" w:rsidR="005471AE" w:rsidRDefault="005471AE" w:rsidP="005471AE">
      <w:pPr>
        <w:pStyle w:val="a0"/>
      </w:pPr>
      <w:r>
        <w:rPr>
          <w:b/>
          <w:bCs/>
        </w:rPr>
        <w:t>Case 2</w:t>
      </w:r>
      <w:r>
        <w:t xml:space="preserve">.  </w:t>
      </w:r>
      <w:r>
        <w:rPr>
          <w:i/>
          <w:iCs/>
        </w:rPr>
        <w:t>Decentralized decision</w:t>
      </w:r>
    </w:p>
    <w:p w14:paraId="163E2668" w14:textId="77777777" w:rsidR="005471AE" w:rsidRDefault="005471AE" w:rsidP="005471AE">
      <w:pPr>
        <w:pStyle w:val="a0"/>
      </w:pPr>
      <w:r>
        <w:rPr>
          <w:i/>
          <w:iCs/>
        </w:rPr>
        <w:t xml:space="preserve">When each of the N provinces independently decides on its water use, the marginal cost of water use would be </w:t>
      </w:r>
      <m:oMath>
        <m:f>
          <m:fPr>
            <m:ctrlPr>
              <w:rPr>
                <w:rFonts w:ascii="Cambria Math" w:hAnsi="Cambria Math"/>
              </w:rPr>
            </m:ctrlPr>
          </m:fPr>
          <m:num>
            <m:r>
              <w:rPr>
                <w:rFonts w:ascii="Cambria Math" w:hAnsi="Cambria Math"/>
              </w:rPr>
              <m:t>C</m:t>
            </m:r>
          </m:num>
          <m:den>
            <m:r>
              <w:rPr>
                <w:rFonts w:ascii="Cambria Math" w:hAnsi="Cambria Math"/>
              </w:rPr>
              <m:t>N</m:t>
            </m:r>
          </m:den>
        </m:f>
      </m:oMath>
      <w:r>
        <w:rPr>
          <w:i/>
          <w:iCs/>
        </w:rPr>
        <w:t xml:space="preserve"> as a result of cost-sharing with others. Hence, the optimal water use in province i at period t, denoted as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oMath>
      <w:r>
        <w:rPr>
          <w:i/>
          <w:iCs/>
        </w:rPr>
        <w:t xml:space="preserve">, satisfies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it</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oMath>
      <w:r>
        <w:rPr>
          <w:i/>
          <w:iCs/>
        </w:rPr>
        <w:t xml:space="preserve">, i.e., </w:t>
      </w:r>
      <m:oMath>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r>
              <m:rPr>
                <m:sty m:val="p"/>
              </m:rPr>
              <w:rPr>
                <w:rFonts w:ascii="Cambria Math" w:hAnsi="Cambria Math"/>
              </w:rPr>
              <m:t>⋅</m:t>
            </m:r>
            <m:r>
              <w:rPr>
                <w:rFonts w:ascii="Cambria Math" w:hAnsi="Cambria Math"/>
              </w:rPr>
              <m:t>N</m:t>
            </m:r>
          </m:den>
        </m:f>
      </m:oMath>
      <w:r>
        <w:rPr>
          <w:i/>
          <w:iCs/>
        </w:rPr>
        <w:t xml:space="preserve">. Since </w:t>
      </w:r>
      <m:oMath>
        <m:r>
          <w:rPr>
            <w:rFonts w:ascii="Cambria Math" w:hAnsi="Cambria Math"/>
          </w:rPr>
          <m:t>F</m:t>
        </m:r>
        <m:r>
          <m:rPr>
            <m:sty m:val="p"/>
          </m:rPr>
          <w:rPr>
            <w:rFonts w:ascii="Cambria Math" w:hAnsi="Cambria Math"/>
          </w:rPr>
          <m:t>'</m:t>
        </m:r>
      </m:oMath>
      <w:r>
        <w:rPr>
          <w:i/>
          <w:iCs/>
        </w:rPr>
        <w:t xml:space="preserve"> is monotonically decreasing,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it</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w:t>
      </w:r>
    </w:p>
    <w:p w14:paraId="695411C9" w14:textId="77777777" w:rsidR="005471AE" w:rsidRDefault="005471AE" w:rsidP="005471AE">
      <w:pPr>
        <w:pStyle w:val="a0"/>
      </w:pPr>
      <w:r>
        <w:rPr>
          <w:b/>
          <w:bCs/>
        </w:rPr>
        <w:lastRenderedPageBreak/>
        <w:t>Case 3</w:t>
      </w:r>
      <w:r>
        <w:t xml:space="preserve">.  </w:t>
      </w:r>
      <w:r>
        <w:rPr>
          <w:i/>
          <w:iCs/>
        </w:rPr>
        <w:t>Forward-looking decentralized decision under quota restrictions</w:t>
      </w:r>
    </w:p>
    <w:p w14:paraId="593B3A17" w14:textId="77777777" w:rsidR="005471AE" w:rsidRDefault="005471AE" w:rsidP="005471AE">
      <w:pPr>
        <w:pStyle w:val="a0"/>
      </w:pPr>
      <w:r>
        <w:rPr>
          <w:i/>
          <w:iCs/>
        </w:rPr>
        <w:t xml:space="preserve">When the water quota would constrain future water use, the dynamic optimization problem of province i is shown as follows. In </w:t>
      </w:r>
      <m:oMath>
        <m:r>
          <w:rPr>
            <w:rFonts w:ascii="Cambria Math" w:hAnsi="Cambria Math"/>
          </w:rPr>
          <m:t>t</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rPr>
          <w:i/>
          <w:iCs/>
        </w:rPr>
        <w:t xml:space="preserve">, there would be no relevant cost when the quota is bound that each province takes ongoing costs of </w:t>
      </w:r>
      <m:oMath>
        <m:f>
          <m:fPr>
            <m:ctrlPr>
              <w:rPr>
                <w:rFonts w:ascii="Cambria Math" w:hAnsi="Cambria Math"/>
              </w:rPr>
            </m:ctrlPr>
          </m:fPr>
          <m:num>
            <m:r>
              <w:rPr>
                <w:rFonts w:ascii="Cambria Math" w:hAnsi="Cambria Math"/>
              </w:rPr>
              <m:t>P</m:t>
            </m:r>
            <m:r>
              <m:rPr>
                <m:sty m:val="p"/>
              </m:rPr>
              <w:rPr>
                <w:rFonts w:ascii="Cambria Math" w:hAnsi="Cambria Math"/>
              </w:rPr>
              <m:t>⋅</m:t>
            </m:r>
            <m:r>
              <w:rPr>
                <w:rFonts w:ascii="Cambria Math" w:hAnsi="Cambria Math"/>
              </w:rPr>
              <m:t>Q</m:t>
            </m:r>
          </m:num>
          <m:den>
            <m:r>
              <w:rPr>
                <w:rFonts w:ascii="Cambria Math" w:hAnsi="Cambria Math"/>
              </w:rPr>
              <m:t>N</m:t>
            </m:r>
          </m:den>
        </m:f>
      </m:oMath>
      <w:r>
        <w:rPr>
          <w:i/>
          <w:iCs/>
        </w:rPr>
        <w:t xml:space="preserve"> regardless of the allocation. Therefore, it is sufficient to consider only the total water quota is less than total water use in Case 2 since a “too large” quota doesn’t make sense for ecological policies.</w:t>
      </w:r>
    </w:p>
    <w:p w14:paraId="503057AD" w14:textId="77777777" w:rsidR="005471AE" w:rsidRDefault="005471AE" w:rsidP="005471AE">
      <w:pPr>
        <w:pStyle w:val="a0"/>
      </w:pPr>
      <m:oMathPara>
        <m:oMath>
          <m:r>
            <w:rPr>
              <w:rFonts w:ascii="Cambria Math" w:hAnsi="Cambria Math"/>
            </w:rPr>
            <m:t>max P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r>
                <w:rPr>
                  <w:rFonts w:ascii="Cambria Math" w:hAnsi="Cambria Math"/>
                </w:rPr>
                <m:t>N</m:t>
              </m:r>
            </m:den>
          </m:f>
          <m:r>
            <m:rPr>
              <m:sty m:val="p"/>
            </m:rPr>
            <w:rPr>
              <w:rFonts w:ascii="Cambria Math" w:hAnsi="Cambria Math"/>
            </w:rPr>
            <m:t>+</m:t>
          </m:r>
          <m:r>
            <w:rPr>
              <w:rFonts w:ascii="Cambria Math" w:hAnsi="Cambria Math"/>
            </w:rPr>
            <m:t>βP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1</m:t>
                  </m:r>
                </m:sub>
              </m:sSub>
            </m:e>
          </m:d>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2</m:t>
              </m:r>
            </m:sup>
          </m:sSup>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2</m:t>
                  </m:r>
                </m:sub>
              </m:sSub>
            </m:e>
          </m:d>
          <m:r>
            <m:rPr>
              <m:sty m:val="p"/>
            </m:rPr>
            <w:rPr>
              <w:rFonts w:ascii="Cambria Math" w:hAnsi="Cambria Math"/>
            </w:rPr>
            <m:t>+...</m:t>
          </m:r>
        </m:oMath>
      </m:oMathPara>
    </w:p>
    <w:p w14:paraId="69A06116" w14:textId="77777777" w:rsidR="005471AE" w:rsidRDefault="005471AE" w:rsidP="005471AE">
      <w:pPr>
        <w:pStyle w:val="a0"/>
      </w:pPr>
      <m:oMathPara>
        <m:oMath>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r>
            <w:rPr>
              <w:rFonts w:ascii="Cambria Math" w:hAnsi="Cambria Math"/>
            </w:rPr>
            <m:t>C</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oMath>
      </m:oMathPara>
    </w:p>
    <w:p w14:paraId="48B96FA5" w14:textId="77777777" w:rsidR="005471AE" w:rsidRDefault="005471AE" w:rsidP="005471AE">
      <w:pPr>
        <w:pStyle w:val="a0"/>
      </w:pPr>
      <w:r>
        <w:rPr>
          <w:i/>
          <w:iCs/>
        </w:rPr>
        <w:t xml:space="preserve">First-order condition: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e>
        </m:d>
        <m:r>
          <m:rPr>
            <m:sty m:val="p"/>
          </m:rPr>
          <w:rPr>
            <w:rFonts w:ascii="Cambria Math" w:hAnsi="Cambria Math"/>
          </w:rPr>
          <m:t>=</m:t>
        </m:r>
        <m:r>
          <w:rPr>
            <w:rFonts w:ascii="Cambria Math" w:hAnsi="Cambria Math"/>
          </w:rPr>
          <m:t>0</m:t>
        </m:r>
      </m:oMath>
    </w:p>
    <w:p w14:paraId="0CFCE0F1" w14:textId="77777777" w:rsidR="005471AE" w:rsidRDefault="005471AE" w:rsidP="005471AE">
      <w:pPr>
        <w:pStyle w:val="a0"/>
      </w:pPr>
      <w:r>
        <w:rPr>
          <w:i/>
          <w:iCs/>
        </w:rPr>
        <w:t xml:space="preserve">where </w:t>
      </w:r>
      <m:oMath>
        <m:r>
          <w:rPr>
            <w:rFonts w:ascii="Cambria Math" w:hAnsi="Cambria Math"/>
          </w:rPr>
          <m:t>f</m:t>
        </m:r>
        <m:d>
          <m:dPr>
            <m:ctrlPr>
              <w:rPr>
                <w:rFonts w:ascii="Cambria Math" w:hAnsi="Cambria Math"/>
              </w:rPr>
            </m:ctrlPr>
          </m:dPr>
          <m:e>
            <m:r>
              <m:rPr>
                <m:sty m:val="p"/>
              </m:rPr>
              <w:rPr>
                <w:rFonts w:ascii="Cambria Math" w:hAnsi="Cambria Math"/>
              </w:rPr>
              <m:t>⋅</m:t>
            </m:r>
          </m:e>
        </m:d>
      </m:oMath>
      <w:r>
        <w:rPr>
          <w:i/>
          <w:iCs/>
        </w:rPr>
        <w:t xml:space="preserve"> is the differential function of </w:t>
      </w:r>
      <m:oMath>
        <m:r>
          <w:rPr>
            <w:rFonts w:ascii="Cambria Math" w:hAnsi="Cambria Math"/>
          </w:rPr>
          <m:t>F</m:t>
        </m:r>
        <m:d>
          <m:dPr>
            <m:ctrlPr>
              <w:rPr>
                <w:rFonts w:ascii="Cambria Math" w:hAnsi="Cambria Math"/>
              </w:rPr>
            </m:ctrlPr>
          </m:dPr>
          <m:e>
            <m:r>
              <m:rPr>
                <m:sty m:val="p"/>
              </m:rPr>
              <w:rPr>
                <w:rFonts w:ascii="Cambria Math" w:hAnsi="Cambria Math"/>
              </w:rPr>
              <m:t>⋅</m:t>
            </m:r>
          </m:e>
        </m:d>
      </m:oMath>
      <w:r>
        <w:rPr>
          <w:i/>
          <w:iCs/>
        </w:rPr>
        <w:t>.</w:t>
      </w:r>
    </w:p>
    <w:p w14:paraId="5C4E226A" w14:textId="77777777" w:rsidR="005471AE" w:rsidRDefault="005471AE" w:rsidP="005471AE">
      <w:pPr>
        <w:pStyle w:val="a0"/>
      </w:pPr>
      <w:r>
        <w:rPr>
          <w:i/>
          <w:iCs/>
        </w:rPr>
        <w:t xml:space="preserve">The optimal water use in province i at t=0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r>
              <m:rPr>
                <m:sty m:val="p"/>
              </m:rPr>
              <w:rPr>
                <w:rFonts w:ascii="Cambria Math" w:hAnsi="Cambria Math"/>
              </w:rPr>
              <m:t>,</m:t>
            </m:r>
            <m:r>
              <w:rPr>
                <w:rFonts w:ascii="Cambria Math" w:hAnsi="Cambria Math"/>
              </w:rPr>
              <m:t>0</m:t>
            </m:r>
          </m:sub>
          <m:sup>
            <m:r>
              <m:rPr>
                <m:sty m:val="p"/>
              </m:rPr>
              <w:rPr>
                <w:rFonts w:ascii="Cambria Math" w:hAnsi="Cambria Math"/>
              </w:rPr>
              <m:t>*</m:t>
            </m:r>
          </m:sup>
        </m:sSubSup>
      </m:oMath>
      <w:r>
        <w:rPr>
          <w:i/>
          <w:iCs/>
        </w:rPr>
        <w:t xml:space="preserve"> satisfies </w:t>
      </w:r>
      <m:oMath>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oMath>
      <w:r>
        <w:rPr>
          <w:i/>
          <w:iCs/>
        </w:rPr>
        <w:t xml:space="preserve">, i.e., </w:t>
      </w:r>
      <m:oMath>
        <m:r>
          <w:rPr>
            <w:rFonts w:ascii="Cambria Math" w:hAnsi="Cambria Math"/>
          </w:rPr>
          <m:t>A</m:t>
        </m:r>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P</m:t>
            </m:r>
            <m:r>
              <m:rPr>
                <m:sty m:val="p"/>
              </m:rPr>
              <w:rPr>
                <w:rFonts w:ascii="Cambria Math" w:hAnsi="Cambria Math"/>
              </w:rPr>
              <m:t>⋅</m:t>
            </m:r>
            <m:r>
              <w:rPr>
                <w:rFonts w:ascii="Cambria Math" w:hAnsi="Cambria Math"/>
              </w:rPr>
              <m:t>N</m:t>
            </m:r>
          </m:den>
        </m:f>
        <m:r>
          <m:rPr>
            <m:sty m:val="p"/>
          </m:rPr>
          <w:rPr>
            <w:rFonts w:ascii="Cambria Math" w:hAnsi="Cambria Math"/>
          </w:rPr>
          <m:t>-</m:t>
        </m:r>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oMath>
      <w:r>
        <w:rPr>
          <w:i/>
          <w:iCs/>
        </w:rPr>
        <w:t>.</w:t>
      </w:r>
    </w:p>
    <w:p w14:paraId="3C8B246F" w14:textId="77777777" w:rsidR="005471AE" w:rsidRDefault="005471AE" w:rsidP="005471AE">
      <w:pPr>
        <w:pStyle w:val="a0"/>
      </w:pPr>
      <w:r>
        <w:rPr>
          <w:i/>
          <w:iCs/>
        </w:rPr>
        <w:t xml:space="preserve">Since </w:t>
      </w:r>
      <m:oMath>
        <m:r>
          <w:rPr>
            <w:rFonts w:ascii="Cambria Math" w:hAnsi="Cambria Math"/>
          </w:rPr>
          <m:t>F</m:t>
        </m:r>
        <m:r>
          <m:rPr>
            <m:sty m:val="p"/>
          </m:rPr>
          <w:rPr>
            <w:rFonts w:ascii="Cambria Math" w:hAnsi="Cambria Math"/>
          </w:rPr>
          <m:t>'&gt;</m:t>
        </m:r>
        <m:r>
          <w:rPr>
            <w:rFonts w:ascii="Cambria Math" w:hAnsi="Cambria Math"/>
          </w:rPr>
          <m:t>0</m:t>
        </m:r>
      </m:oMath>
      <w:r>
        <w:rPr>
          <w:i/>
          <w:iCs/>
        </w:rPr>
        <w:t xml:space="preserve"> and </w:t>
      </w:r>
      <m:oMath>
        <m:r>
          <w:rPr>
            <w:rFonts w:ascii="Cambria Math" w:hAnsi="Cambria Math"/>
          </w:rPr>
          <m:t>F</m:t>
        </m:r>
        <m:r>
          <m:rPr>
            <m:sty m:val="p"/>
          </m:rPr>
          <w:rPr>
            <w:rFonts w:ascii="Cambria Math" w:hAnsi="Cambria Math"/>
          </w:rPr>
          <m:t>″&lt;</m:t>
        </m:r>
        <m:r>
          <w:rPr>
            <w:rFonts w:ascii="Cambria Math" w:hAnsi="Cambria Math"/>
          </w:rPr>
          <m:t>0</m:t>
        </m:r>
      </m:oMath>
      <w:r>
        <w:rPr>
          <w:i/>
          <w:iCs/>
        </w:rPr>
        <w:t xml:space="preserve">,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taken others’ water use </w:t>
      </w:r>
      <m:oMath>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oMath>
      <w:r>
        <w:rPr>
          <w:i/>
          <w:iCs/>
        </w:rPr>
        <w:t xml:space="preserve"> as given. Since the provincial water use decisions are exactly symmetric, total water use would increase when each province has higher incentives for current water use.</w:t>
      </w:r>
    </w:p>
    <w:p w14:paraId="41018DB1" w14:textId="77777777" w:rsidR="005471AE" w:rsidRDefault="005471AE" w:rsidP="005471AE">
      <w:pPr>
        <w:pStyle w:val="a0"/>
      </w:pPr>
      <w:r>
        <w:rPr>
          <w:i/>
          <w:iCs/>
        </w:rPr>
        <w:t>Proof of Proposition 1:</w:t>
      </w:r>
    </w:p>
    <w:p w14:paraId="73A59132" w14:textId="77777777" w:rsidR="005471AE" w:rsidRDefault="005471AE" w:rsidP="005471AE">
      <w:pPr>
        <w:pStyle w:val="a0"/>
      </w:pPr>
      <w:r>
        <w:rPr>
          <w:i/>
          <w:iCs/>
        </w:rPr>
        <w:t xml:space="preserve">Because </w:t>
      </w:r>
      <m:oMath>
        <m:r>
          <w:rPr>
            <w:rFonts w:ascii="Cambria Math" w:hAnsi="Cambria Math"/>
          </w:rPr>
          <m:t>F</m:t>
        </m:r>
        <m:r>
          <m:rPr>
            <m:sty m:val="p"/>
          </m:rPr>
          <w:rPr>
            <w:rFonts w:ascii="Cambria Math" w:hAnsi="Cambria Math"/>
          </w:rPr>
          <m:t>'&gt;</m:t>
        </m:r>
        <m:r>
          <w:rPr>
            <w:rFonts w:ascii="Cambria Math" w:hAnsi="Cambria Math"/>
          </w:rPr>
          <m:t>0</m:t>
        </m:r>
      </m:oMath>
      <w:r>
        <w:rPr>
          <w:i/>
          <w:iCs/>
        </w:rPr>
        <w:t xml:space="preserve"> and </w:t>
      </w:r>
      <m:oMath>
        <m:r>
          <w:rPr>
            <w:rFonts w:ascii="Cambria Math" w:hAnsi="Cambria Math"/>
          </w:rPr>
          <m:t>F</m:t>
        </m:r>
        <m:r>
          <m:rPr>
            <m:sty m:val="p"/>
          </m:rPr>
          <w:rPr>
            <w:rFonts w:ascii="Cambria Math" w:hAnsi="Cambria Math"/>
          </w:rPr>
          <m:t>″</m:t>
        </m:r>
        <m:d>
          <m:dPr>
            <m:ctrlPr>
              <w:rPr>
                <w:rFonts w:ascii="Cambria Math" w:hAnsi="Cambria Math"/>
              </w:rPr>
            </m:ctrlPr>
          </m:dPr>
          <m:e>
            <m:r>
              <w:rPr>
                <w:rFonts w:ascii="Cambria Math" w:hAnsi="Cambria Math"/>
              </w:rPr>
              <m:t>x</m:t>
            </m:r>
          </m:e>
        </m:d>
        <m:r>
          <m:rPr>
            <m:sty m:val="p"/>
          </m:rPr>
          <w:rPr>
            <w:rFonts w:ascii="Cambria Math" w:hAnsi="Cambria Math"/>
          </w:rPr>
          <m:t>&lt;</m:t>
        </m:r>
        <m:r>
          <w:rPr>
            <w:rFonts w:ascii="Cambria Math" w:hAnsi="Cambria Math"/>
          </w:rPr>
          <m:t>0</m:t>
        </m:r>
      </m:oMath>
      <w:r>
        <w:rPr>
          <w:i/>
          <w:iCs/>
        </w:rPr>
        <w:t xml:space="preserve"> is monotonically decreasing, based on a comparison of costs and benefits for stakeholders (provinces) in the three cases,</w:t>
      </w:r>
    </w:p>
    <w:p w14:paraId="31C01976" w14:textId="77777777" w:rsidR="005471AE" w:rsidRDefault="005471AE" w:rsidP="005471AE">
      <w:pPr>
        <w:pStyle w:val="a0"/>
      </w:pP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w:t>
      </w:r>
    </w:p>
    <w:p w14:paraId="319D85BB" w14:textId="77777777" w:rsidR="005471AE" w:rsidRDefault="005471AE" w:rsidP="005471AE">
      <w:pPr>
        <w:pStyle w:val="a0"/>
      </w:pPr>
      <w:r>
        <w:rPr>
          <w:i/>
          <w:iCs/>
        </w:rPr>
        <w:t xml:space="preserve">The result of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indicates that individual rationality would deviate from collective rationality under unclear property rights where a water user is fully responsible for the relevant costs. The result of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r>
          <m:rPr>
            <m:sty m:val="p"/>
          </m:rPr>
          <w:rPr>
            <w:rFonts w:ascii="Cambria Math" w:hAnsi="Cambria Math"/>
          </w:rPr>
          <m:t>&gt;</m:t>
        </m:r>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p>
    <w:p w14:paraId="032023D0" w14:textId="77777777" w:rsidR="005471AE" w:rsidRDefault="005471AE" w:rsidP="005471AE">
      <w:pPr>
        <w:pStyle w:val="a0"/>
      </w:pPr>
      <w:r>
        <w:rPr>
          <w:i/>
          <w:iCs/>
        </w:rPr>
        <w:t xml:space="preserve">The difference between </w:t>
      </w:r>
      <m:oMath>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oMath>
      <w:r>
        <w:rPr>
          <w:i/>
          <w:iCs/>
        </w:rPr>
        <w:t xml:space="preserve"> and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oMath>
      <w:r>
        <w:rPr>
          <w:i/>
          <w:iCs/>
        </w:rPr>
        <w:t xml:space="preserve"> stems from two parts: the effect of the marginal returns and the effect of the marginal costs. First, the “shadow value” provides additional marginal returns of water use in </w:t>
      </w:r>
      <m:oMath>
        <m:r>
          <w:rPr>
            <w:rFonts w:ascii="Cambria Math" w:hAnsi="Cambria Math"/>
          </w:rPr>
          <m:t>t</m:t>
        </m:r>
      </m:oMath>
      <w:r>
        <w:rPr>
          <w:i/>
          <w:iCs/>
        </w:rPr>
        <w:t xml:space="preserve"> = 0, which increases the incentives of water overuse by encouraging bargaining for a larger quota. Second, the future cost of water use would be degraded from </w:t>
      </w:r>
      <m:oMath>
        <m:f>
          <m:fPr>
            <m:ctrlPr>
              <w:rPr>
                <w:rFonts w:ascii="Cambria Math" w:hAnsi="Cambria Math"/>
              </w:rPr>
            </m:ctrlPr>
          </m:fPr>
          <m:num>
            <m:r>
              <w:rPr>
                <w:rFonts w:ascii="Cambria Math" w:hAnsi="Cambria Math"/>
              </w:rPr>
              <m:t>P</m:t>
            </m:r>
          </m:num>
          <m:den>
            <m:r>
              <w:rPr>
                <w:rFonts w:ascii="Cambria Math" w:hAnsi="Cambria Math"/>
              </w:rPr>
              <m:t>N</m:t>
            </m:r>
          </m:den>
        </m:f>
      </m:oMath>
      <w:r>
        <w:rPr>
          <w:i/>
          <w:iCs/>
        </w:rPr>
        <w:t xml:space="preserve"> to an irrelevant cost.</w:t>
      </w:r>
    </w:p>
    <w:p w14:paraId="030AA3FB" w14:textId="77777777" w:rsidR="005471AE" w:rsidRDefault="005471AE" w:rsidP="005471AE">
      <w:pPr>
        <w:pStyle w:val="a0"/>
      </w:pPr>
      <w:r>
        <w:rPr>
          <w:i/>
          <w:iCs/>
        </w:rPr>
        <w:t>Proof of Proposition 2:</w:t>
      </w:r>
    </w:p>
    <w:p w14:paraId="4A417741" w14:textId="77777777" w:rsidR="005471AE" w:rsidRDefault="005471AE" w:rsidP="005471AE">
      <w:pPr>
        <w:pStyle w:val="a0"/>
      </w:pPr>
      <w:r>
        <w:rPr>
          <w:i/>
          <w:iCs/>
        </w:rPr>
        <w:t xml:space="preserve">Since </w:t>
      </w:r>
      <m:oMath>
        <m:sSub>
          <m:sSubPr>
            <m:ctrlPr>
              <w:rPr>
                <w:rFonts w:ascii="Cambria Math" w:hAnsi="Cambria Math"/>
              </w:rPr>
            </m:ctrlPr>
          </m:sSubPr>
          <m:e>
            <m:r>
              <w:rPr>
                <w:rFonts w:ascii="Cambria Math" w:hAnsi="Cambria Math"/>
              </w:rPr>
              <m:t>A</m:t>
            </m:r>
          </m:e>
          <m:sub>
            <m:r>
              <w:rPr>
                <w:rFonts w:ascii="Cambria Math" w:hAnsi="Cambria Math"/>
              </w:rPr>
              <m:t>H</m:t>
            </m:r>
          </m:sub>
        </m:sSub>
        <m:r>
          <m:rPr>
            <m:sty m:val="p"/>
          </m:rPr>
          <w:rPr>
            <w:rFonts w:ascii="Cambria Math" w:hAnsi="Cambria Math"/>
          </w:rPr>
          <m:t>&gt;</m:t>
        </m:r>
        <m:sSub>
          <m:sSubPr>
            <m:ctrlPr>
              <w:rPr>
                <w:rFonts w:ascii="Cambria Math" w:hAnsi="Cambria Math"/>
              </w:rPr>
            </m:ctrlPr>
          </m:sSubPr>
          <m:e>
            <m:r>
              <w:rPr>
                <w:rFonts w:ascii="Cambria Math" w:hAnsi="Cambria Math"/>
              </w:rPr>
              <m:t>A</m:t>
            </m:r>
          </m:e>
          <m:sub>
            <m:r>
              <w:rPr>
                <w:rFonts w:ascii="Cambria Math" w:hAnsi="Cambria Math"/>
              </w:rPr>
              <m:t>L</m:t>
            </m:r>
          </m:sub>
        </m:sSub>
      </m:oMath>
      <w:r>
        <w:rPr>
          <w:i/>
          <w:iCs/>
        </w:rPr>
        <w:t xml:space="preserve">, </w:t>
      </w:r>
      <m:oMath>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H</m:t>
                </m:r>
              </m:sub>
            </m:sSub>
          </m:e>
        </m:d>
        <m:r>
          <m:rPr>
            <m:sty m:val="p"/>
          </m:rPr>
          <w:rPr>
            <w:rFonts w:ascii="Cambria Math" w:hAnsi="Cambria Math"/>
          </w:rPr>
          <m:t>&lt;</m:t>
        </m:r>
        <m:r>
          <w:rPr>
            <w:rFonts w:ascii="Cambria Math" w:hAnsi="Cambria Math"/>
          </w:rPr>
          <m:t>F</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L</m:t>
                </m:r>
              </m:sub>
            </m:sSub>
          </m:e>
        </m:d>
      </m:oMath>
      <w:r>
        <w:rPr>
          <w:i/>
          <w:iCs/>
        </w:rPr>
        <w:t xml:space="preserve">, Eq.(xxx) implies a positive relation between </w:t>
      </w:r>
      <m:oMath>
        <m:sSub>
          <m:sSubPr>
            <m:ctrlPr>
              <w:rPr>
                <w:rFonts w:ascii="Cambria Math" w:hAnsi="Cambria Math"/>
              </w:rPr>
            </m:ctrlPr>
          </m:sSubPr>
          <m:e>
            <m:r>
              <w:rPr>
                <w:rFonts w:ascii="Cambria Math" w:hAnsi="Cambria Math"/>
              </w:rPr>
              <m:t>x</m:t>
            </m:r>
          </m:e>
          <m:sub>
            <m:r>
              <w:rPr>
                <w:rFonts w:ascii="Cambria Math" w:hAnsi="Cambria Math"/>
              </w:rPr>
              <m:t>i0</m:t>
            </m:r>
          </m:sub>
        </m:sSub>
      </m:oMath>
      <w:r>
        <w:rPr>
          <w:i/>
          <w:iCs/>
        </w:rPr>
        <w:t xml:space="preserve"> and A, when </w:t>
      </w:r>
      <m:oMath>
        <m:r>
          <w:rPr>
            <w:rFonts w:ascii="Cambria Math" w:hAnsi="Cambria Math"/>
          </w:rPr>
          <m:t>β</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Q</m:t>
        </m:r>
      </m:oMath>
      <w:r>
        <w:rPr>
          <w:i/>
          <w:iCs/>
        </w:rPr>
        <w:t>, and other provinces’ water use are taken as given.</w:t>
      </w:r>
    </w:p>
    <w:p w14:paraId="4C88C363" w14:textId="77777777" w:rsidR="005471AE" w:rsidRDefault="005471AE" w:rsidP="005471AE">
      <w:pPr>
        <w:pStyle w:val="a0"/>
      </w:pPr>
      <w:r>
        <w:rPr>
          <w:i/>
          <w:iCs/>
        </w:rPr>
        <w:t xml:space="preserve">The difference between </w:t>
      </w:r>
      <m:oMath>
        <m:sSubSup>
          <m:sSubSupPr>
            <m:ctrlPr>
              <w:rPr>
                <w:rFonts w:ascii="Cambria Math" w:hAnsi="Cambria Math"/>
              </w:rPr>
            </m:ctrlPr>
          </m:sSubSupPr>
          <m:e>
            <m:acc>
              <m:accPr>
                <m:chr m:val="̃"/>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oMath>
      <w:r>
        <w:rPr>
          <w:i/>
          <w:iCs/>
        </w:rPr>
        <w:t xml:space="preserve"> and </w:t>
      </w:r>
      <m:oMath>
        <m:sSubSup>
          <m:sSubSupPr>
            <m:ctrlPr>
              <w:rPr>
                <w:rFonts w:ascii="Cambria Math" w:hAnsi="Cambria Math"/>
              </w:rPr>
            </m:ctrlPr>
          </m:sSubSupPr>
          <m:e>
            <m:acc>
              <m:accPr>
                <m:ctrlPr>
                  <w:rPr>
                    <w:rFonts w:ascii="Cambria Math" w:hAnsi="Cambria Math"/>
                  </w:rPr>
                </m:ctrlPr>
              </m:accPr>
              <m:e>
                <m:r>
                  <w:rPr>
                    <w:rFonts w:ascii="Cambria Math" w:hAnsi="Cambria Math"/>
                  </w:rPr>
                  <m:t>x</m:t>
                </m:r>
              </m:e>
            </m:acc>
          </m:e>
          <m:sub>
            <m:r>
              <w:rPr>
                <w:rFonts w:ascii="Cambria Math" w:hAnsi="Cambria Math"/>
              </w:rPr>
              <m:t>i</m:t>
            </m:r>
          </m:sub>
          <m:sup>
            <m:r>
              <m:rPr>
                <m:sty m:val="p"/>
              </m:rPr>
              <w:rPr>
                <w:rFonts w:ascii="Cambria Math" w:hAnsi="Cambria Math"/>
              </w:rPr>
              <m:t>*</m:t>
            </m:r>
          </m:sup>
        </m:sSubSup>
      </m:oMath>
      <w:r>
        <w:rPr>
          <w:i/>
          <w:iCs/>
        </w:rPr>
        <w:t xml:space="preserve"> (i.e., </w:t>
      </w:r>
      <m:oMath>
        <m:f>
          <m:fPr>
            <m:ctrlPr>
              <w:rPr>
                <w:rFonts w:ascii="Cambria Math" w:hAnsi="Cambria Math"/>
              </w:rPr>
            </m:ctrlPr>
          </m:fPr>
          <m:num>
            <m:r>
              <w:rPr>
                <w:rFonts w:ascii="Cambria Math" w:hAnsi="Cambria Math"/>
              </w:rPr>
              <m:t>β</m:t>
            </m:r>
          </m:num>
          <m:den>
            <m:r>
              <w:rPr>
                <w:rFonts w:ascii="Cambria Math" w:hAnsi="Cambria Math"/>
              </w:rPr>
              <m:t>1</m:t>
            </m:r>
            <m:r>
              <m:rPr>
                <m:sty m:val="p"/>
              </m:rPr>
              <w:rPr>
                <w:rFonts w:ascii="Cambria Math" w:hAnsi="Cambria Math"/>
              </w:rPr>
              <m:t>-</m:t>
            </m:r>
            <m:r>
              <w:rPr>
                <w:rFonts w:ascii="Cambria Math" w:hAnsi="Cambria Math"/>
              </w:rPr>
              <m:t>β</m:t>
            </m:r>
          </m:den>
        </m:f>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e>
        </m:d>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num>
          <m:den>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e>
                </m:d>
              </m:e>
              <m:sup>
                <m:r>
                  <w:rPr>
                    <w:rFonts w:ascii="Cambria Math" w:hAnsi="Cambria Math"/>
                  </w:rPr>
                  <m:t>2</m:t>
                </m:r>
              </m:sup>
            </m:sSup>
          </m:den>
        </m:f>
      </m:oMath>
      <w:r>
        <w:rPr>
          <w:i/>
          <w:iCs/>
        </w:rPr>
        <w:t>) represents the incentive of water overuse derived from an expectation of water quota allocation. The incentive of water overuse increases by A.</w:t>
      </w:r>
    </w:p>
    <w:p w14:paraId="35BC89CD" w14:textId="77777777" w:rsidR="005471AE" w:rsidRDefault="005471AE" w:rsidP="005471AE">
      <w:pPr>
        <w:pStyle w:val="1"/>
      </w:pPr>
      <w:bookmarkStart w:id="28" w:name="secS5"/>
      <w:bookmarkEnd w:id="26"/>
      <w:bookmarkEnd w:id="27"/>
      <w:r>
        <w:lastRenderedPageBreak/>
        <w:t>9</w:t>
      </w:r>
      <w:r>
        <w:tab/>
        <w:t>S4: Model extensions</w:t>
      </w:r>
    </w:p>
    <w:p w14:paraId="1CFF5956" w14:textId="77777777" w:rsidR="005471AE" w:rsidRDefault="005471AE" w:rsidP="005471AE">
      <w:pPr>
        <w:pStyle w:val="FirstParagraph"/>
      </w:pPr>
      <w:r>
        <w:t>Using the general economic model (see the Methods section in the main text), we also explored the response of stakeholders to water quota policies. We considered two additional scenarios for stakeholders: technology growth and one that felt different valuations through time (via the discount rate) of economic benefits and ecological costs. In the following scenarios, the cost is assumed to be untransferable, which could be fully allocated to the one incurring the water use. Explaining plausible scenarios for these stakeholders will help us better understand the causes of water overuse and potential solutions. We argue that water overuse remains robust even if a complete and equitable system.</w:t>
      </w:r>
    </w:p>
    <w:p w14:paraId="0B13063F" w14:textId="77777777" w:rsidR="005471AE" w:rsidRDefault="005471AE" w:rsidP="005471AE">
      <w:pPr>
        <w:pStyle w:val="a0"/>
      </w:pPr>
      <w:r>
        <w:rPr>
          <w:b/>
          <w:bCs/>
        </w:rPr>
        <w:t>Case 4</w:t>
      </w:r>
      <w:r>
        <w:t xml:space="preserve">.  </w:t>
      </w:r>
      <w:r>
        <w:rPr>
          <w:i/>
          <w:iCs/>
        </w:rPr>
        <w:t>Forward-looking decentralized decision, taken ecology cost into considerations</w:t>
      </w:r>
    </w:p>
    <w:p w14:paraId="73E355BB" w14:textId="77777777" w:rsidR="005471AE" w:rsidRDefault="005471AE" w:rsidP="005471AE">
      <w:pPr>
        <w:pStyle w:val="a0"/>
      </w:pPr>
      <w:r>
        <w:rPr>
          <w:i/>
          <w:iCs/>
        </w:rPr>
        <w:t xml:space="preserve">Even if the negative externality of water overuse is eliminated by “fair” ecology cost of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C</m:t>
        </m:r>
      </m:oMath>
      <w:r>
        <w:rPr>
          <w:i/>
          <w:iCs/>
        </w:rPr>
        <w:t>, it is possible that the future growth opportunities and “remote" ecological costs provide enough incentive for the sprint. Water overuse has the value of future economic benefits by slacking the water use constraint in the future. The heterogeneous production efficiency is omitted in this section, and we set A=1.</w:t>
      </w:r>
    </w:p>
    <w:p w14:paraId="735CE5A2" w14:textId="77777777" w:rsidR="005471AE" w:rsidRDefault="005471AE" w:rsidP="005471AE">
      <w:pPr>
        <w:pStyle w:val="a0"/>
      </w:pPr>
      <w:r>
        <w:rPr>
          <w:i/>
          <w:iCs/>
        </w:rPr>
        <w:t>(a) technology growth</w:t>
      </w:r>
    </w:p>
    <w:p w14:paraId="4DE27E0C" w14:textId="77777777" w:rsidR="005471AE" w:rsidRDefault="005471AE" w:rsidP="005471AE">
      <w:pPr>
        <w:pStyle w:val="a0"/>
      </w:pPr>
      <w:r>
        <w:rPr>
          <w:i/>
          <w:iCs/>
        </w:rPr>
        <w:t xml:space="preserve">Assume that there is an exogenous technology growth rate of g in the scenario of </w:t>
      </w:r>
      <m:oMath>
        <m:r>
          <w:rPr>
            <w:rFonts w:ascii="Cambria Math" w:hAnsi="Cambria Math"/>
          </w:rPr>
          <m:t>N</m:t>
        </m:r>
      </m:oMath>
      <w:r>
        <w:rPr>
          <w:i/>
          <w:iCs/>
        </w:rPr>
        <w:t xml:space="preserve"> provinces bargaining for water use under total quota </w:t>
      </w:r>
      <m:oMath>
        <m:r>
          <w:rPr>
            <w:rFonts w:ascii="Cambria Math" w:hAnsi="Cambria Math"/>
          </w:rPr>
          <m:t>Q</m:t>
        </m:r>
      </m:oMath>
      <w:r>
        <w:rPr>
          <w:i/>
          <w:iCs/>
        </w:rPr>
        <w:t xml:space="preserve">, with unit price of output </w:t>
      </w:r>
      <m:oMath>
        <m:r>
          <w:rPr>
            <w:rFonts w:ascii="Cambria Math" w:hAnsi="Cambria Math"/>
          </w:rPr>
          <m:t>P</m:t>
        </m:r>
      </m:oMath>
      <w:r>
        <w:rPr>
          <w:i/>
          <w:iCs/>
        </w:rPr>
        <w:t xml:space="preserve">, unit cost </w:t>
      </w:r>
      <m:oMath>
        <m:r>
          <w:rPr>
            <w:rFonts w:ascii="Cambria Math" w:hAnsi="Cambria Math"/>
          </w:rPr>
          <m:t>C</m:t>
        </m:r>
      </m:oMath>
      <w:r>
        <w:rPr>
          <w:i/>
          <w:iCs/>
        </w:rPr>
        <w:t xml:space="preserve">, and discount factor </w:t>
      </w:r>
      <m:oMath>
        <m:r>
          <w:rPr>
            <w:rFonts w:ascii="Cambria Math" w:hAnsi="Cambria Math"/>
          </w:rPr>
          <m:t>β</m:t>
        </m:r>
      </m:oMath>
      <w:r>
        <w:rPr>
          <w:i/>
          <w:iCs/>
        </w:rPr>
        <w:t xml:space="preserve">. For simplicity, consider a </w:t>
      </w:r>
      <w:r w:rsidRPr="00896D44">
        <w:rPr>
          <w:i/>
          <w:iCs/>
          <w:color w:val="FF0000"/>
        </w:rPr>
        <w:t>finite-period</w:t>
      </w:r>
      <w:r>
        <w:rPr>
          <w:i/>
          <w:iCs/>
        </w:rPr>
        <w:t xml:space="preserve"> water use optimization:</w:t>
      </w:r>
    </w:p>
    <w:p w14:paraId="050A787E" w14:textId="77777777" w:rsidR="005471AE" w:rsidRDefault="005471AE" w:rsidP="005471AE">
      <w:pPr>
        <w:pStyle w:val="a0"/>
      </w:pPr>
      <m:oMathPara>
        <m:oMath>
          <m:r>
            <w:rPr>
              <w:rFonts w:ascii="Cambria Math" w:hAnsi="Cambria Math"/>
            </w:rPr>
            <m:t>max P</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g</m:t>
                  </m:r>
                </m:e>
              </m:d>
            </m:e>
            <m:sup>
              <m:r>
                <w:rPr>
                  <w:rFonts w:ascii="Cambria Math" w:hAnsi="Cambria Math"/>
                </w:rPr>
                <m:t>t</m:t>
              </m:r>
            </m:sup>
          </m:sSup>
          <m:r>
            <w:rPr>
              <w:rFonts w:ascii="Cambria Math" w:hAnsi="Cambria Math"/>
            </w:rPr>
            <m:t>ln</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rPr>
            <m:t>+</m:t>
          </m:r>
          <m:sSup>
            <m:sSupPr>
              <m:ctrlPr>
                <w:rPr>
                  <w:rFonts w:ascii="Cambria Math" w:hAnsi="Cambria Math"/>
                </w:rPr>
              </m:ctrlPr>
            </m:sSupPr>
            <m:e>
              <m:r>
                <w:rPr>
                  <w:rFonts w:ascii="Cambria Math" w:hAnsi="Cambria Math"/>
                </w:rPr>
                <m:t>β</m:t>
              </m:r>
            </m:e>
            <m:sup>
              <m:r>
                <w:rPr>
                  <w:rFonts w:ascii="Cambria Math" w:hAnsi="Cambria Math"/>
                </w:rPr>
                <m:t>t</m:t>
              </m:r>
            </m:sup>
          </m:sSup>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g</m:t>
                                </m:r>
                              </m:e>
                            </m:d>
                          </m:e>
                          <m:sup>
                            <m:r>
                              <w:rPr>
                                <w:rFonts w:ascii="Cambria Math" w:hAnsi="Cambria Math"/>
                              </w:rPr>
                              <m:t>t</m:t>
                            </m:r>
                          </m:sup>
                        </m:sSup>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e>
                    </m:d>
                  </m:e>
                </m:nary>
              </m:e>
            </m:mr>
          </m:m>
        </m:oMath>
      </m:oMathPara>
    </w:p>
    <w:p w14:paraId="7DBD1CFC" w14:textId="77777777" w:rsidR="005471AE" w:rsidRDefault="005471AE" w:rsidP="005471AE">
      <w:pPr>
        <w:pStyle w:val="a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r>
            <w:rPr>
              <w:rFonts w:ascii="Cambria Math" w:hAnsi="Cambria Math"/>
            </w:rPr>
            <m:t> for </m:t>
          </m:r>
          <m:r>
            <m:rPr>
              <m:sty m:val="p"/>
            </m:rPr>
            <w:rPr>
              <w:rFonts w:ascii="Cambria Math" w:hAnsi="Cambria Math"/>
            </w:rPr>
            <m:t>∀</m:t>
          </m:r>
          <m:r>
            <w:rPr>
              <w:rFonts w:ascii="Cambria Math" w:hAnsi="Cambria Math"/>
            </w:rPr>
            <m:t>t</m:t>
          </m:r>
        </m:oMath>
      </m:oMathPara>
    </w:p>
    <w:p w14:paraId="5B0DFDFC" w14:textId="77777777" w:rsidR="005471AE" w:rsidRDefault="005471AE" w:rsidP="005471AE">
      <w:pPr>
        <w:pStyle w:val="a0"/>
      </w:pPr>
      <w:r>
        <w:rPr>
          <w:i/>
          <w:iCs/>
        </w:rPr>
        <w:t xml:space="preserve">We depict the relationship between multi-period profit and water use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oMath>
      <w:r>
        <w:rPr>
          <w:i/>
          <w:iCs/>
        </w:rPr>
        <w:t xml:space="preserve"> in different horizons in Figure 12 , and thus find out the optimal water use pattern under technology growth. The higher marginal water output might create enough incentive to offset the untransferable cost since a higher allocated quota provides growth option value. On the other hand, as the provincial decision is under a longer horizon, there is a more significant sprint effect due to higher accumulated yield and relatively tighter water use constraints over time.</w:t>
      </w:r>
    </w:p>
    <w:p w14:paraId="42D591ED" w14:textId="77777777" w:rsidR="005471AE" w:rsidRDefault="005471AE" w:rsidP="005471AE">
      <w:pPr>
        <w:pStyle w:val="CaptionedFigure"/>
      </w:pPr>
      <w:bookmarkStart w:id="29" w:name="fig:technology"/>
      <w:r>
        <w:rPr>
          <w:noProof/>
        </w:rPr>
        <w:lastRenderedPageBreak/>
        <w:drawing>
          <wp:inline distT="0" distB="0" distL="0" distR="0" wp14:anchorId="2F45E4A2" wp14:editId="2760EA0D">
            <wp:extent cx="5727700" cy="4294547"/>
            <wp:effectExtent l="0" t="0" r="0" b="0"/>
            <wp:docPr id="83" name="Picture" descr="Figure 2: Multi-period optimization of optimal water use under technology growth. The figure depicts the relationship of multi-period benefits of province i and water use under Case 3 with technology growth. Assume F(x)=ln(1+x), N=8, P=1, C=0.5, \beta=0.7, g=0.2, and Q=8."/>
            <wp:cNvGraphicFramePr/>
            <a:graphic xmlns:a="http://schemas.openxmlformats.org/drawingml/2006/main">
              <a:graphicData uri="http://schemas.openxmlformats.org/drawingml/2006/picture">
                <pic:pic xmlns:pic="http://schemas.openxmlformats.org/drawingml/2006/picture">
                  <pic:nvPicPr>
                    <pic:cNvPr id="84" name="Picture" descr="outputs/Fig3.jpg"/>
                    <pic:cNvPicPr>
                      <a:picLocks noChangeAspect="1" noChangeArrowheads="1"/>
                    </pic:cNvPicPr>
                  </pic:nvPicPr>
                  <pic:blipFill>
                    <a:blip r:embed="rId25"/>
                    <a:stretch>
                      <a:fillRect/>
                    </a:stretch>
                  </pic:blipFill>
                  <pic:spPr bwMode="auto">
                    <a:xfrm>
                      <a:off x="0" y="0"/>
                      <a:ext cx="5727700" cy="4294547"/>
                    </a:xfrm>
                    <a:prstGeom prst="rect">
                      <a:avLst/>
                    </a:prstGeom>
                    <a:noFill/>
                    <a:ln w="9525">
                      <a:noFill/>
                      <a:headEnd/>
                      <a:tailEnd/>
                    </a:ln>
                  </pic:spPr>
                </pic:pic>
              </a:graphicData>
            </a:graphic>
          </wp:inline>
        </w:drawing>
      </w:r>
      <w:bookmarkEnd w:id="29"/>
    </w:p>
    <w:p w14:paraId="164C01B9" w14:textId="77777777" w:rsidR="005471AE" w:rsidRPr="00E17D15" w:rsidRDefault="005471AE" w:rsidP="005471AE">
      <w:pPr>
        <w:pStyle w:val="ImageCaption"/>
        <w:rPr>
          <w:i w:val="0"/>
          <w:iCs/>
          <w:sz w:val="21"/>
          <w:szCs w:val="21"/>
        </w:rPr>
      </w:pPr>
      <w:bookmarkStart w:id="30" w:name="ref_fig:technology"/>
      <w:r w:rsidRPr="00E17D15">
        <w:rPr>
          <w:b/>
          <w:bCs/>
          <w:i w:val="0"/>
          <w:iCs/>
          <w:sz w:val="21"/>
          <w:szCs w:val="21"/>
        </w:rPr>
        <w:t>Figure</w:t>
      </w:r>
      <w:bookmarkEnd w:id="30"/>
      <w:r w:rsidRPr="00E17D15">
        <w:rPr>
          <w:b/>
          <w:bCs/>
          <w:i w:val="0"/>
          <w:iCs/>
          <w:sz w:val="21"/>
          <w:szCs w:val="21"/>
        </w:rPr>
        <w:t>12.</w:t>
      </w:r>
      <w:r w:rsidRPr="00E17D15">
        <w:rPr>
          <w:i w:val="0"/>
          <w:iCs/>
          <w:sz w:val="21"/>
          <w:szCs w:val="21"/>
        </w:rPr>
        <w:t xml:space="preserve"> Multi-period optimization of optimal water use under technology growth. The figure depicts the relationship of multiperiod benefits of province </w:t>
      </w:r>
      <m:oMath>
        <m:r>
          <w:rPr>
            <w:rFonts w:ascii="Cambria Math" w:hAnsi="Cambria Math"/>
            <w:sz w:val="21"/>
            <w:szCs w:val="21"/>
          </w:rPr>
          <m:t>i</m:t>
        </m:r>
      </m:oMath>
      <w:r w:rsidRPr="00E17D15">
        <w:rPr>
          <w:i w:val="0"/>
          <w:iCs/>
          <w:sz w:val="21"/>
          <w:szCs w:val="21"/>
        </w:rPr>
        <w:t xml:space="preserve"> and water use under Case 3 with technology growth. Assume </w:t>
      </w:r>
      <m:oMath>
        <m:r>
          <w:rPr>
            <w:rFonts w:ascii="Cambria Math" w:hAnsi="Cambria Math"/>
            <w:sz w:val="21"/>
            <w:szCs w:val="21"/>
          </w:rPr>
          <m:t>F</m:t>
        </m:r>
        <m:d>
          <m:dPr>
            <m:ctrlPr>
              <w:rPr>
                <w:rFonts w:ascii="Cambria Math" w:hAnsi="Cambria Math"/>
                <w:i w:val="0"/>
                <w:iCs/>
                <w:sz w:val="21"/>
                <w:szCs w:val="21"/>
              </w:rPr>
            </m:ctrlPr>
          </m:dPr>
          <m:e>
            <m:r>
              <w:rPr>
                <w:rFonts w:ascii="Cambria Math" w:hAnsi="Cambria Math"/>
                <w:sz w:val="21"/>
                <w:szCs w:val="21"/>
              </w:rPr>
              <m:t>x</m:t>
            </m:r>
          </m:e>
        </m:d>
        <m:r>
          <w:rPr>
            <w:rFonts w:ascii="Cambria Math" w:hAnsi="Cambria Math"/>
            <w:sz w:val="21"/>
            <w:szCs w:val="21"/>
          </w:rPr>
          <m:t>=ln</m:t>
        </m:r>
        <m:d>
          <m:dPr>
            <m:ctrlPr>
              <w:rPr>
                <w:rFonts w:ascii="Cambria Math" w:hAnsi="Cambria Math"/>
                <w:i w:val="0"/>
                <w:iCs/>
                <w:sz w:val="21"/>
                <w:szCs w:val="21"/>
              </w:rPr>
            </m:ctrlPr>
          </m:dPr>
          <m:e>
            <m:r>
              <w:rPr>
                <w:rFonts w:ascii="Cambria Math" w:hAnsi="Cambria Math"/>
                <w:sz w:val="21"/>
                <w:szCs w:val="21"/>
              </w:rPr>
              <m:t>1+x</m:t>
            </m:r>
          </m:e>
        </m:d>
      </m:oMath>
      <w:r w:rsidRPr="00E17D15">
        <w:rPr>
          <w:i w:val="0"/>
          <w:iCs/>
          <w:sz w:val="21"/>
          <w:szCs w:val="21"/>
        </w:rPr>
        <w:t xml:space="preserve">, </w:t>
      </w:r>
      <m:oMath>
        <m:r>
          <w:rPr>
            <w:rFonts w:ascii="Cambria Math" w:hAnsi="Cambria Math"/>
            <w:sz w:val="21"/>
            <w:szCs w:val="21"/>
          </w:rPr>
          <m:t>N=8</m:t>
        </m:r>
      </m:oMath>
      <w:r w:rsidRPr="00E17D15">
        <w:rPr>
          <w:i w:val="0"/>
          <w:iCs/>
          <w:sz w:val="21"/>
          <w:szCs w:val="21"/>
        </w:rPr>
        <w:t xml:space="preserve">, </w:t>
      </w:r>
      <m:oMath>
        <m:r>
          <w:rPr>
            <w:rFonts w:ascii="Cambria Math" w:hAnsi="Cambria Math"/>
            <w:sz w:val="21"/>
            <w:szCs w:val="21"/>
          </w:rPr>
          <m:t>P=1</m:t>
        </m:r>
      </m:oMath>
      <w:r w:rsidRPr="00E17D15">
        <w:rPr>
          <w:i w:val="0"/>
          <w:iCs/>
          <w:sz w:val="21"/>
          <w:szCs w:val="21"/>
        </w:rPr>
        <w:t xml:space="preserve">, </w:t>
      </w:r>
      <m:oMath>
        <m:r>
          <w:rPr>
            <w:rFonts w:ascii="Cambria Math" w:hAnsi="Cambria Math"/>
            <w:sz w:val="21"/>
            <w:szCs w:val="21"/>
          </w:rPr>
          <m:t>C=0.5</m:t>
        </m:r>
      </m:oMath>
      <w:r w:rsidRPr="00E17D15">
        <w:rPr>
          <w:i w:val="0"/>
          <w:iCs/>
          <w:sz w:val="21"/>
          <w:szCs w:val="21"/>
        </w:rPr>
        <w:t xml:space="preserve">, </w:t>
      </w:r>
      <m:oMath>
        <m:r>
          <w:rPr>
            <w:rFonts w:ascii="Cambria Math" w:hAnsi="Cambria Math"/>
            <w:sz w:val="21"/>
            <w:szCs w:val="21"/>
          </w:rPr>
          <m:t>β=0.7</m:t>
        </m:r>
      </m:oMath>
      <w:r w:rsidRPr="00E17D15">
        <w:rPr>
          <w:i w:val="0"/>
          <w:iCs/>
          <w:sz w:val="21"/>
          <w:szCs w:val="21"/>
        </w:rPr>
        <w:t xml:space="preserve">, </w:t>
      </w:r>
      <m:oMath>
        <m:r>
          <w:rPr>
            <w:rFonts w:ascii="Cambria Math" w:hAnsi="Cambria Math"/>
            <w:sz w:val="21"/>
            <w:szCs w:val="21"/>
          </w:rPr>
          <m:t>g=0.2</m:t>
        </m:r>
      </m:oMath>
      <w:r w:rsidRPr="00E17D15">
        <w:rPr>
          <w:i w:val="0"/>
          <w:iCs/>
          <w:sz w:val="21"/>
          <w:szCs w:val="21"/>
        </w:rPr>
        <w:t xml:space="preserve">, and </w:t>
      </w:r>
      <m:oMath>
        <m:r>
          <w:rPr>
            <w:rFonts w:ascii="Cambria Math" w:hAnsi="Cambria Math"/>
            <w:sz w:val="21"/>
            <w:szCs w:val="21"/>
          </w:rPr>
          <m:t>Q=8</m:t>
        </m:r>
      </m:oMath>
      <w:r w:rsidRPr="00E17D15">
        <w:rPr>
          <w:i w:val="0"/>
          <w:iCs/>
          <w:sz w:val="21"/>
          <w:szCs w:val="21"/>
        </w:rPr>
        <w:t>.</w:t>
      </w:r>
    </w:p>
    <w:p w14:paraId="7CEADAC3" w14:textId="77777777" w:rsidR="005471AE" w:rsidRDefault="005471AE" w:rsidP="005471AE">
      <w:pPr>
        <w:pStyle w:val="a0"/>
      </w:pPr>
      <w:r>
        <w:rPr>
          <w:i/>
          <w:iCs/>
        </w:rPr>
        <w:t>(b) Economic benefits and “remote” ecological costs with different discount factors</w:t>
      </w:r>
    </w:p>
    <w:p w14:paraId="58D772C2" w14:textId="77777777" w:rsidR="005471AE" w:rsidRDefault="005471AE" w:rsidP="005471AE">
      <w:pPr>
        <w:pStyle w:val="a0"/>
      </w:pPr>
      <w:r>
        <w:rPr>
          <w:i/>
          <w:iCs/>
        </w:rPr>
        <w:t xml:space="preserve">Assuming that there is a high discount rate for economic benefits and a low discount rate for ecological costs, in the scenario of </w:t>
      </w:r>
      <m:oMath>
        <m:r>
          <w:rPr>
            <w:rFonts w:ascii="Cambria Math" w:hAnsi="Cambria Math"/>
          </w:rPr>
          <m:t>N</m:t>
        </m:r>
      </m:oMath>
      <w:r>
        <w:rPr>
          <w:i/>
          <w:iCs/>
        </w:rPr>
        <w:t xml:space="preserve"> provinces bargaining for water use under total quota </w:t>
      </w:r>
      <m:oMath>
        <m:r>
          <w:rPr>
            <w:rFonts w:ascii="Cambria Math" w:hAnsi="Cambria Math"/>
          </w:rPr>
          <m:t>Q</m:t>
        </m:r>
      </m:oMath>
      <w:r>
        <w:rPr>
          <w:i/>
          <w:iCs/>
        </w:rPr>
        <w:t xml:space="preserve">, with unit price of output </w:t>
      </w:r>
      <m:oMath>
        <m:r>
          <w:rPr>
            <w:rFonts w:ascii="Cambria Math" w:hAnsi="Cambria Math"/>
          </w:rPr>
          <m:t>P</m:t>
        </m:r>
      </m:oMath>
      <w:r>
        <w:rPr>
          <w:i/>
          <w:iCs/>
        </w:rPr>
        <w:t xml:space="preserve">, unit cost </w:t>
      </w:r>
      <m:oMath>
        <m:r>
          <w:rPr>
            <w:rFonts w:ascii="Cambria Math" w:hAnsi="Cambria Math"/>
          </w:rPr>
          <m:t>C</m:t>
        </m:r>
      </m:oMath>
      <w:r>
        <w:rPr>
          <w:i/>
          <w:iCs/>
        </w:rPr>
        <w:t xml:space="preserve">, discount factor </w:t>
      </w:r>
      <m:oMath>
        <m:sSup>
          <m:sSupPr>
            <m:ctrlPr>
              <w:rPr>
                <w:rFonts w:ascii="Cambria Math" w:hAnsi="Cambria Math"/>
              </w:rPr>
            </m:ctrlPr>
          </m:sSupPr>
          <m:e>
            <m:r>
              <w:rPr>
                <w:rFonts w:ascii="Cambria Math" w:hAnsi="Cambria Math"/>
              </w:rPr>
              <m:t>β</m:t>
            </m:r>
          </m:e>
          <m:sup>
            <m:r>
              <w:rPr>
                <w:rFonts w:ascii="Cambria Math" w:hAnsi="Cambria Math"/>
              </w:rPr>
              <m:t>economy</m:t>
            </m:r>
          </m:sup>
        </m:sSup>
      </m:oMath>
      <w:r>
        <w:rPr>
          <w:i/>
          <w:iCs/>
        </w:rPr>
        <w:t xml:space="preserve"> and </w:t>
      </w:r>
      <m:oMath>
        <m:sSup>
          <m:sSupPr>
            <m:ctrlPr>
              <w:rPr>
                <w:rFonts w:ascii="Cambria Math" w:hAnsi="Cambria Math"/>
              </w:rPr>
            </m:ctrlPr>
          </m:sSupPr>
          <m:e>
            <m:r>
              <w:rPr>
                <w:rFonts w:ascii="Cambria Math" w:hAnsi="Cambria Math"/>
              </w:rPr>
              <m:t>β</m:t>
            </m:r>
          </m:e>
          <m:sup>
            <m:r>
              <w:rPr>
                <w:rFonts w:ascii="Cambria Math" w:hAnsi="Cambria Math"/>
              </w:rPr>
              <m:t>ecology</m:t>
            </m:r>
          </m:sup>
        </m:sSup>
      </m:oMath>
      <w:r>
        <w:rPr>
          <w:i/>
          <w:iCs/>
        </w:rPr>
        <w:t xml:space="preserve"> (</w:t>
      </w:r>
      <m:oMath>
        <m:sSup>
          <m:sSupPr>
            <m:ctrlPr>
              <w:rPr>
                <w:rFonts w:ascii="Cambria Math" w:hAnsi="Cambria Math"/>
              </w:rPr>
            </m:ctrlPr>
          </m:sSupPr>
          <m:e>
            <m:r>
              <w:rPr>
                <w:rFonts w:ascii="Cambria Math" w:hAnsi="Cambria Math"/>
              </w:rPr>
              <m:t>β</m:t>
            </m:r>
          </m:e>
          <m:sup>
            <m:r>
              <w:rPr>
                <w:rFonts w:ascii="Cambria Math" w:hAnsi="Cambria Math"/>
              </w:rPr>
              <m:t>economy</m:t>
            </m:r>
          </m:sup>
        </m:sSup>
        <m:r>
          <m:rPr>
            <m:sty m:val="p"/>
          </m:rPr>
          <w:rPr>
            <w:rFonts w:ascii="Cambria Math" w:hAnsi="Cambria Math"/>
          </w:rPr>
          <m:t>&gt;</m:t>
        </m:r>
        <m:sSup>
          <m:sSupPr>
            <m:ctrlPr>
              <w:rPr>
                <w:rFonts w:ascii="Cambria Math" w:hAnsi="Cambria Math"/>
              </w:rPr>
            </m:ctrlPr>
          </m:sSupPr>
          <m:e>
            <m:r>
              <w:rPr>
                <w:rFonts w:ascii="Cambria Math" w:hAnsi="Cambria Math"/>
              </w:rPr>
              <m:t>β</m:t>
            </m:r>
          </m:e>
          <m:sup>
            <m:r>
              <w:rPr>
                <w:rFonts w:ascii="Cambria Math" w:hAnsi="Cambria Math"/>
              </w:rPr>
              <m:t>ecology</m:t>
            </m:r>
          </m:sup>
        </m:sSup>
      </m:oMath>
      <w:r>
        <w:rPr>
          <w:i/>
          <w:iCs/>
        </w:rPr>
        <w:t xml:space="preserve">). For simplicity, consider the following finite-period water use optimization, noting the water use of province </w:t>
      </w:r>
      <m:oMath>
        <m:r>
          <w:rPr>
            <w:rFonts w:ascii="Cambria Math" w:hAnsi="Cambria Math"/>
          </w:rPr>
          <m:t>i</m:t>
        </m:r>
      </m:oMath>
      <w:r>
        <w:rPr>
          <w:i/>
          <w:iCs/>
        </w:rPr>
        <w:t xml:space="preserve"> at period </w:t>
      </w:r>
      <m:oMath>
        <m:r>
          <w:rPr>
            <w:rFonts w:ascii="Cambria Math" w:hAnsi="Cambria Math"/>
          </w:rPr>
          <m:t>t</m:t>
        </m:r>
      </m:oMath>
      <w:r>
        <w:rPr>
          <w:i/>
          <w:iCs/>
        </w:rPr>
        <w:t>:</w:t>
      </w:r>
    </w:p>
    <w:p w14:paraId="5C5A697F" w14:textId="77777777" w:rsidR="005471AE" w:rsidRDefault="005471AE" w:rsidP="005471AE">
      <w:pPr>
        <w:pStyle w:val="a0"/>
      </w:pPr>
      <m:oMathPara>
        <m:oMath>
          <m:r>
            <w:rPr>
              <w:rFonts w:ascii="Cambria Math" w:hAnsi="Cambria Math"/>
            </w:rPr>
            <m:t>max P</m:t>
          </m:r>
          <m:r>
            <m:rPr>
              <m:sty m:val="p"/>
            </m:rPr>
            <w:rPr>
              <w:rFonts w:ascii="Cambria Math" w:hAnsi="Cambria Math"/>
            </w:rPr>
            <m:t>⋅</m:t>
          </m:r>
          <m:r>
            <w:rPr>
              <w:rFonts w:ascii="Cambria Math" w:hAnsi="Cambria Math"/>
            </w:rPr>
            <m:t>ln</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e>
          </m:d>
          <m:r>
            <m:rPr>
              <m:sty m:val="p"/>
            </m:rP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N</m:t>
              </m:r>
            </m:den>
          </m:f>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1</m:t>
                            </m:r>
                          </m:e>
                        </m:d>
                      </m:e>
                    </m:d>
                  </m:e>
                </m:nary>
              </m:e>
            </m:mr>
          </m:m>
          <m:r>
            <m:rPr>
              <m:sty m:val="p"/>
            </m:rPr>
            <w:rPr>
              <w:rFonts w:ascii="Cambria Math" w:hAnsi="Cambria Math"/>
            </w:rPr>
            <m:t>-</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m>
            <m:mPr>
              <m:plcHide m:val="1"/>
              <m:mcs>
                <m:mc>
                  <m:mcPr>
                    <m:count m:val="1"/>
                    <m:mcJc m:val="center"/>
                  </m:mcPr>
                </m:mc>
              </m:mcs>
              <m:ctrlPr>
                <w:rPr>
                  <w:rFonts w:ascii="Cambria Math" w:hAnsi="Cambria Math"/>
                </w:rPr>
              </m:ctrlPr>
            </m:mPr>
            <m:mr>
              <m:e>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e>
                    </m:d>
                  </m:e>
                </m:nary>
              </m:e>
            </m:mr>
          </m:m>
        </m:oMath>
      </m:oMathPara>
    </w:p>
    <w:p w14:paraId="138E11FE" w14:textId="77777777" w:rsidR="005471AE" w:rsidRDefault="005471AE" w:rsidP="005471AE">
      <w:pPr>
        <w:pStyle w:val="a0"/>
      </w:pPr>
      <m:oMathPara>
        <m:oMath>
          <m:r>
            <w:rPr>
              <w:rFonts w:ascii="Cambria Math" w:hAnsi="Cambria Math"/>
            </w:rPr>
            <m:t>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r>
            <w:rPr>
              <w:rFonts w:ascii="Cambria Math" w:hAnsi="Cambria Math"/>
            </w:rPr>
            <m:t>Q</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r>
                <m:rPr>
                  <m:sty m:val="p"/>
                </m:rPr>
                <w:rPr>
                  <w:rFonts w:ascii="Cambria Math" w:hAnsi="Cambria Math"/>
                </w:rPr>
                <m:t>+</m:t>
              </m:r>
              <m:m>
                <m:mPr>
                  <m:plcHide m:val="1"/>
                  <m:mcs>
                    <m:mc>
                      <m:mcPr>
                        <m:count m:val="1"/>
                        <m:mcJc m:val="center"/>
                      </m:mcPr>
                    </m:mc>
                  </m:mcs>
                  <m:ctrlPr>
                    <w:rPr>
                      <w:rFonts w:ascii="Cambria Math" w:hAnsi="Cambria Math"/>
                    </w:rPr>
                  </m:ctrlPr>
                </m:mPr>
                <m:mr>
                  <m:e>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0</m:t>
                        </m:r>
                      </m:sub>
                    </m:sSub>
                  </m:e>
                </m:mr>
              </m:m>
            </m:den>
          </m:f>
          <m:r>
            <w:rPr>
              <w:rFonts w:ascii="Cambria Math" w:hAnsi="Cambria Math"/>
            </w:rPr>
            <m:t> for </m:t>
          </m:r>
          <m:r>
            <m:rPr>
              <m:sty m:val="p"/>
            </m:rPr>
            <w:rPr>
              <w:rFonts w:ascii="Cambria Math" w:hAnsi="Cambria Math"/>
            </w:rPr>
            <m:t>∀</m:t>
          </m:r>
          <m:r>
            <w:rPr>
              <w:rFonts w:ascii="Cambria Math" w:hAnsi="Cambria Math"/>
            </w:rPr>
            <m:t>t</m:t>
          </m:r>
        </m:oMath>
      </m:oMathPara>
    </w:p>
    <w:p w14:paraId="4C55037B" w14:textId="77777777" w:rsidR="005471AE" w:rsidRDefault="005471AE" w:rsidP="005471AE">
      <w:pPr>
        <w:pStyle w:val="a0"/>
      </w:pPr>
      <w:r>
        <w:rPr>
          <w:i/>
          <w:iCs/>
        </w:rPr>
        <w:t xml:space="preserve">We depict the relationship of multi-period net income and water use </w:t>
      </w:r>
      <m:oMath>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0</m:t>
            </m:r>
          </m:sub>
        </m:sSub>
      </m:oMath>
      <w:r>
        <w:rPr>
          <w:i/>
          <w:iCs/>
        </w:rPr>
        <w:t xml:space="preserve"> in different horizons in Figure 13 , and thus find out the optimal water use pattern under “remote” ecological costs. The higher discounted ecological costs might create enough incentive to set off the untransferable cost. On the other hand, as the provincial decision is under a longer horizon, a more significant sprint effect is due to a higher accumulated yield.</w:t>
      </w:r>
    </w:p>
    <w:p w14:paraId="74736716" w14:textId="77777777" w:rsidR="005471AE" w:rsidRDefault="005471AE" w:rsidP="005471AE">
      <w:pPr>
        <w:pStyle w:val="CaptionedFigure"/>
      </w:pPr>
      <w:bookmarkStart w:id="31" w:name="fig:remote"/>
      <w:r>
        <w:rPr>
          <w:noProof/>
        </w:rPr>
        <w:lastRenderedPageBreak/>
        <w:drawing>
          <wp:inline distT="0" distB="0" distL="0" distR="0" wp14:anchorId="4BFFCE56" wp14:editId="2F9B9C60">
            <wp:extent cx="5727700" cy="4294547"/>
            <wp:effectExtent l="0" t="0" r="0" b="0"/>
            <wp:docPr id="88" name="Picture" descr="Figure 3: Multi-period optimization of water use under “remote” ecological cost. The figure depicts the relationship of multi-period benefits of province i and water use under Case 3 with “remote” ecological cost. Assume F(x)=ln(1+x), N=8, P=1, C=0.5, \beta_{economy}=0.7, \beta_{ecology}=0.3, and Q=8."/>
            <wp:cNvGraphicFramePr/>
            <a:graphic xmlns:a="http://schemas.openxmlformats.org/drawingml/2006/main">
              <a:graphicData uri="http://schemas.openxmlformats.org/drawingml/2006/picture">
                <pic:pic xmlns:pic="http://schemas.openxmlformats.org/drawingml/2006/picture">
                  <pic:nvPicPr>
                    <pic:cNvPr id="89" name="Picture" descr="outputs/Fig4.jpg"/>
                    <pic:cNvPicPr>
                      <a:picLocks noChangeAspect="1" noChangeArrowheads="1"/>
                    </pic:cNvPicPr>
                  </pic:nvPicPr>
                  <pic:blipFill>
                    <a:blip r:embed="rId26"/>
                    <a:stretch>
                      <a:fillRect/>
                    </a:stretch>
                  </pic:blipFill>
                  <pic:spPr bwMode="auto">
                    <a:xfrm>
                      <a:off x="0" y="0"/>
                      <a:ext cx="5727700" cy="4294547"/>
                    </a:xfrm>
                    <a:prstGeom prst="rect">
                      <a:avLst/>
                    </a:prstGeom>
                    <a:noFill/>
                    <a:ln w="9525">
                      <a:noFill/>
                      <a:headEnd/>
                      <a:tailEnd/>
                    </a:ln>
                  </pic:spPr>
                </pic:pic>
              </a:graphicData>
            </a:graphic>
          </wp:inline>
        </w:drawing>
      </w:r>
      <w:bookmarkEnd w:id="31"/>
    </w:p>
    <w:p w14:paraId="0A46BC4B" w14:textId="77777777" w:rsidR="005471AE" w:rsidRPr="00E17D15" w:rsidRDefault="005471AE" w:rsidP="005471AE">
      <w:pPr>
        <w:pStyle w:val="ImageCaption"/>
        <w:rPr>
          <w:i w:val="0"/>
          <w:iCs/>
          <w:sz w:val="22"/>
          <w:szCs w:val="22"/>
        </w:rPr>
      </w:pPr>
      <w:r w:rsidRPr="00E17D15">
        <w:rPr>
          <w:b/>
          <w:bCs/>
          <w:i w:val="0"/>
          <w:iCs/>
          <w:sz w:val="22"/>
          <w:szCs w:val="22"/>
        </w:rPr>
        <w:t>Figure 13.</w:t>
      </w:r>
      <w:r w:rsidRPr="00E17D15">
        <w:rPr>
          <w:sz w:val="22"/>
          <w:szCs w:val="22"/>
        </w:rPr>
        <w:t xml:space="preserve"> </w:t>
      </w:r>
      <w:r w:rsidRPr="00E17D15">
        <w:rPr>
          <w:i w:val="0"/>
          <w:iCs/>
          <w:sz w:val="22"/>
          <w:szCs w:val="22"/>
        </w:rPr>
        <w:t xml:space="preserve">Multi-period optimization of water use under “remote” ecological cost. The figure depicts the relationship of multi-period benefits of province </w:t>
      </w:r>
      <m:oMath>
        <m:r>
          <w:rPr>
            <w:rFonts w:ascii="Cambria Math" w:hAnsi="Cambria Math"/>
            <w:sz w:val="22"/>
            <w:szCs w:val="22"/>
          </w:rPr>
          <m:t>i</m:t>
        </m:r>
      </m:oMath>
      <w:r w:rsidRPr="00E17D15">
        <w:rPr>
          <w:i w:val="0"/>
          <w:iCs/>
          <w:sz w:val="22"/>
          <w:szCs w:val="22"/>
        </w:rPr>
        <w:t xml:space="preserve"> and water use under Case 3 with “remote” ecological cost. Assume </w:t>
      </w:r>
      <m:oMath>
        <m:r>
          <w:rPr>
            <w:rFonts w:ascii="Cambria Math" w:hAnsi="Cambria Math"/>
            <w:sz w:val="22"/>
            <w:szCs w:val="22"/>
          </w:rPr>
          <m:t>F</m:t>
        </m:r>
        <m:d>
          <m:dPr>
            <m:ctrlPr>
              <w:rPr>
                <w:rFonts w:ascii="Cambria Math" w:hAnsi="Cambria Math"/>
                <w:i w:val="0"/>
                <w:iCs/>
                <w:sz w:val="22"/>
                <w:szCs w:val="22"/>
              </w:rPr>
            </m:ctrlPr>
          </m:dPr>
          <m:e>
            <m:r>
              <w:rPr>
                <w:rFonts w:ascii="Cambria Math" w:hAnsi="Cambria Math"/>
                <w:sz w:val="22"/>
                <w:szCs w:val="22"/>
              </w:rPr>
              <m:t>x</m:t>
            </m:r>
          </m:e>
        </m:d>
        <m:r>
          <w:rPr>
            <w:rFonts w:ascii="Cambria Math" w:hAnsi="Cambria Math"/>
            <w:sz w:val="22"/>
            <w:szCs w:val="22"/>
          </w:rPr>
          <m:t>=ln</m:t>
        </m:r>
        <m:d>
          <m:dPr>
            <m:ctrlPr>
              <w:rPr>
                <w:rFonts w:ascii="Cambria Math" w:hAnsi="Cambria Math"/>
                <w:i w:val="0"/>
                <w:iCs/>
                <w:sz w:val="22"/>
                <w:szCs w:val="22"/>
              </w:rPr>
            </m:ctrlPr>
          </m:dPr>
          <m:e>
            <m:r>
              <w:rPr>
                <w:rFonts w:ascii="Cambria Math" w:hAnsi="Cambria Math"/>
                <w:sz w:val="22"/>
                <w:szCs w:val="22"/>
              </w:rPr>
              <m:t>1+x</m:t>
            </m:r>
          </m:e>
        </m:d>
      </m:oMath>
      <w:r w:rsidRPr="00E17D15">
        <w:rPr>
          <w:i w:val="0"/>
          <w:iCs/>
          <w:sz w:val="22"/>
          <w:szCs w:val="22"/>
        </w:rPr>
        <w:t xml:space="preserve">, </w:t>
      </w:r>
      <m:oMath>
        <m:r>
          <w:rPr>
            <w:rFonts w:ascii="Cambria Math" w:hAnsi="Cambria Math"/>
            <w:sz w:val="22"/>
            <w:szCs w:val="22"/>
          </w:rPr>
          <m:t>N=8</m:t>
        </m:r>
      </m:oMath>
      <w:r w:rsidRPr="00E17D15">
        <w:rPr>
          <w:i w:val="0"/>
          <w:iCs/>
          <w:sz w:val="22"/>
          <w:szCs w:val="22"/>
        </w:rPr>
        <w:t xml:space="preserve">, </w:t>
      </w:r>
      <m:oMath>
        <m:r>
          <w:rPr>
            <w:rFonts w:ascii="Cambria Math" w:hAnsi="Cambria Math"/>
            <w:sz w:val="22"/>
            <w:szCs w:val="22"/>
          </w:rPr>
          <m:t>P=1</m:t>
        </m:r>
      </m:oMath>
      <w:r w:rsidRPr="00E17D15">
        <w:rPr>
          <w:i w:val="0"/>
          <w:iCs/>
          <w:sz w:val="22"/>
          <w:szCs w:val="22"/>
        </w:rPr>
        <w:t xml:space="preserve">, </w:t>
      </w:r>
      <m:oMath>
        <m:r>
          <w:rPr>
            <w:rFonts w:ascii="Cambria Math" w:hAnsi="Cambria Math"/>
            <w:sz w:val="22"/>
            <w:szCs w:val="22"/>
          </w:rPr>
          <m:t>C=0.5</m:t>
        </m:r>
      </m:oMath>
      <w:r w:rsidRPr="00E17D15">
        <w:rPr>
          <w:i w:val="0"/>
          <w:iCs/>
          <w:sz w:val="22"/>
          <w:szCs w:val="22"/>
        </w:rPr>
        <w:t xml:space="preserve">, </w:t>
      </w:r>
      <m:oMath>
        <m:sSub>
          <m:sSubPr>
            <m:ctrlPr>
              <w:rPr>
                <w:rFonts w:ascii="Cambria Math" w:hAnsi="Cambria Math"/>
                <w:i w:val="0"/>
                <w:iCs/>
                <w:sz w:val="22"/>
                <w:szCs w:val="22"/>
              </w:rPr>
            </m:ctrlPr>
          </m:sSubPr>
          <m:e>
            <m:r>
              <w:rPr>
                <w:rFonts w:ascii="Cambria Math" w:hAnsi="Cambria Math"/>
                <w:sz w:val="22"/>
                <w:szCs w:val="22"/>
              </w:rPr>
              <m:t>β</m:t>
            </m:r>
          </m:e>
          <m:sub>
            <m:r>
              <w:rPr>
                <w:rFonts w:ascii="Cambria Math" w:hAnsi="Cambria Math"/>
                <w:sz w:val="22"/>
                <w:szCs w:val="22"/>
              </w:rPr>
              <m:t>economy</m:t>
            </m:r>
          </m:sub>
        </m:sSub>
        <m:r>
          <w:rPr>
            <w:rFonts w:ascii="Cambria Math" w:hAnsi="Cambria Math"/>
            <w:sz w:val="22"/>
            <w:szCs w:val="22"/>
          </w:rPr>
          <m:t>=0.7</m:t>
        </m:r>
      </m:oMath>
      <w:r w:rsidRPr="00E17D15">
        <w:rPr>
          <w:i w:val="0"/>
          <w:iCs/>
          <w:sz w:val="22"/>
          <w:szCs w:val="22"/>
        </w:rPr>
        <w:t xml:space="preserve">, </w:t>
      </w:r>
      <m:oMath>
        <m:sSub>
          <m:sSubPr>
            <m:ctrlPr>
              <w:rPr>
                <w:rFonts w:ascii="Cambria Math" w:hAnsi="Cambria Math"/>
                <w:i w:val="0"/>
                <w:iCs/>
                <w:sz w:val="22"/>
                <w:szCs w:val="22"/>
              </w:rPr>
            </m:ctrlPr>
          </m:sSubPr>
          <m:e>
            <m:r>
              <w:rPr>
                <w:rFonts w:ascii="Cambria Math" w:hAnsi="Cambria Math"/>
                <w:sz w:val="22"/>
                <w:szCs w:val="22"/>
              </w:rPr>
              <m:t>β</m:t>
            </m:r>
          </m:e>
          <m:sub>
            <m:r>
              <w:rPr>
                <w:rFonts w:ascii="Cambria Math" w:hAnsi="Cambria Math"/>
                <w:sz w:val="22"/>
                <w:szCs w:val="22"/>
              </w:rPr>
              <m:t>ecology</m:t>
            </m:r>
          </m:sub>
        </m:sSub>
        <m:r>
          <w:rPr>
            <w:rFonts w:ascii="Cambria Math" w:hAnsi="Cambria Math"/>
            <w:sz w:val="22"/>
            <w:szCs w:val="22"/>
          </w:rPr>
          <m:t>=0.3</m:t>
        </m:r>
      </m:oMath>
      <w:r w:rsidRPr="00E17D15">
        <w:rPr>
          <w:i w:val="0"/>
          <w:iCs/>
          <w:sz w:val="22"/>
          <w:szCs w:val="22"/>
        </w:rPr>
        <w:t xml:space="preserve">, and </w:t>
      </w:r>
      <m:oMath>
        <m:r>
          <w:rPr>
            <w:rFonts w:ascii="Cambria Math" w:hAnsi="Cambria Math"/>
            <w:sz w:val="22"/>
            <w:szCs w:val="22"/>
          </w:rPr>
          <m:t>Q=8</m:t>
        </m:r>
      </m:oMath>
      <w:r w:rsidRPr="00E17D15">
        <w:rPr>
          <w:i w:val="0"/>
          <w:iCs/>
          <w:sz w:val="22"/>
          <w:szCs w:val="22"/>
        </w:rPr>
        <w:t>.</w:t>
      </w:r>
    </w:p>
    <w:bookmarkEnd w:id="28"/>
    <w:p w14:paraId="75AF30EA" w14:textId="77777777" w:rsidR="005F5ADD" w:rsidRDefault="00704920">
      <w:pPr>
        <w:pStyle w:val="1"/>
      </w:pPr>
      <w:r>
        <w:t>Ref</w:t>
      </w:r>
      <w:r>
        <w:t>erence</w:t>
      </w:r>
    </w:p>
    <w:p w14:paraId="5CF4887A" w14:textId="77777777" w:rsidR="005F5ADD" w:rsidRDefault="00704920">
      <w:pPr>
        <w:pStyle w:val="ab"/>
      </w:pPr>
      <w:bookmarkStart w:id="32" w:name="ref-distefano2017"/>
      <w:bookmarkStart w:id="33" w:name="refs"/>
      <w:r>
        <w:t xml:space="preserve">1. </w:t>
      </w:r>
      <w:r>
        <w:tab/>
        <w:t xml:space="preserve">Distefano, T. &amp; Kelly, S. </w:t>
      </w:r>
      <w:hyperlink r:id="rId27">
        <w:r>
          <w:rPr>
            <w:rStyle w:val="af2"/>
          </w:rPr>
          <w:t>Are we in deep water? Water scarcity and its limits to economic growth</w:t>
        </w:r>
      </w:hyperlink>
      <w:r>
        <w:t xml:space="preserve">. </w:t>
      </w:r>
      <w:r>
        <w:rPr>
          <w:i/>
          <w:iCs/>
        </w:rPr>
        <w:t>Ecological Economics</w:t>
      </w:r>
      <w:r>
        <w:t xml:space="preserve"> </w:t>
      </w:r>
      <w:r>
        <w:rPr>
          <w:b/>
          <w:bCs/>
        </w:rPr>
        <w:t>142</w:t>
      </w:r>
      <w:r>
        <w:t>, 130–147 (2017).</w:t>
      </w:r>
    </w:p>
    <w:p w14:paraId="2C2499BF" w14:textId="77777777" w:rsidR="005F5ADD" w:rsidRDefault="00704920">
      <w:pPr>
        <w:pStyle w:val="ab"/>
      </w:pPr>
      <w:bookmarkStart w:id="34" w:name="ref-dolan2021"/>
      <w:bookmarkEnd w:id="32"/>
      <w:r>
        <w:t xml:space="preserve">2. </w:t>
      </w:r>
      <w:r>
        <w:tab/>
        <w:t xml:space="preserve">Dolan, F. </w:t>
      </w:r>
      <w:r>
        <w:rPr>
          <w:i/>
          <w:iCs/>
        </w:rPr>
        <w:t>et al.</w:t>
      </w:r>
      <w:r>
        <w:t xml:space="preserve"> </w:t>
      </w:r>
      <w:hyperlink r:id="rId28">
        <w:r>
          <w:rPr>
            <w:rStyle w:val="af2"/>
          </w:rPr>
          <w:t>Evaluating the economic impact of water scarcity in a changing world</w:t>
        </w:r>
      </w:hyperlink>
      <w:r>
        <w:t xml:space="preserve">. </w:t>
      </w:r>
      <w:r>
        <w:rPr>
          <w:i/>
          <w:iCs/>
        </w:rPr>
        <w:t>Nat. Commun.</w:t>
      </w:r>
      <w:r>
        <w:t xml:space="preserve"> </w:t>
      </w:r>
      <w:r>
        <w:rPr>
          <w:b/>
          <w:bCs/>
        </w:rPr>
        <w:t>12</w:t>
      </w:r>
      <w:r>
        <w:t>, 1915 (2021).</w:t>
      </w:r>
    </w:p>
    <w:p w14:paraId="132AFDAB" w14:textId="77777777" w:rsidR="005F5ADD" w:rsidRDefault="00704920">
      <w:pPr>
        <w:pStyle w:val="ab"/>
      </w:pPr>
      <w:bookmarkStart w:id="35" w:name="ref-xu2020b"/>
      <w:bookmarkEnd w:id="34"/>
      <w:r>
        <w:t xml:space="preserve">3. </w:t>
      </w:r>
      <w:r>
        <w:tab/>
        <w:t xml:space="preserve">Xu, Z. </w:t>
      </w:r>
      <w:r>
        <w:rPr>
          <w:i/>
          <w:iCs/>
        </w:rPr>
        <w:t>et al.</w:t>
      </w:r>
      <w:r>
        <w:t xml:space="preserve"> </w:t>
      </w:r>
      <w:hyperlink r:id="rId29">
        <w:r>
          <w:rPr>
            <w:rStyle w:val="af2"/>
          </w:rPr>
          <w:t>Assessing progres</w:t>
        </w:r>
        <w:r>
          <w:rPr>
            <w:rStyle w:val="af2"/>
          </w:rPr>
          <w:t>s towards sustainable development over space and time</w:t>
        </w:r>
      </w:hyperlink>
      <w:r>
        <w:t xml:space="preserve">. </w:t>
      </w:r>
      <w:r>
        <w:rPr>
          <w:i/>
          <w:iCs/>
        </w:rPr>
        <w:t>Nature</w:t>
      </w:r>
      <w:r>
        <w:t xml:space="preserve"> </w:t>
      </w:r>
      <w:r>
        <w:rPr>
          <w:b/>
          <w:bCs/>
        </w:rPr>
        <w:t>577</w:t>
      </w:r>
      <w:r>
        <w:t>, 74–78 (2020).</w:t>
      </w:r>
    </w:p>
    <w:p w14:paraId="73525552" w14:textId="77777777" w:rsidR="005F5ADD" w:rsidRDefault="00704920">
      <w:pPr>
        <w:pStyle w:val="ab"/>
      </w:pPr>
      <w:bookmarkStart w:id="36" w:name="ref-mekonnen2016"/>
      <w:bookmarkEnd w:id="35"/>
      <w:r>
        <w:t xml:space="preserve">4. </w:t>
      </w:r>
      <w:r>
        <w:tab/>
        <w:t xml:space="preserve">Mekonnen, M. M. &amp; Hoekstra, A. Y. </w:t>
      </w:r>
      <w:hyperlink r:id="rId30">
        <w:r>
          <w:rPr>
            <w:rStyle w:val="af2"/>
          </w:rPr>
          <w:t>Four billion people facing severe water scarcity</w:t>
        </w:r>
      </w:hyperlink>
      <w:r>
        <w:t xml:space="preserve">. </w:t>
      </w:r>
      <w:r>
        <w:rPr>
          <w:i/>
          <w:iCs/>
        </w:rPr>
        <w:t>Sci. Adv.</w:t>
      </w:r>
      <w:r>
        <w:t xml:space="preserve"> </w:t>
      </w:r>
      <w:r>
        <w:rPr>
          <w:b/>
          <w:bCs/>
        </w:rPr>
        <w:t>2</w:t>
      </w:r>
      <w:r>
        <w:t>, e1500323 (2016).</w:t>
      </w:r>
    </w:p>
    <w:p w14:paraId="38A02094" w14:textId="77777777" w:rsidR="005F5ADD" w:rsidRDefault="00704920">
      <w:pPr>
        <w:pStyle w:val="ab"/>
      </w:pPr>
      <w:bookmarkStart w:id="37" w:name="ref-gleick2010"/>
      <w:bookmarkEnd w:id="36"/>
      <w:r>
        <w:t xml:space="preserve">5. </w:t>
      </w:r>
      <w:r>
        <w:tab/>
        <w:t xml:space="preserve">Gleick, P. H. &amp; Palaniappan, M. </w:t>
      </w:r>
      <w:hyperlink r:id="rId31">
        <w:r>
          <w:rPr>
            <w:rStyle w:val="af2"/>
          </w:rPr>
          <w:t>Peak water limits to freshwater withdrawal and use</w:t>
        </w:r>
      </w:hyperlink>
      <w:r>
        <w:t xml:space="preserve">. </w:t>
      </w:r>
      <w:r>
        <w:rPr>
          <w:i/>
          <w:iCs/>
        </w:rPr>
        <w:t>PNAS</w:t>
      </w:r>
      <w:r>
        <w:t xml:space="preserve"> </w:t>
      </w:r>
      <w:r>
        <w:rPr>
          <w:b/>
          <w:bCs/>
        </w:rPr>
        <w:t>107</w:t>
      </w:r>
      <w:r>
        <w:t>, 11155–11162 (2010).</w:t>
      </w:r>
    </w:p>
    <w:p w14:paraId="720E95EB" w14:textId="77777777" w:rsidR="005F5ADD" w:rsidRDefault="00704920">
      <w:pPr>
        <w:pStyle w:val="ab"/>
      </w:pPr>
      <w:bookmarkStart w:id="38" w:name="ref-ziolkowska2016"/>
      <w:bookmarkEnd w:id="37"/>
      <w:r>
        <w:t xml:space="preserve">6. </w:t>
      </w:r>
      <w:r>
        <w:tab/>
        <w:t xml:space="preserve">Ziolkowska, J. R. &amp; Peterson, J. M. </w:t>
      </w:r>
      <w:r>
        <w:rPr>
          <w:i/>
          <w:iCs/>
        </w:rPr>
        <w:t>Competition for Water Resources: Exper</w:t>
      </w:r>
      <w:r>
        <w:rPr>
          <w:i/>
          <w:iCs/>
        </w:rPr>
        <w:t>iences and Management Approaches in the US and Europe</w:t>
      </w:r>
      <w:r>
        <w:t>. (Elsevier, 2016).</w:t>
      </w:r>
    </w:p>
    <w:p w14:paraId="349A5581" w14:textId="77777777" w:rsidR="005F5ADD" w:rsidRDefault="00704920">
      <w:pPr>
        <w:pStyle w:val="ab"/>
      </w:pPr>
      <w:bookmarkStart w:id="39" w:name="ref-wang2019d"/>
      <w:bookmarkEnd w:id="38"/>
      <w:r>
        <w:t xml:space="preserve">7. </w:t>
      </w:r>
      <w:r>
        <w:tab/>
        <w:t xml:space="preserve">Wang, S. </w:t>
      </w:r>
      <w:r>
        <w:rPr>
          <w:i/>
          <w:iCs/>
        </w:rPr>
        <w:t>et al.</w:t>
      </w:r>
      <w:r>
        <w:t xml:space="preserve"> </w:t>
      </w:r>
      <w:hyperlink r:id="rId32">
        <w:r>
          <w:rPr>
            <w:rStyle w:val="af2"/>
          </w:rPr>
          <w:t>Alignment of social and ecological structures increased the ability of river management</w:t>
        </w:r>
      </w:hyperlink>
      <w:r>
        <w:t xml:space="preserve">. </w:t>
      </w:r>
      <w:r>
        <w:rPr>
          <w:i/>
          <w:iCs/>
        </w:rPr>
        <w:t>Sci. Bull.</w:t>
      </w:r>
      <w:r>
        <w:t xml:space="preserve"> </w:t>
      </w:r>
      <w:r>
        <w:rPr>
          <w:b/>
          <w:bCs/>
        </w:rPr>
        <w:t>6</w:t>
      </w:r>
      <w:r>
        <w:rPr>
          <w:b/>
          <w:bCs/>
        </w:rPr>
        <w:t>4</w:t>
      </w:r>
      <w:r>
        <w:t>, 1318–1324 (2019).</w:t>
      </w:r>
    </w:p>
    <w:p w14:paraId="1FCEF687" w14:textId="77777777" w:rsidR="005F5ADD" w:rsidRDefault="00704920">
      <w:pPr>
        <w:pStyle w:val="ab"/>
      </w:pPr>
      <w:bookmarkStart w:id="40" w:name="ref-giuliani2013"/>
      <w:bookmarkEnd w:id="39"/>
      <w:r>
        <w:lastRenderedPageBreak/>
        <w:t xml:space="preserve">8. </w:t>
      </w:r>
      <w:r>
        <w:tab/>
        <w:t xml:space="preserve">Giuliani, M. &amp; Castelletti, A. </w:t>
      </w:r>
      <w:hyperlink r:id="rId33">
        <w:r>
          <w:rPr>
            <w:rStyle w:val="af2"/>
          </w:rPr>
          <w:t>Assessing the value of cooperation and information exchange in large water resources systems by agent-based optimization</w:t>
        </w:r>
      </w:hyperlink>
      <w:r>
        <w:t xml:space="preserve">. </w:t>
      </w:r>
      <w:r>
        <w:rPr>
          <w:i/>
          <w:iCs/>
        </w:rPr>
        <w:t>Water Resour. Res.</w:t>
      </w:r>
      <w:r>
        <w:t xml:space="preserve"> </w:t>
      </w:r>
      <w:r>
        <w:rPr>
          <w:b/>
          <w:bCs/>
        </w:rPr>
        <w:t>49</w:t>
      </w:r>
      <w:r>
        <w:t>, 3</w:t>
      </w:r>
      <w:r>
        <w:t>912–3926 (2013).</w:t>
      </w:r>
    </w:p>
    <w:p w14:paraId="61D46984" w14:textId="77777777" w:rsidR="005F5ADD" w:rsidRDefault="00704920">
      <w:pPr>
        <w:pStyle w:val="ab"/>
      </w:pPr>
      <w:bookmarkStart w:id="41" w:name="ref-falkenmark2019"/>
      <w:bookmarkEnd w:id="40"/>
      <w:r>
        <w:t xml:space="preserve">9. </w:t>
      </w:r>
      <w:r>
        <w:tab/>
        <w:t xml:space="preserve">Falkenmark, M., Wang-Erlandsson, L. &amp; RockstrÖm, J. </w:t>
      </w:r>
      <w:hyperlink r:id="rId34">
        <w:r>
          <w:rPr>
            <w:rStyle w:val="af2"/>
          </w:rPr>
          <w:t>Understanding of water resilience in the Anthropocene</w:t>
        </w:r>
      </w:hyperlink>
      <w:r>
        <w:t xml:space="preserve">. </w:t>
      </w:r>
      <w:r>
        <w:rPr>
          <w:i/>
          <w:iCs/>
        </w:rPr>
        <w:t>Journal of Hydrology X</w:t>
      </w:r>
      <w:r>
        <w:t xml:space="preserve"> </w:t>
      </w:r>
      <w:r>
        <w:rPr>
          <w:b/>
          <w:bCs/>
        </w:rPr>
        <w:t>2</w:t>
      </w:r>
      <w:r>
        <w:t>, 100009 (2019).</w:t>
      </w:r>
    </w:p>
    <w:p w14:paraId="2CE0C9F1" w14:textId="77777777" w:rsidR="005F5ADD" w:rsidRDefault="00704920">
      <w:pPr>
        <w:pStyle w:val="ab"/>
      </w:pPr>
      <w:bookmarkStart w:id="42" w:name="ref-jaeger2019"/>
      <w:bookmarkEnd w:id="41"/>
      <w:r>
        <w:t xml:space="preserve">10. </w:t>
      </w:r>
      <w:r>
        <w:tab/>
        <w:t xml:space="preserve">Jaeger, W. K. </w:t>
      </w:r>
      <w:r>
        <w:rPr>
          <w:i/>
          <w:iCs/>
        </w:rPr>
        <w:t>et a</w:t>
      </w:r>
      <w:r>
        <w:rPr>
          <w:i/>
          <w:iCs/>
        </w:rPr>
        <w:t>l.</w:t>
      </w:r>
      <w:r>
        <w:t xml:space="preserve"> </w:t>
      </w:r>
      <w:hyperlink r:id="rId35">
        <w:r>
          <w:rPr>
            <w:rStyle w:val="af2"/>
          </w:rPr>
          <w:t>Scope and limitations of drought management within complex human-natural systems</w:t>
        </w:r>
      </w:hyperlink>
      <w:r>
        <w:t xml:space="preserve">. </w:t>
      </w:r>
      <w:r>
        <w:rPr>
          <w:i/>
          <w:iCs/>
        </w:rPr>
        <w:t>Nat. Sustain.</w:t>
      </w:r>
      <w:r>
        <w:t xml:space="preserve"> </w:t>
      </w:r>
      <w:r>
        <w:rPr>
          <w:b/>
          <w:bCs/>
        </w:rPr>
        <w:t>2</w:t>
      </w:r>
      <w:r>
        <w:t>, 710–717 (2019).</w:t>
      </w:r>
    </w:p>
    <w:p w14:paraId="46AFE5FC" w14:textId="77777777" w:rsidR="005F5ADD" w:rsidRDefault="00704920">
      <w:pPr>
        <w:pStyle w:val="ab"/>
      </w:pPr>
      <w:bookmarkStart w:id="43" w:name="ref-florke2018"/>
      <w:bookmarkEnd w:id="42"/>
      <w:r>
        <w:t xml:space="preserve">11. </w:t>
      </w:r>
      <w:r>
        <w:tab/>
        <w:t xml:space="preserve">FlÖrke, M., Schneider, C. &amp; McDonald, R. I. </w:t>
      </w:r>
      <w:hyperlink r:id="rId36">
        <w:r>
          <w:rPr>
            <w:rStyle w:val="af2"/>
          </w:rPr>
          <w:t>Water competition between cities and agriculture driven by climate change and urban growth</w:t>
        </w:r>
      </w:hyperlink>
      <w:r>
        <w:t xml:space="preserve">. </w:t>
      </w:r>
      <w:r>
        <w:rPr>
          <w:i/>
          <w:iCs/>
        </w:rPr>
        <w:t>Nat. Sustain.</w:t>
      </w:r>
      <w:r>
        <w:t xml:space="preserve"> </w:t>
      </w:r>
      <w:r>
        <w:rPr>
          <w:b/>
          <w:bCs/>
        </w:rPr>
        <w:t>1</w:t>
      </w:r>
      <w:r>
        <w:t>, 51–58 (2018).</w:t>
      </w:r>
    </w:p>
    <w:p w14:paraId="6516E0AB" w14:textId="77777777" w:rsidR="005F5ADD" w:rsidRDefault="00704920">
      <w:pPr>
        <w:pStyle w:val="ab"/>
      </w:pPr>
      <w:bookmarkStart w:id="44" w:name="ref-yoon2021"/>
      <w:bookmarkEnd w:id="43"/>
      <w:r>
        <w:t xml:space="preserve">12. </w:t>
      </w:r>
      <w:r>
        <w:tab/>
        <w:t xml:space="preserve">Yoon, J. </w:t>
      </w:r>
      <w:r>
        <w:rPr>
          <w:i/>
          <w:iCs/>
        </w:rPr>
        <w:t>et al.</w:t>
      </w:r>
      <w:r>
        <w:t xml:space="preserve"> </w:t>
      </w:r>
      <w:hyperlink r:id="rId37">
        <w:r>
          <w:rPr>
            <w:rStyle w:val="af2"/>
          </w:rPr>
          <w:t>A coupled human–natu</w:t>
        </w:r>
        <w:r>
          <w:rPr>
            <w:rStyle w:val="af2"/>
          </w:rPr>
          <w:t>ral system analysis of freshwater security under climate and population change</w:t>
        </w:r>
      </w:hyperlink>
      <w:r>
        <w:t xml:space="preserve">. </w:t>
      </w:r>
      <w:r>
        <w:rPr>
          <w:i/>
          <w:iCs/>
        </w:rPr>
        <w:t>Proc Natl Acad Sci USA</w:t>
      </w:r>
      <w:r>
        <w:t xml:space="preserve"> </w:t>
      </w:r>
      <w:r>
        <w:rPr>
          <w:b/>
          <w:bCs/>
        </w:rPr>
        <w:t>118</w:t>
      </w:r>
      <w:r>
        <w:t>, e2020431118 (2021).</w:t>
      </w:r>
    </w:p>
    <w:p w14:paraId="39B5DE15" w14:textId="77777777" w:rsidR="005F5ADD" w:rsidRDefault="00704920">
      <w:pPr>
        <w:pStyle w:val="ab"/>
      </w:pPr>
      <w:bookmarkStart w:id="45" w:name="ref-long2020"/>
      <w:bookmarkEnd w:id="44"/>
      <w:r>
        <w:t xml:space="preserve">13. </w:t>
      </w:r>
      <w:r>
        <w:tab/>
        <w:t xml:space="preserve">Long, D. </w:t>
      </w:r>
      <w:r>
        <w:rPr>
          <w:i/>
          <w:iCs/>
        </w:rPr>
        <w:t>et al.</w:t>
      </w:r>
      <w:r>
        <w:t xml:space="preserve"> </w:t>
      </w:r>
      <w:hyperlink r:id="rId38">
        <w:r>
          <w:rPr>
            <w:rStyle w:val="af2"/>
          </w:rPr>
          <w:t>South-to-</w:t>
        </w:r>
        <w:r>
          <w:rPr>
            <w:rStyle w:val="af2"/>
          </w:rPr>
          <w:t>North Water Diversion stabilizing Beijing’s groundwater levels</w:t>
        </w:r>
      </w:hyperlink>
      <w:r>
        <w:t xml:space="preserve">. </w:t>
      </w:r>
      <w:r>
        <w:rPr>
          <w:i/>
          <w:iCs/>
        </w:rPr>
        <w:t>Nat Commun</w:t>
      </w:r>
      <w:r>
        <w:t xml:space="preserve"> </w:t>
      </w:r>
      <w:r>
        <w:rPr>
          <w:b/>
          <w:bCs/>
        </w:rPr>
        <w:t>11</w:t>
      </w:r>
      <w:r>
        <w:t>, 3665 (2020).</w:t>
      </w:r>
    </w:p>
    <w:p w14:paraId="11159CEE" w14:textId="77777777" w:rsidR="005F5ADD" w:rsidRDefault="00704920">
      <w:pPr>
        <w:pStyle w:val="ab"/>
      </w:pPr>
      <w:bookmarkStart w:id="46" w:name="ref-young2008"/>
      <w:bookmarkEnd w:id="45"/>
      <w:r>
        <w:t xml:space="preserve">14. </w:t>
      </w:r>
      <w:r>
        <w:tab/>
      </w:r>
      <w:r>
        <w:rPr>
          <w:i/>
          <w:iCs/>
        </w:rPr>
        <w:t>Institutions and environmental change: Principal findings, applications, and research frontiers</w:t>
      </w:r>
      <w:r>
        <w:t>. (MIT Press, 2008).</w:t>
      </w:r>
    </w:p>
    <w:p w14:paraId="05320D03" w14:textId="77777777" w:rsidR="005F5ADD" w:rsidRDefault="00704920">
      <w:pPr>
        <w:pStyle w:val="ab"/>
      </w:pPr>
      <w:bookmarkStart w:id="47" w:name="ref-cumming2020b"/>
      <w:bookmarkEnd w:id="46"/>
      <w:r>
        <w:t xml:space="preserve">15. </w:t>
      </w:r>
      <w:r>
        <w:tab/>
        <w:t xml:space="preserve">Cumming, G. S. </w:t>
      </w:r>
      <w:r>
        <w:rPr>
          <w:i/>
          <w:iCs/>
        </w:rPr>
        <w:t>et al.</w:t>
      </w:r>
      <w:r>
        <w:t xml:space="preserve"> </w:t>
      </w:r>
      <w:hyperlink r:id="rId39">
        <w:r>
          <w:rPr>
            <w:rStyle w:val="af2"/>
          </w:rPr>
          <w:t>Advancing understanding of natural resource governance: A post-Ostrom research agenda</w:t>
        </w:r>
      </w:hyperlink>
      <w:r>
        <w:t xml:space="preserve">. </w:t>
      </w:r>
      <w:r>
        <w:rPr>
          <w:i/>
          <w:iCs/>
        </w:rPr>
        <w:t>Current Opinion in Environmental Sustainability</w:t>
      </w:r>
      <w:r>
        <w:t xml:space="preserve"> </w:t>
      </w:r>
      <w:r>
        <w:rPr>
          <w:b/>
          <w:bCs/>
        </w:rPr>
        <w:t>44</w:t>
      </w:r>
      <w:r>
        <w:t>, 26–34 (2020).</w:t>
      </w:r>
    </w:p>
    <w:p w14:paraId="6C29E88E" w14:textId="77777777" w:rsidR="005F5ADD" w:rsidRDefault="00704920">
      <w:pPr>
        <w:pStyle w:val="ab"/>
      </w:pPr>
      <w:bookmarkStart w:id="48" w:name="ref-lien2020"/>
      <w:bookmarkEnd w:id="47"/>
      <w:r>
        <w:t xml:space="preserve">16. </w:t>
      </w:r>
      <w:r>
        <w:tab/>
        <w:t xml:space="preserve">Lien, A. M. </w:t>
      </w:r>
      <w:hyperlink r:id="rId40">
        <w:r>
          <w:rPr>
            <w:rStyle w:val="af2"/>
          </w:rPr>
          <w:t>The institutional grammar tool in policy analysis and applications to resilience and robustness research</w:t>
        </w:r>
      </w:hyperlink>
      <w:r>
        <w:t xml:space="preserve">. </w:t>
      </w:r>
      <w:r>
        <w:rPr>
          <w:i/>
          <w:iCs/>
        </w:rPr>
        <w:t>Current Opinion in Environmental Sustainability</w:t>
      </w:r>
      <w:r>
        <w:t xml:space="preserve"> </w:t>
      </w:r>
      <w:r>
        <w:rPr>
          <w:b/>
          <w:bCs/>
        </w:rPr>
        <w:t>44</w:t>
      </w:r>
      <w:r>
        <w:t>, 1–5 (2020).</w:t>
      </w:r>
    </w:p>
    <w:p w14:paraId="1ECB7FD5" w14:textId="77777777" w:rsidR="005F5ADD" w:rsidRDefault="00704920">
      <w:pPr>
        <w:pStyle w:val="ab"/>
      </w:pPr>
      <w:bookmarkStart w:id="49" w:name="ref-bodin2017b"/>
      <w:bookmarkEnd w:id="48"/>
      <w:r>
        <w:t xml:space="preserve">17. </w:t>
      </w:r>
      <w:r>
        <w:tab/>
        <w:t xml:space="preserve">Bodin, O. </w:t>
      </w:r>
      <w:hyperlink r:id="rId41">
        <w:r>
          <w:rPr>
            <w:rStyle w:val="af2"/>
          </w:rPr>
          <w:t>Collaborative environmental governance: Achieving collective action in social-ecological systems</w:t>
        </w:r>
      </w:hyperlink>
      <w:r>
        <w:t xml:space="preserve">. </w:t>
      </w:r>
      <w:r>
        <w:rPr>
          <w:i/>
          <w:iCs/>
        </w:rPr>
        <w:t>Science</w:t>
      </w:r>
      <w:r>
        <w:t xml:space="preserve"> </w:t>
      </w:r>
      <w:r>
        <w:rPr>
          <w:b/>
          <w:bCs/>
        </w:rPr>
        <w:t>357</w:t>
      </w:r>
      <w:r>
        <w:t>, eaan1114 (2017).</w:t>
      </w:r>
    </w:p>
    <w:p w14:paraId="7FF3C5BF" w14:textId="77777777" w:rsidR="005F5ADD" w:rsidRDefault="00704920">
      <w:pPr>
        <w:pStyle w:val="ab"/>
      </w:pPr>
      <w:bookmarkStart w:id="50" w:name="ref-kluger2020"/>
      <w:bookmarkEnd w:id="49"/>
      <w:r>
        <w:t xml:space="preserve">18. </w:t>
      </w:r>
      <w:r>
        <w:tab/>
        <w:t xml:space="preserve">Kluger, L. C., Gorris, P., Kochalski, S., Mueller, M. S. &amp; Romagnoni, G. </w:t>
      </w:r>
      <w:hyperlink r:id="rId42">
        <w:r>
          <w:rPr>
            <w:rStyle w:val="af2"/>
          </w:rPr>
          <w:t>Studying human–nature relationships through a network lens: A systematic review</w:t>
        </w:r>
      </w:hyperlink>
      <w:r>
        <w:t xml:space="preserve">. </w:t>
      </w:r>
      <w:r>
        <w:rPr>
          <w:i/>
          <w:iCs/>
        </w:rPr>
        <w:t>People Nat.</w:t>
      </w:r>
      <w:r>
        <w:t xml:space="preserve"> </w:t>
      </w:r>
      <w:r>
        <w:rPr>
          <w:b/>
          <w:bCs/>
        </w:rPr>
        <w:t>2</w:t>
      </w:r>
      <w:r>
        <w:t>, 1100–1116 (2020).</w:t>
      </w:r>
    </w:p>
    <w:p w14:paraId="45F63981" w14:textId="77777777" w:rsidR="005F5ADD" w:rsidRDefault="00704920">
      <w:pPr>
        <w:pStyle w:val="ab"/>
      </w:pPr>
      <w:bookmarkStart w:id="51" w:name="ref-agrawal2003"/>
      <w:bookmarkEnd w:id="50"/>
      <w:r>
        <w:t xml:space="preserve">19. </w:t>
      </w:r>
      <w:r>
        <w:tab/>
        <w:t xml:space="preserve">Agrawal, A. </w:t>
      </w:r>
      <w:hyperlink r:id="rId43">
        <w:r>
          <w:rPr>
            <w:rStyle w:val="af2"/>
          </w:rPr>
          <w:t>Sustainable Governance of Common</w:t>
        </w:r>
        <w:r>
          <w:rPr>
            <w:rStyle w:val="af2"/>
          </w:rPr>
          <w:t>-Pool Resources: Context, Methods, and Politics</w:t>
        </w:r>
      </w:hyperlink>
      <w:r>
        <w:t xml:space="preserve">. </w:t>
      </w:r>
      <w:r>
        <w:rPr>
          <w:i/>
          <w:iCs/>
        </w:rPr>
        <w:t>Annu. Rev. Anthropol.</w:t>
      </w:r>
      <w:r>
        <w:t xml:space="preserve"> </w:t>
      </w:r>
      <w:r>
        <w:rPr>
          <w:b/>
          <w:bCs/>
        </w:rPr>
        <w:t>32</w:t>
      </w:r>
      <w:r>
        <w:t>, 243–262 (2003).</w:t>
      </w:r>
    </w:p>
    <w:p w14:paraId="1208F34A" w14:textId="77777777" w:rsidR="005F5ADD" w:rsidRDefault="00704920">
      <w:pPr>
        <w:pStyle w:val="ab"/>
      </w:pPr>
      <w:bookmarkStart w:id="52" w:name="ref-persha2011"/>
      <w:bookmarkEnd w:id="51"/>
      <w:r>
        <w:t xml:space="preserve">20. </w:t>
      </w:r>
      <w:r>
        <w:tab/>
        <w:t xml:space="preserve">Persha, L., Agrawal, A. &amp; Chhatre, A. </w:t>
      </w:r>
      <w:hyperlink r:id="rId44">
        <w:r>
          <w:rPr>
            <w:rStyle w:val="af2"/>
          </w:rPr>
          <w:t>Social and Ecological Synergy: Local Rulemaking</w:t>
        </w:r>
        <w:r>
          <w:rPr>
            <w:rStyle w:val="af2"/>
          </w:rPr>
          <w:t>, Forest Livelihoods, and Biodiversity Conservation</w:t>
        </w:r>
      </w:hyperlink>
      <w:r>
        <w:t xml:space="preserve">. </w:t>
      </w:r>
      <w:r>
        <w:rPr>
          <w:i/>
          <w:iCs/>
        </w:rPr>
        <w:t>Science</w:t>
      </w:r>
      <w:r>
        <w:t xml:space="preserve"> (2011).</w:t>
      </w:r>
    </w:p>
    <w:p w14:paraId="7C6A2729" w14:textId="77777777" w:rsidR="005F5ADD" w:rsidRDefault="00704920">
      <w:pPr>
        <w:pStyle w:val="ab"/>
      </w:pPr>
      <w:bookmarkStart w:id="53" w:name="ref-agrawal2001"/>
      <w:bookmarkEnd w:id="52"/>
      <w:r>
        <w:t xml:space="preserve">21. </w:t>
      </w:r>
      <w:r>
        <w:tab/>
        <w:t xml:space="preserve">Agrawal, A. </w:t>
      </w:r>
      <w:hyperlink r:id="rId45">
        <w:r>
          <w:rPr>
            <w:rStyle w:val="af2"/>
          </w:rPr>
          <w:t>Common Property Institutions and Sustainable Governance of Resources</w:t>
        </w:r>
      </w:hyperlink>
      <w:r>
        <w:t xml:space="preserve">. </w:t>
      </w:r>
      <w:r>
        <w:rPr>
          <w:i/>
          <w:iCs/>
        </w:rPr>
        <w:t>World Development</w:t>
      </w:r>
      <w:r>
        <w:t xml:space="preserve"> </w:t>
      </w:r>
      <w:r>
        <w:rPr>
          <w:b/>
          <w:bCs/>
        </w:rPr>
        <w:t>29</w:t>
      </w:r>
      <w:r>
        <w:t>, 1649–1672 (20</w:t>
      </w:r>
      <w:r>
        <w:t>01).</w:t>
      </w:r>
    </w:p>
    <w:p w14:paraId="0F6D4277" w14:textId="77777777" w:rsidR="005F5ADD" w:rsidRDefault="00704920">
      <w:pPr>
        <w:pStyle w:val="ab"/>
      </w:pPr>
      <w:bookmarkStart w:id="54" w:name="ref-epstein2015"/>
      <w:bookmarkEnd w:id="53"/>
      <w:r>
        <w:t xml:space="preserve">22. </w:t>
      </w:r>
      <w:r>
        <w:tab/>
        <w:t xml:space="preserve">Epstein, G. </w:t>
      </w:r>
      <w:r>
        <w:rPr>
          <w:i/>
          <w:iCs/>
        </w:rPr>
        <w:t>et al.</w:t>
      </w:r>
      <w:r>
        <w:t xml:space="preserve"> </w:t>
      </w:r>
      <w:hyperlink r:id="rId46">
        <w:r>
          <w:rPr>
            <w:rStyle w:val="af2"/>
          </w:rPr>
          <w:t>Institutional fit and the sustainability of social–ecological systems</w:t>
        </w:r>
      </w:hyperlink>
      <w:r>
        <w:t xml:space="preserve">. </w:t>
      </w:r>
      <w:r>
        <w:rPr>
          <w:i/>
          <w:iCs/>
        </w:rPr>
        <w:t>Current Opinion in Environmental Sustainability</w:t>
      </w:r>
      <w:r>
        <w:t xml:space="preserve"> </w:t>
      </w:r>
      <w:r>
        <w:rPr>
          <w:b/>
          <w:bCs/>
        </w:rPr>
        <w:t>14</w:t>
      </w:r>
      <w:r>
        <w:t>, 34–40 (2015).</w:t>
      </w:r>
    </w:p>
    <w:p w14:paraId="6D9B785D" w14:textId="77777777" w:rsidR="005F5ADD" w:rsidRDefault="00704920">
      <w:pPr>
        <w:pStyle w:val="ab"/>
      </w:pPr>
      <w:bookmarkStart w:id="55" w:name="ref-green2013"/>
      <w:bookmarkEnd w:id="54"/>
      <w:r>
        <w:t xml:space="preserve">23. </w:t>
      </w:r>
      <w:r>
        <w:tab/>
        <w:t xml:space="preserve">Green, O., Garmestani, A., van Rijswick, H. &amp; Keessen, A. </w:t>
      </w:r>
      <w:hyperlink r:id="rId47">
        <w:r>
          <w:rPr>
            <w:rStyle w:val="af2"/>
          </w:rPr>
          <w:t>EU Water Governance: Striking the Right Balance between Regulatory F</w:t>
        </w:r>
        <w:r>
          <w:rPr>
            <w:rStyle w:val="af2"/>
          </w:rPr>
          <w:t>lexibility and Enforcement?</w:t>
        </w:r>
      </w:hyperlink>
      <w:r>
        <w:t xml:space="preserve"> </w:t>
      </w:r>
      <w:r>
        <w:rPr>
          <w:i/>
          <w:iCs/>
        </w:rPr>
        <w:t>Ecol. Soc.</w:t>
      </w:r>
      <w:r>
        <w:t xml:space="preserve"> </w:t>
      </w:r>
      <w:r>
        <w:rPr>
          <w:b/>
          <w:bCs/>
        </w:rPr>
        <w:t>18</w:t>
      </w:r>
      <w:r>
        <w:t>, (2013).</w:t>
      </w:r>
    </w:p>
    <w:p w14:paraId="00657D47" w14:textId="77777777" w:rsidR="005F5ADD" w:rsidRDefault="00704920">
      <w:pPr>
        <w:pStyle w:val="ab"/>
      </w:pPr>
      <w:bookmarkStart w:id="56" w:name="ref-arkhangelsky2021"/>
      <w:bookmarkEnd w:id="55"/>
      <w:r>
        <w:t xml:space="preserve">24. </w:t>
      </w:r>
      <w:r>
        <w:tab/>
        <w:t xml:space="preserve">Arkhangelsky, D., Athey, S., Hirshberg, D. A., Imbens, G. W. &amp; Wager, S. </w:t>
      </w:r>
      <w:hyperlink r:id="rId48">
        <w:r>
          <w:rPr>
            <w:rStyle w:val="af2"/>
          </w:rPr>
          <w:t>Synthetic Difference-in-Differences</w:t>
        </w:r>
      </w:hyperlink>
      <w:r>
        <w:t xml:space="preserve">. </w:t>
      </w:r>
      <w:r>
        <w:rPr>
          <w:i/>
          <w:iCs/>
        </w:rPr>
        <w:t>Am. Econ. Rev.</w:t>
      </w:r>
      <w:r>
        <w:t xml:space="preserve"> </w:t>
      </w:r>
      <w:r>
        <w:rPr>
          <w:b/>
          <w:bCs/>
        </w:rPr>
        <w:t>111</w:t>
      </w:r>
      <w:r>
        <w:t>, 4088–4118 (202</w:t>
      </w:r>
      <w:r>
        <w:t>1).</w:t>
      </w:r>
    </w:p>
    <w:p w14:paraId="5083B913" w14:textId="77777777" w:rsidR="005F5ADD" w:rsidRDefault="00704920">
      <w:pPr>
        <w:pStyle w:val="ab"/>
      </w:pPr>
      <w:bookmarkStart w:id="57" w:name="ref-abadie2015"/>
      <w:bookmarkEnd w:id="56"/>
      <w:r>
        <w:t xml:space="preserve">25. </w:t>
      </w:r>
      <w:r>
        <w:tab/>
        <w:t xml:space="preserve">Abadie, A., Diamond, A. &amp; Hainmueller, J. </w:t>
      </w:r>
      <w:hyperlink r:id="rId49">
        <w:r>
          <w:rPr>
            <w:rStyle w:val="af2"/>
          </w:rPr>
          <w:t>Comparative Politics and the Synthetic Control Method: Comparative Politics and the Synthetic Control Method</w:t>
        </w:r>
      </w:hyperlink>
      <w:r>
        <w:t xml:space="preserve">. </w:t>
      </w:r>
      <w:r>
        <w:rPr>
          <w:i/>
          <w:iCs/>
        </w:rPr>
        <w:t>American Journal of Political Science</w:t>
      </w:r>
      <w:r>
        <w:t xml:space="preserve"> </w:t>
      </w:r>
      <w:r>
        <w:rPr>
          <w:b/>
          <w:bCs/>
        </w:rPr>
        <w:t>59</w:t>
      </w:r>
      <w:r>
        <w:t>,</w:t>
      </w:r>
      <w:r>
        <w:t xml:space="preserve"> 495–510 (2015).</w:t>
      </w:r>
    </w:p>
    <w:p w14:paraId="685FF527" w14:textId="77777777" w:rsidR="005F5ADD" w:rsidRDefault="00704920">
      <w:pPr>
        <w:pStyle w:val="ab"/>
      </w:pPr>
      <w:bookmarkStart w:id="58" w:name="ref-hill2021"/>
      <w:bookmarkEnd w:id="57"/>
      <w:r>
        <w:lastRenderedPageBreak/>
        <w:t xml:space="preserve">26. </w:t>
      </w:r>
      <w:r>
        <w:tab/>
        <w:t xml:space="preserve">Hill, A. D., Johnson, S. G., Greco, L. M., O’Boyle, E. H. &amp; Walter, S. L. </w:t>
      </w:r>
      <w:hyperlink r:id="rId50">
        <w:r>
          <w:rPr>
            <w:rStyle w:val="af2"/>
          </w:rPr>
          <w:t>Endogeneity: A Review and Agenda for the Methodology-Practice Divide Affecting Micro and Macro Resea</w:t>
        </w:r>
        <w:r>
          <w:rPr>
            <w:rStyle w:val="af2"/>
          </w:rPr>
          <w:t>rch</w:t>
        </w:r>
      </w:hyperlink>
      <w:r>
        <w:t xml:space="preserve">. </w:t>
      </w:r>
      <w:r>
        <w:rPr>
          <w:i/>
          <w:iCs/>
        </w:rPr>
        <w:t>Journal of Management</w:t>
      </w:r>
      <w:r>
        <w:t xml:space="preserve"> </w:t>
      </w:r>
      <w:r>
        <w:rPr>
          <w:b/>
          <w:bCs/>
        </w:rPr>
        <w:t>47</w:t>
      </w:r>
      <w:r>
        <w:t>, 105–143 (2021).</w:t>
      </w:r>
    </w:p>
    <w:p w14:paraId="444CCCEF" w14:textId="77777777" w:rsidR="005F5ADD" w:rsidRDefault="00704920">
      <w:pPr>
        <w:pStyle w:val="ab"/>
      </w:pPr>
      <w:bookmarkStart w:id="59" w:name="ref-chen2021"/>
      <w:bookmarkEnd w:id="58"/>
      <w:r>
        <w:t xml:space="preserve">27. </w:t>
      </w:r>
      <w:r>
        <w:tab/>
        <w:t xml:space="preserve">Chen, C., Jia-jia, G. &amp; Da-jun, S. </w:t>
      </w:r>
      <w:hyperlink r:id="rId51">
        <w:r>
          <w:rPr>
            <w:rStyle w:val="af2"/>
          </w:rPr>
          <w:t>Water resources allocation and re-allocation of the Yellow River Basin</w:t>
        </w:r>
      </w:hyperlink>
      <w:r>
        <w:t xml:space="preserve">. </w:t>
      </w:r>
      <w:r>
        <w:rPr>
          <w:i/>
          <w:iCs/>
        </w:rPr>
        <w:t>Resour. Sci.</w:t>
      </w:r>
      <w:r>
        <w:t xml:space="preserve"> </w:t>
      </w:r>
      <w:r>
        <w:rPr>
          <w:b/>
          <w:bCs/>
        </w:rPr>
        <w:t>43</w:t>
      </w:r>
      <w:r>
        <w:t>, 799–812 (2021).</w:t>
      </w:r>
    </w:p>
    <w:p w14:paraId="515EB8A7" w14:textId="77777777" w:rsidR="005F5ADD" w:rsidRDefault="00704920">
      <w:pPr>
        <w:pStyle w:val="ab"/>
      </w:pPr>
      <w:bookmarkStart w:id="60" w:name="ref-huangang2002"/>
      <w:bookmarkEnd w:id="59"/>
      <w:r>
        <w:t xml:space="preserve">28. </w:t>
      </w:r>
      <w:r>
        <w:tab/>
        <w:t xml:space="preserve">Hu An-gang, W. Y. Institutional failure is an important reason for the depletion of the Yellow River. </w:t>
      </w:r>
      <w:r>
        <w:rPr>
          <w:i/>
          <w:iCs/>
        </w:rPr>
        <w:t>Rev. Econ</w:t>
      </w:r>
      <w:r>
        <w:rPr>
          <w:i/>
          <w:iCs/>
        </w:rPr>
        <w:t>. Res.</w:t>
      </w:r>
      <w:r>
        <w:t xml:space="preserve"> 31 (2002) doi:</w:t>
      </w:r>
      <w:hyperlink r:id="rId52">
        <w:r>
          <w:rPr>
            <w:rStyle w:val="af2"/>
          </w:rPr>
          <w:t>10.16110/j.cnki.issn2095-3151.2002.63.035</w:t>
        </w:r>
      </w:hyperlink>
      <w:r>
        <w:t>.</w:t>
      </w:r>
    </w:p>
    <w:p w14:paraId="39DEB19D" w14:textId="77777777" w:rsidR="005F5ADD" w:rsidRDefault="00704920">
      <w:pPr>
        <w:pStyle w:val="ab"/>
      </w:pPr>
      <w:bookmarkStart w:id="61" w:name="ref-an2007"/>
      <w:bookmarkEnd w:id="60"/>
      <w:r>
        <w:t xml:space="preserve">29. </w:t>
      </w:r>
      <w:r>
        <w:tab/>
        <w:t xml:space="preserve">Xin-dai, A., Qing, S. &amp; Yong-qi, C. </w:t>
      </w:r>
      <w:hyperlink r:id="rId53">
        <w:r>
          <w:rPr>
            <w:rStyle w:val="af2"/>
          </w:rPr>
          <w:t>Prospect of water right system establishment in Yellow River Basin</w:t>
        </w:r>
      </w:hyperlink>
      <w:r>
        <w:t xml:space="preserve">. </w:t>
      </w:r>
      <w:r>
        <w:rPr>
          <w:i/>
          <w:iCs/>
        </w:rPr>
        <w:t>CHINA WATER Resour.</w:t>
      </w:r>
      <w:r>
        <w:t xml:space="preserve"> 66–69 (2007).</w:t>
      </w:r>
    </w:p>
    <w:p w14:paraId="2F50B0CC" w14:textId="77777777" w:rsidR="005F5ADD" w:rsidRDefault="00704920">
      <w:pPr>
        <w:pStyle w:val="ab"/>
      </w:pPr>
      <w:bookmarkStart w:id="62" w:name="ref-mao2000"/>
      <w:bookmarkEnd w:id="61"/>
      <w:r>
        <w:t xml:space="preserve">30. </w:t>
      </w:r>
      <w:r>
        <w:tab/>
        <w:t xml:space="preserve">Shou-long, M. </w:t>
      </w:r>
      <w:hyperlink r:id="rId54">
        <w:r>
          <w:rPr>
            <w:rStyle w:val="af2"/>
          </w:rPr>
          <w:t>Institutional analysis under the depletion of the Yellow River</w:t>
        </w:r>
      </w:hyperlink>
      <w:r>
        <w:t xml:space="preserve">. </w:t>
      </w:r>
      <w:r>
        <w:rPr>
          <w:i/>
          <w:iCs/>
        </w:rPr>
        <w:t>C</w:t>
      </w:r>
      <w:r>
        <w:rPr>
          <w:i/>
          <w:iCs/>
        </w:rPr>
        <w:t>hin. Foreign Corp. Cult.</w:t>
      </w:r>
      <w:r>
        <w:t xml:space="preserve"> 58–61 (2000).</w:t>
      </w:r>
    </w:p>
    <w:p w14:paraId="459B5701" w14:textId="77777777" w:rsidR="005F5ADD" w:rsidRDefault="00704920">
      <w:pPr>
        <w:pStyle w:val="ab"/>
      </w:pPr>
      <w:bookmarkStart w:id="63" w:name="ref-wang2019a"/>
      <w:bookmarkEnd w:id="62"/>
      <w:r>
        <w:t xml:space="preserve">31. </w:t>
      </w:r>
      <w:r>
        <w:tab/>
        <w:t xml:space="preserve">Wang, Y. </w:t>
      </w:r>
      <w:r>
        <w:rPr>
          <w:i/>
          <w:iCs/>
        </w:rPr>
        <w:t>et al.</w:t>
      </w:r>
      <w:r>
        <w:t xml:space="preserve"> </w:t>
      </w:r>
      <w:hyperlink r:id="rId55">
        <w:r>
          <w:rPr>
            <w:rStyle w:val="af2"/>
          </w:rPr>
          <w:t>Review of the Implementation of the Yellow River Water Allocation Scheme for Thirty Years</w:t>
        </w:r>
      </w:hyperlink>
      <w:r>
        <w:t xml:space="preserve">. </w:t>
      </w:r>
      <w:r>
        <w:rPr>
          <w:i/>
          <w:iCs/>
        </w:rPr>
        <w:t>Yellow River</w:t>
      </w:r>
      <w:r>
        <w:t xml:space="preserve"> </w:t>
      </w:r>
      <w:r>
        <w:rPr>
          <w:b/>
          <w:bCs/>
        </w:rPr>
        <w:t>41</w:t>
      </w:r>
      <w:r>
        <w:t>, 6–19 (2019).</w:t>
      </w:r>
    </w:p>
    <w:p w14:paraId="7365937B" w14:textId="77777777" w:rsidR="005F5ADD" w:rsidRDefault="00704920">
      <w:pPr>
        <w:pStyle w:val="ab"/>
      </w:pPr>
      <w:bookmarkStart w:id="64" w:name="ref-zuo2020"/>
      <w:bookmarkEnd w:id="63"/>
      <w:r>
        <w:t xml:space="preserve">32. </w:t>
      </w:r>
      <w:r>
        <w:tab/>
        <w:t xml:space="preserve">Qi-ting, Z., Bin-bin, W., Wei, Z. &amp; Jun-xia, M. </w:t>
      </w:r>
      <w:hyperlink r:id="rId56">
        <w:r>
          <w:rPr>
            <w:rStyle w:val="af2"/>
          </w:rPr>
          <w:t>A method of water dis</w:t>
        </w:r>
        <w:r>
          <w:rPr>
            <w:rStyle w:val="af2"/>
          </w:rPr>
          <w:t>tribution in transboundary rivers and the new calculation scheme of the Yellow River water distribution</w:t>
        </w:r>
      </w:hyperlink>
      <w:r>
        <w:t xml:space="preserve">. </w:t>
      </w:r>
      <w:r>
        <w:rPr>
          <w:i/>
          <w:iCs/>
        </w:rPr>
        <w:t>Resour. Sci.</w:t>
      </w:r>
      <w:r>
        <w:t xml:space="preserve"> </w:t>
      </w:r>
      <w:r>
        <w:rPr>
          <w:b/>
          <w:bCs/>
        </w:rPr>
        <w:t>42</w:t>
      </w:r>
      <w:r>
        <w:t>, 37–45 (2020).</w:t>
      </w:r>
    </w:p>
    <w:p w14:paraId="1AD7D8E3" w14:textId="77777777" w:rsidR="005F5ADD" w:rsidRDefault="00704920">
      <w:pPr>
        <w:pStyle w:val="ab"/>
      </w:pPr>
      <w:bookmarkStart w:id="65" w:name="ref-krieger1955"/>
      <w:bookmarkEnd w:id="64"/>
      <w:r>
        <w:t xml:space="preserve">33. </w:t>
      </w:r>
      <w:r>
        <w:tab/>
        <w:t xml:space="preserve">Krieger, J. H. </w:t>
      </w:r>
      <w:hyperlink r:id="rId57">
        <w:r>
          <w:rPr>
            <w:rStyle w:val="af2"/>
          </w:rPr>
          <w:t>Progress in Ground Water Reple</w:t>
        </w:r>
        <w:r>
          <w:rPr>
            <w:rStyle w:val="af2"/>
          </w:rPr>
          <w:t>nishment in Southern California</w:t>
        </w:r>
      </w:hyperlink>
      <w:r>
        <w:t xml:space="preserve">. </w:t>
      </w:r>
      <w:r>
        <w:rPr>
          <w:i/>
          <w:iCs/>
        </w:rPr>
        <w:t>J. Am. Water Works Assoc.</w:t>
      </w:r>
      <w:r>
        <w:t xml:space="preserve"> </w:t>
      </w:r>
      <w:r>
        <w:rPr>
          <w:b/>
          <w:bCs/>
        </w:rPr>
        <w:t>47</w:t>
      </w:r>
      <w:r>
        <w:t>, 909–913 (1955).</w:t>
      </w:r>
    </w:p>
    <w:p w14:paraId="65A83209" w14:textId="77777777" w:rsidR="005F5ADD" w:rsidRDefault="00704920">
      <w:pPr>
        <w:pStyle w:val="ab"/>
      </w:pPr>
      <w:bookmarkStart w:id="66" w:name="ref-ostrom1990"/>
      <w:bookmarkEnd w:id="65"/>
      <w:r>
        <w:t xml:space="preserve">34. </w:t>
      </w:r>
      <w:r>
        <w:tab/>
        <w:t xml:space="preserve">Ostrom, E. </w:t>
      </w:r>
      <w:r>
        <w:rPr>
          <w:i/>
          <w:iCs/>
        </w:rPr>
        <w:t>Governing the Commons: The Evolution of Institutions for Collective Action</w:t>
      </w:r>
      <w:r>
        <w:t>. (Cambridge University Press, 1990). doi:</w:t>
      </w:r>
      <w:hyperlink r:id="rId58">
        <w:r>
          <w:rPr>
            <w:rStyle w:val="af2"/>
          </w:rPr>
          <w:t>10.1017/CBO9780511807763</w:t>
        </w:r>
      </w:hyperlink>
      <w:r>
        <w:t>.</w:t>
      </w:r>
    </w:p>
    <w:p w14:paraId="00947E9B" w14:textId="77777777" w:rsidR="005F5ADD" w:rsidRDefault="00704920">
      <w:pPr>
        <w:pStyle w:val="ab"/>
      </w:pPr>
      <w:bookmarkStart w:id="67" w:name="ref-guerrero2015"/>
      <w:bookmarkEnd w:id="66"/>
      <w:r>
        <w:t xml:space="preserve">35. </w:t>
      </w:r>
      <w:r>
        <w:tab/>
        <w:t xml:space="preserve">Guerrero, A., Bodin, Ö., McAllister, R. &amp; Wilson, K. </w:t>
      </w:r>
      <w:hyperlink r:id="rId59">
        <w:r>
          <w:rPr>
            <w:rStyle w:val="af2"/>
          </w:rPr>
          <w:t>Achieving social-ecological fit through bottom-up collaborative governance: An empirical investiga</w:t>
        </w:r>
        <w:r>
          <w:rPr>
            <w:rStyle w:val="af2"/>
          </w:rPr>
          <w:t>tion</w:t>
        </w:r>
      </w:hyperlink>
      <w:r>
        <w:t xml:space="preserve">. </w:t>
      </w:r>
      <w:r>
        <w:rPr>
          <w:i/>
          <w:iCs/>
        </w:rPr>
        <w:t>Ecol. Soc.</w:t>
      </w:r>
      <w:r>
        <w:t xml:space="preserve"> </w:t>
      </w:r>
      <w:r>
        <w:rPr>
          <w:b/>
          <w:bCs/>
        </w:rPr>
        <w:t>20</w:t>
      </w:r>
      <w:r>
        <w:t>, (2015).</w:t>
      </w:r>
    </w:p>
    <w:p w14:paraId="5BC9B309" w14:textId="77777777" w:rsidR="005F5ADD" w:rsidRDefault="00704920">
      <w:pPr>
        <w:pStyle w:val="ab"/>
      </w:pPr>
      <w:bookmarkStart w:id="68" w:name="ref-bodin2012"/>
      <w:bookmarkEnd w:id="67"/>
      <w:r>
        <w:t xml:space="preserve">36. </w:t>
      </w:r>
      <w:r>
        <w:tab/>
        <w:t xml:space="preserve">Bodin, Ö. &amp; TengÖ, M. </w:t>
      </w:r>
      <w:hyperlink r:id="rId60">
        <w:r>
          <w:rPr>
            <w:rStyle w:val="af2"/>
          </w:rPr>
          <w:t>Disentangling intangible social–ecological systems</w:t>
        </w:r>
      </w:hyperlink>
      <w:r>
        <w:t xml:space="preserve">. </w:t>
      </w:r>
      <w:r>
        <w:rPr>
          <w:i/>
          <w:iCs/>
        </w:rPr>
        <w:t>Global Environmental Change</w:t>
      </w:r>
      <w:r>
        <w:t xml:space="preserve"> </w:t>
      </w:r>
      <w:r>
        <w:rPr>
          <w:b/>
          <w:bCs/>
        </w:rPr>
        <w:t>22</w:t>
      </w:r>
      <w:r>
        <w:t>, 430–439 (2012).</w:t>
      </w:r>
    </w:p>
    <w:p w14:paraId="63E638FC" w14:textId="77777777" w:rsidR="005F5ADD" w:rsidRDefault="00704920">
      <w:pPr>
        <w:pStyle w:val="ab"/>
      </w:pPr>
      <w:bookmarkStart w:id="69" w:name="ref-sayles2017"/>
      <w:bookmarkEnd w:id="68"/>
      <w:r>
        <w:t xml:space="preserve">37. </w:t>
      </w:r>
      <w:r>
        <w:tab/>
        <w:t>Sayles, J. S. &amp; Baggio, J. A</w:t>
      </w:r>
      <w:r>
        <w:t xml:space="preserve">. </w:t>
      </w:r>
      <w:hyperlink r:id="rId61">
        <w:r>
          <w:rPr>
            <w:rStyle w:val="af2"/>
          </w:rPr>
          <w:t>Social–ecological network analysis of scale mismatches in estuary watershed restoration</w:t>
        </w:r>
      </w:hyperlink>
      <w:r>
        <w:t xml:space="preserve">. </w:t>
      </w:r>
      <w:r>
        <w:rPr>
          <w:i/>
          <w:iCs/>
        </w:rPr>
        <w:t>Proc Natl Acad Sci USA</w:t>
      </w:r>
      <w:r>
        <w:t xml:space="preserve"> </w:t>
      </w:r>
      <w:r>
        <w:rPr>
          <w:b/>
          <w:bCs/>
        </w:rPr>
        <w:t>114</w:t>
      </w:r>
      <w:r>
        <w:t>, E1776–E1785 (2017).</w:t>
      </w:r>
    </w:p>
    <w:p w14:paraId="12250340" w14:textId="77777777" w:rsidR="005F5ADD" w:rsidRDefault="00704920">
      <w:pPr>
        <w:pStyle w:val="ab"/>
      </w:pPr>
      <w:bookmarkStart w:id="70" w:name="ref-sayles2019"/>
      <w:bookmarkEnd w:id="69"/>
      <w:r>
        <w:t xml:space="preserve">38. </w:t>
      </w:r>
      <w:r>
        <w:tab/>
        <w:t xml:space="preserve">Sayles, J. S. Social-ecological network analysis for </w:t>
      </w:r>
      <w:r>
        <w:t xml:space="preserve">sustainability sciences: A systematic review and innovative research agenda for the future. </w:t>
      </w:r>
      <w:r>
        <w:rPr>
          <w:i/>
          <w:iCs/>
        </w:rPr>
        <w:t>Env. Res Lett</w:t>
      </w:r>
      <w:r>
        <w:t xml:space="preserve"> 19 (2019) doi:</w:t>
      </w:r>
      <w:hyperlink r:id="rId62">
        <w:r>
          <w:rPr>
            <w:rStyle w:val="af2"/>
          </w:rPr>
          <w:t>10.1088/1748-9326/ab2619</w:t>
        </w:r>
      </w:hyperlink>
      <w:r>
        <w:t>.</w:t>
      </w:r>
    </w:p>
    <w:p w14:paraId="30FA70B6" w14:textId="77777777" w:rsidR="005F5ADD" w:rsidRDefault="00704920">
      <w:pPr>
        <w:pStyle w:val="ab"/>
      </w:pPr>
      <w:bookmarkStart w:id="71" w:name="ref-cai2016"/>
      <w:bookmarkEnd w:id="70"/>
      <w:r>
        <w:t xml:space="preserve">39. </w:t>
      </w:r>
      <w:r>
        <w:tab/>
        <w:t xml:space="preserve">Cai, H., Chen, Y. &amp; Gong, Q. </w:t>
      </w:r>
      <w:hyperlink r:id="rId63">
        <w:r>
          <w:rPr>
            <w:rStyle w:val="af2"/>
          </w:rPr>
          <w:t>Polluting thy neighbor: Unintended consequences of China’s pollution reduction mandates</w:t>
        </w:r>
      </w:hyperlink>
      <w:r>
        <w:t xml:space="preserve">. </w:t>
      </w:r>
      <w:r>
        <w:rPr>
          <w:i/>
          <w:iCs/>
        </w:rPr>
        <w:t>Journal of Environmental Economics and Management</w:t>
      </w:r>
      <w:r>
        <w:t xml:space="preserve"> </w:t>
      </w:r>
      <w:r>
        <w:rPr>
          <w:b/>
          <w:bCs/>
        </w:rPr>
        <w:t>76</w:t>
      </w:r>
      <w:r>
        <w:t>, 86–104 (2016).</w:t>
      </w:r>
    </w:p>
    <w:p w14:paraId="12C2D461" w14:textId="77777777" w:rsidR="005F5ADD" w:rsidRDefault="00704920">
      <w:pPr>
        <w:pStyle w:val="ab"/>
      </w:pPr>
      <w:bookmarkStart w:id="72" w:name="ref-bergsten2019"/>
      <w:bookmarkEnd w:id="71"/>
      <w:r>
        <w:t xml:space="preserve">40. </w:t>
      </w:r>
      <w:r>
        <w:tab/>
        <w:t xml:space="preserve">Bergsten, A. </w:t>
      </w:r>
      <w:r>
        <w:rPr>
          <w:i/>
          <w:iCs/>
        </w:rPr>
        <w:t>et al.</w:t>
      </w:r>
      <w:r>
        <w:t xml:space="preserve"> </w:t>
      </w:r>
      <w:hyperlink r:id="rId64">
        <w:r>
          <w:rPr>
            <w:rStyle w:val="af2"/>
          </w:rPr>
          <w:t>Identifying governance gaps among interlinked sustainability challenges</w:t>
        </w:r>
      </w:hyperlink>
      <w:r>
        <w:t xml:space="preserve">. </w:t>
      </w:r>
      <w:r>
        <w:rPr>
          <w:i/>
          <w:iCs/>
        </w:rPr>
        <w:t>Environmental Science &amp; Policy</w:t>
      </w:r>
      <w:r>
        <w:t xml:space="preserve"> </w:t>
      </w:r>
      <w:r>
        <w:rPr>
          <w:b/>
          <w:bCs/>
        </w:rPr>
        <w:t>91</w:t>
      </w:r>
      <w:r>
        <w:t>, 27–38 (2019).</w:t>
      </w:r>
    </w:p>
    <w:p w14:paraId="575A540B" w14:textId="77777777" w:rsidR="005F5ADD" w:rsidRDefault="00704920">
      <w:pPr>
        <w:pStyle w:val="ab"/>
      </w:pPr>
      <w:bookmarkStart w:id="73" w:name="ref-cumming2020a"/>
      <w:bookmarkEnd w:id="72"/>
      <w:r>
        <w:t xml:space="preserve">41. </w:t>
      </w:r>
      <w:r>
        <w:tab/>
        <w:t>Cumming, G. S. &amp; Dobbs, K. A. Quantifying Social-Ecological Scale M</w:t>
      </w:r>
      <w:r>
        <w:t xml:space="preserve">ismatches Suggests People Should Be Managed at Broader Scales Than Ecosystems. </w:t>
      </w:r>
      <w:r>
        <w:rPr>
          <w:i/>
          <w:iCs/>
        </w:rPr>
        <w:t>One Earth</w:t>
      </w:r>
      <w:r>
        <w:t xml:space="preserve"> S2590332220303511 (2020) doi:</w:t>
      </w:r>
      <w:hyperlink r:id="rId65">
        <w:r>
          <w:rPr>
            <w:rStyle w:val="af2"/>
          </w:rPr>
          <w:t>10.1016/j.oneear.2020.07.007</w:t>
        </w:r>
      </w:hyperlink>
      <w:r>
        <w:t>.</w:t>
      </w:r>
    </w:p>
    <w:p w14:paraId="3F571CC9" w14:textId="77777777" w:rsidR="005F5ADD" w:rsidRDefault="00704920">
      <w:pPr>
        <w:pStyle w:val="ab"/>
      </w:pPr>
      <w:bookmarkStart w:id="74" w:name="ref-hegwood2022"/>
      <w:bookmarkEnd w:id="73"/>
      <w:r>
        <w:t xml:space="preserve">42. </w:t>
      </w:r>
      <w:r>
        <w:tab/>
        <w:t>Hegwood, M., Langendorf, R. E. &amp; Burges</w:t>
      </w:r>
      <w:r>
        <w:t xml:space="preserve">s, M. G. Why win–wins are rare in complex environmental management. </w:t>
      </w:r>
      <w:r>
        <w:rPr>
          <w:i/>
          <w:iCs/>
        </w:rPr>
        <w:t>Nat Sustain</w:t>
      </w:r>
      <w:r>
        <w:t xml:space="preserve"> 1–7 (2022) doi:</w:t>
      </w:r>
      <w:hyperlink r:id="rId66">
        <w:r>
          <w:rPr>
            <w:rStyle w:val="af2"/>
          </w:rPr>
          <w:t>10.1038/s41893-022-00866-z</w:t>
        </w:r>
      </w:hyperlink>
      <w:r>
        <w:t>.</w:t>
      </w:r>
    </w:p>
    <w:p w14:paraId="0BF82F5A" w14:textId="77777777" w:rsidR="005F5ADD" w:rsidRDefault="00704920">
      <w:pPr>
        <w:pStyle w:val="ab"/>
      </w:pPr>
      <w:bookmarkStart w:id="75" w:name="ref-ostrom2009"/>
      <w:bookmarkEnd w:id="74"/>
      <w:r>
        <w:t xml:space="preserve">43. </w:t>
      </w:r>
      <w:r>
        <w:tab/>
        <w:t xml:space="preserve">Ostrom, E. </w:t>
      </w:r>
      <w:hyperlink r:id="rId67">
        <w:r>
          <w:rPr>
            <w:rStyle w:val="af2"/>
          </w:rPr>
          <w:t>A General Framework for Analyzing Sustainability of Social-Ecological Systems</w:t>
        </w:r>
      </w:hyperlink>
      <w:r>
        <w:t xml:space="preserve">. </w:t>
      </w:r>
      <w:r>
        <w:rPr>
          <w:i/>
          <w:iCs/>
        </w:rPr>
        <w:t>Science</w:t>
      </w:r>
      <w:r>
        <w:t xml:space="preserve"> </w:t>
      </w:r>
      <w:r>
        <w:rPr>
          <w:b/>
          <w:bCs/>
        </w:rPr>
        <w:t>325</w:t>
      </w:r>
      <w:r>
        <w:t>, 419–422 (2009).</w:t>
      </w:r>
    </w:p>
    <w:p w14:paraId="4B3D4B7D" w14:textId="77777777" w:rsidR="005F5ADD" w:rsidRDefault="00704920">
      <w:pPr>
        <w:pStyle w:val="ab"/>
      </w:pPr>
      <w:bookmarkStart w:id="76" w:name="ref-reyers2018"/>
      <w:bookmarkEnd w:id="75"/>
      <w:r>
        <w:lastRenderedPageBreak/>
        <w:t xml:space="preserve">44. </w:t>
      </w:r>
      <w:r>
        <w:tab/>
        <w:t xml:space="preserve">Reyers, B., Folke, C., Moore, M.-L., Biggs, R. &amp; Galaz, V. </w:t>
      </w:r>
      <w:hyperlink r:id="rId68">
        <w:r>
          <w:rPr>
            <w:rStyle w:val="af2"/>
          </w:rPr>
          <w:t>Social-</w:t>
        </w:r>
        <w:r>
          <w:rPr>
            <w:rStyle w:val="af2"/>
          </w:rPr>
          <w:t>Ecological Systems Insights for Navigating the Dynamics of the Anthropocene</w:t>
        </w:r>
      </w:hyperlink>
      <w:r>
        <w:t xml:space="preserve">. </w:t>
      </w:r>
      <w:r>
        <w:rPr>
          <w:i/>
          <w:iCs/>
        </w:rPr>
        <w:t>Annu. Rev. Environ. Resour.</w:t>
      </w:r>
      <w:r>
        <w:t xml:space="preserve"> </w:t>
      </w:r>
      <w:r>
        <w:rPr>
          <w:b/>
          <w:bCs/>
        </w:rPr>
        <w:t>43</w:t>
      </w:r>
      <w:r>
        <w:t>, 267–289 (2018).</w:t>
      </w:r>
    </w:p>
    <w:p w14:paraId="0985D24E" w14:textId="77777777" w:rsidR="005F5ADD" w:rsidRDefault="00704920">
      <w:pPr>
        <w:pStyle w:val="ab"/>
      </w:pPr>
      <w:bookmarkStart w:id="77" w:name="ref-yu2019"/>
      <w:bookmarkEnd w:id="76"/>
      <w:r>
        <w:t xml:space="preserve">45. </w:t>
      </w:r>
      <w:r>
        <w:tab/>
        <w:t xml:space="preserve">Yu, W. </w:t>
      </w:r>
      <w:r>
        <w:rPr>
          <w:i/>
          <w:iCs/>
        </w:rPr>
        <w:t>et al.</w:t>
      </w:r>
      <w:r>
        <w:t xml:space="preserve"> Adaptability assessment and promotion strategy of the Yellow River Water Allocation Scheme. </w:t>
      </w:r>
      <w:r>
        <w:rPr>
          <w:i/>
          <w:iCs/>
        </w:rPr>
        <w:t>Adv. Water Sci.</w:t>
      </w:r>
      <w:r>
        <w:t xml:space="preserve"> </w:t>
      </w:r>
      <w:r>
        <w:rPr>
          <w:b/>
          <w:bCs/>
        </w:rPr>
        <w:t>30</w:t>
      </w:r>
      <w:r>
        <w:t xml:space="preserve">, </w:t>
      </w:r>
      <w:r>
        <w:t>632–642 (2019).</w:t>
      </w:r>
    </w:p>
    <w:p w14:paraId="6DE1B048" w14:textId="77777777" w:rsidR="005F5ADD" w:rsidRDefault="00704920">
      <w:pPr>
        <w:pStyle w:val="ab"/>
      </w:pPr>
      <w:bookmarkStart w:id="78" w:name="ref-muneepeerakul2017"/>
      <w:bookmarkEnd w:id="77"/>
      <w:r>
        <w:t xml:space="preserve">46. </w:t>
      </w:r>
      <w:r>
        <w:tab/>
        <w:t xml:space="preserve">Muneepeerakul, R. &amp; Anderies, J. M. </w:t>
      </w:r>
      <w:hyperlink r:id="rId69">
        <w:r>
          <w:rPr>
            <w:rStyle w:val="af2"/>
          </w:rPr>
          <w:t>Strategic behaviors and governance challenges in social‐ecological systems</w:t>
        </w:r>
      </w:hyperlink>
      <w:r>
        <w:t xml:space="preserve">. </w:t>
      </w:r>
      <w:r>
        <w:rPr>
          <w:i/>
          <w:iCs/>
        </w:rPr>
        <w:t>Earth’s Future</w:t>
      </w:r>
      <w:r>
        <w:t xml:space="preserve"> </w:t>
      </w:r>
      <w:r>
        <w:rPr>
          <w:b/>
          <w:bCs/>
        </w:rPr>
        <w:t>5</w:t>
      </w:r>
      <w:r>
        <w:t>, 865–876 (2017).</w:t>
      </w:r>
    </w:p>
    <w:p w14:paraId="0634B1F8" w14:textId="77777777" w:rsidR="005F5ADD" w:rsidRDefault="00704920">
      <w:pPr>
        <w:pStyle w:val="ab"/>
      </w:pPr>
      <w:bookmarkStart w:id="79" w:name="ref-leslie2015"/>
      <w:bookmarkEnd w:id="78"/>
      <w:r>
        <w:t xml:space="preserve">47. </w:t>
      </w:r>
      <w:r>
        <w:tab/>
        <w:t xml:space="preserve">Leslie, H. M. </w:t>
      </w:r>
      <w:r>
        <w:rPr>
          <w:i/>
          <w:iCs/>
        </w:rPr>
        <w:t>et al.</w:t>
      </w:r>
      <w:r>
        <w:t xml:space="preserve"> </w:t>
      </w:r>
      <w:hyperlink r:id="rId70">
        <w:r>
          <w:rPr>
            <w:rStyle w:val="af2"/>
          </w:rPr>
          <w:t>Operationalizing the social-ecological systems framework to assess sustainability</w:t>
        </w:r>
      </w:hyperlink>
      <w:r>
        <w:t xml:space="preserve">. </w:t>
      </w:r>
      <w:r>
        <w:rPr>
          <w:i/>
          <w:iCs/>
        </w:rPr>
        <w:t>Proc. Natl. Acad. Sci.</w:t>
      </w:r>
      <w:r>
        <w:t xml:space="preserve"> </w:t>
      </w:r>
      <w:r>
        <w:rPr>
          <w:b/>
          <w:bCs/>
        </w:rPr>
        <w:t>112</w:t>
      </w:r>
      <w:r>
        <w:t>, 5979–5984 (2015).</w:t>
      </w:r>
    </w:p>
    <w:p w14:paraId="2E9C3BA8" w14:textId="77777777" w:rsidR="005F5ADD" w:rsidRDefault="00704920">
      <w:pPr>
        <w:pStyle w:val="ab"/>
      </w:pPr>
      <w:bookmarkStart w:id="80" w:name="ref-bodin2017a"/>
      <w:bookmarkEnd w:id="79"/>
      <w:r>
        <w:t xml:space="preserve">48. </w:t>
      </w:r>
      <w:r>
        <w:tab/>
        <w:t>Bodin, Ö., Barnes, M. L., McAllister, R. R. J., Rocha, J. C. &amp; Guerrer</w:t>
      </w:r>
      <w:r>
        <w:t xml:space="preserve">o, A. M. </w:t>
      </w:r>
      <w:hyperlink r:id="rId71">
        <w:r>
          <w:rPr>
            <w:rStyle w:val="af2"/>
          </w:rPr>
          <w:t>Social–Ecological Network Approaches in Interdisciplinary Research: A Response to Bohan et al. And Dee et al.</w:t>
        </w:r>
      </w:hyperlink>
      <w:r>
        <w:t xml:space="preserve"> </w:t>
      </w:r>
      <w:r>
        <w:rPr>
          <w:i/>
          <w:iCs/>
        </w:rPr>
        <w:t>Trends Ecol. Evol.</w:t>
      </w:r>
      <w:r>
        <w:t xml:space="preserve"> </w:t>
      </w:r>
      <w:r>
        <w:rPr>
          <w:b/>
          <w:bCs/>
        </w:rPr>
        <w:t>32</w:t>
      </w:r>
      <w:r>
        <w:t>, 547–549 (2017).</w:t>
      </w:r>
    </w:p>
    <w:p w14:paraId="3AA9573A" w14:textId="77777777" w:rsidR="005F5ADD" w:rsidRDefault="00704920">
      <w:pPr>
        <w:pStyle w:val="ab"/>
      </w:pPr>
      <w:bookmarkStart w:id="81" w:name="ref-zhou2020"/>
      <w:bookmarkEnd w:id="80"/>
      <w:r>
        <w:t xml:space="preserve">49. </w:t>
      </w:r>
      <w:r>
        <w:tab/>
        <w:t xml:space="preserve">Zhou, F. </w:t>
      </w:r>
      <w:r>
        <w:rPr>
          <w:i/>
          <w:iCs/>
        </w:rPr>
        <w:t>et al.</w:t>
      </w:r>
      <w:r>
        <w:t xml:space="preserve"> </w:t>
      </w:r>
      <w:hyperlink r:id="rId72">
        <w:r>
          <w:rPr>
            <w:rStyle w:val="af2"/>
          </w:rPr>
          <w:t>Deceleration of China’s human water use and its key drivers</w:t>
        </w:r>
      </w:hyperlink>
      <w:r>
        <w:t xml:space="preserve">. </w:t>
      </w:r>
      <w:r>
        <w:rPr>
          <w:i/>
          <w:iCs/>
        </w:rPr>
        <w:t>Proc Natl Acad Sci USA</w:t>
      </w:r>
      <w:r>
        <w:t xml:space="preserve"> </w:t>
      </w:r>
      <w:r>
        <w:rPr>
          <w:b/>
          <w:bCs/>
        </w:rPr>
        <w:t>117</w:t>
      </w:r>
      <w:r>
        <w:t>, 7702–7711 (2020).</w:t>
      </w:r>
    </w:p>
    <w:p w14:paraId="0D841295" w14:textId="77777777" w:rsidR="005F5ADD" w:rsidRDefault="00704920">
      <w:pPr>
        <w:pStyle w:val="ab"/>
      </w:pPr>
      <w:bookmarkStart w:id="82" w:name="ref-bayani2021"/>
      <w:bookmarkEnd w:id="81"/>
      <w:r>
        <w:t xml:space="preserve">50. </w:t>
      </w:r>
      <w:r>
        <w:tab/>
        <w:t xml:space="preserve">Bayani, M. </w:t>
      </w:r>
      <w:r>
        <w:rPr>
          <w:i/>
          <w:iCs/>
        </w:rPr>
        <w:t>Robust Pca Synthetic Control</w:t>
      </w:r>
      <w:r>
        <w:t xml:space="preserve">. </w:t>
      </w:r>
      <w:hyperlink r:id="rId73">
        <w:r>
          <w:rPr>
            <w:rStyle w:val="af2"/>
          </w:rPr>
          <w:t>https://papers.ssrn.com/abstract=3920293</w:t>
        </w:r>
      </w:hyperlink>
      <w:r>
        <w:t xml:space="preserve"> (2021).</w:t>
      </w:r>
    </w:p>
    <w:p w14:paraId="1EC98EAF" w14:textId="77777777" w:rsidR="005F5ADD" w:rsidRDefault="00704920">
      <w:pPr>
        <w:pStyle w:val="ab"/>
      </w:pPr>
      <w:bookmarkStart w:id="83" w:name="ref-abadie2010"/>
      <w:bookmarkEnd w:id="82"/>
      <w:r>
        <w:t xml:space="preserve">51. </w:t>
      </w:r>
      <w:r>
        <w:tab/>
        <w:t xml:space="preserve">Abadie, A., Diamond, A. &amp; Hainmueller, J. </w:t>
      </w:r>
      <w:hyperlink r:id="rId74">
        <w:r>
          <w:rPr>
            <w:rStyle w:val="af2"/>
          </w:rPr>
          <w:t>Synthetic Control Methods for Comparative Case Studies: Estimating the Effect of Cali</w:t>
        </w:r>
        <w:r>
          <w:rPr>
            <w:rStyle w:val="af2"/>
          </w:rPr>
          <w:t>fornia’s Tobacco Control Program</w:t>
        </w:r>
      </w:hyperlink>
      <w:r>
        <w:t xml:space="preserve">. </w:t>
      </w:r>
      <w:r>
        <w:rPr>
          <w:i/>
          <w:iCs/>
        </w:rPr>
        <w:t>Journal of the American Statistical Association</w:t>
      </w:r>
      <w:r>
        <w:t xml:space="preserve"> </w:t>
      </w:r>
      <w:r>
        <w:rPr>
          <w:b/>
          <w:bCs/>
        </w:rPr>
        <w:t>105</w:t>
      </w:r>
      <w:r>
        <w:t>, 493–505 (2010).</w:t>
      </w:r>
    </w:p>
    <w:p w14:paraId="35739E06" w14:textId="77777777" w:rsidR="005F5ADD" w:rsidRDefault="00704920">
      <w:pPr>
        <w:pStyle w:val="ab"/>
      </w:pPr>
      <w:bookmarkStart w:id="84" w:name="ref-abadie2021"/>
      <w:bookmarkEnd w:id="83"/>
      <w:r>
        <w:t xml:space="preserve">52. </w:t>
      </w:r>
      <w:r>
        <w:tab/>
        <w:t xml:space="preserve">Abadie, A. </w:t>
      </w:r>
      <w:hyperlink r:id="rId75">
        <w:r>
          <w:rPr>
            <w:rStyle w:val="af2"/>
          </w:rPr>
          <w:t>Using Synthetic Controls: Feasibility, Data Requirements, and Methodological Aspe</w:t>
        </w:r>
        <w:r>
          <w:rPr>
            <w:rStyle w:val="af2"/>
          </w:rPr>
          <w:t>cts</w:t>
        </w:r>
      </w:hyperlink>
      <w:r>
        <w:t xml:space="preserve">. </w:t>
      </w:r>
      <w:r>
        <w:rPr>
          <w:i/>
          <w:iCs/>
        </w:rPr>
        <w:t>Journal of Economic Literature</w:t>
      </w:r>
      <w:r>
        <w:t xml:space="preserve"> </w:t>
      </w:r>
      <w:r>
        <w:rPr>
          <w:b/>
          <w:bCs/>
        </w:rPr>
        <w:t>59</w:t>
      </w:r>
      <w:r>
        <w:t>, 391–425 (2021).</w:t>
      </w:r>
    </w:p>
    <w:p w14:paraId="2F822CD7" w14:textId="77777777" w:rsidR="005F5ADD" w:rsidRDefault="00704920">
      <w:pPr>
        <w:pStyle w:val="ab"/>
      </w:pPr>
      <w:bookmarkStart w:id="85" w:name="ref-billmeier2013"/>
      <w:bookmarkEnd w:id="84"/>
      <w:r>
        <w:t xml:space="preserve">53. </w:t>
      </w:r>
      <w:r>
        <w:tab/>
        <w:t xml:space="preserve">Billmeier, A. &amp; Nannicini, T. </w:t>
      </w:r>
      <w:hyperlink r:id="rId76">
        <w:r>
          <w:rPr>
            <w:rStyle w:val="af2"/>
          </w:rPr>
          <w:t>Assessing Economic Liberalization Episodes: A Synthetic Control Approach</w:t>
        </w:r>
      </w:hyperlink>
      <w:r>
        <w:t xml:space="preserve">. </w:t>
      </w:r>
      <w:r>
        <w:rPr>
          <w:i/>
          <w:iCs/>
        </w:rPr>
        <w:t>The Review of Economics and Statist</w:t>
      </w:r>
      <w:r>
        <w:rPr>
          <w:i/>
          <w:iCs/>
        </w:rPr>
        <w:t>ics</w:t>
      </w:r>
      <w:r>
        <w:t xml:space="preserve"> </w:t>
      </w:r>
      <w:r>
        <w:rPr>
          <w:b/>
          <w:bCs/>
        </w:rPr>
        <w:t>95</w:t>
      </w:r>
      <w:r>
        <w:t>, 983–1001 (2013).</w:t>
      </w:r>
    </w:p>
    <w:p w14:paraId="2FFEF3B9" w14:textId="77777777" w:rsidR="005F5ADD" w:rsidRDefault="00704920">
      <w:pPr>
        <w:pStyle w:val="ab"/>
      </w:pPr>
      <w:bookmarkStart w:id="86" w:name="ref-smith2015"/>
      <w:bookmarkEnd w:id="85"/>
      <w:r>
        <w:t xml:space="preserve">54. </w:t>
      </w:r>
      <w:r>
        <w:tab/>
        <w:t xml:space="preserve">Smith, B. </w:t>
      </w:r>
      <w:hyperlink r:id="rId77">
        <w:r>
          <w:rPr>
            <w:rStyle w:val="af2"/>
          </w:rPr>
          <w:t>The resource curse exorcised: Evidence from a panel of countries</w:t>
        </w:r>
      </w:hyperlink>
      <w:r>
        <w:t xml:space="preserve">. </w:t>
      </w:r>
      <w:r>
        <w:rPr>
          <w:i/>
          <w:iCs/>
        </w:rPr>
        <w:t>J. Dev. Econ.</w:t>
      </w:r>
      <w:r>
        <w:t xml:space="preserve"> </w:t>
      </w:r>
      <w:r>
        <w:rPr>
          <w:b/>
          <w:bCs/>
        </w:rPr>
        <w:t>116</w:t>
      </w:r>
      <w:r>
        <w:t>, 57–73 (2015).</w:t>
      </w:r>
    </w:p>
    <w:p w14:paraId="62D8BBD9" w14:textId="77777777" w:rsidR="005F5ADD" w:rsidRDefault="00704920">
      <w:pPr>
        <w:pStyle w:val="ab"/>
      </w:pPr>
      <w:bookmarkStart w:id="87" w:name="ref-speed2013"/>
      <w:bookmarkEnd w:id="86"/>
      <w:r>
        <w:t xml:space="preserve">55. </w:t>
      </w:r>
      <w:r>
        <w:tab/>
        <w:t xml:space="preserve">Speed, R. &amp; Asian Development Bank. </w:t>
      </w:r>
      <w:hyperlink r:id="rId78">
        <w:r>
          <w:rPr>
            <w:rStyle w:val="af2"/>
            <w:i/>
            <w:iCs/>
          </w:rPr>
          <w:t>Basin water allocation planning: Principles, procedures, and approaches for basin allocation planning</w:t>
        </w:r>
      </w:hyperlink>
      <w:r>
        <w:t>. (Asian Development Bank, GIWP, UNESCO, and WWF-UK, 2013).</w:t>
      </w:r>
    </w:p>
    <w:p w14:paraId="2FAB6427" w14:textId="77777777" w:rsidR="005F5ADD" w:rsidRDefault="00704920">
      <w:pPr>
        <w:pStyle w:val="ab"/>
      </w:pPr>
      <w:bookmarkStart w:id="88" w:name="ref-wang2019"/>
      <w:bookmarkEnd w:id="87"/>
      <w:r>
        <w:t>56.</w:t>
      </w:r>
      <w:r>
        <w:t xml:space="preserve"> </w:t>
      </w:r>
      <w:r>
        <w:tab/>
        <w:t xml:space="preserve">Wang, Z. &amp; Zheng, Z. </w:t>
      </w:r>
      <w:hyperlink r:id="rId79">
        <w:r>
          <w:rPr>
            <w:rStyle w:val="af2"/>
          </w:rPr>
          <w:t>Things and Current Significance of the Yellow River Water Allocation Scheme in 1987</w:t>
        </w:r>
      </w:hyperlink>
      <w:r>
        <w:t xml:space="preserve">. </w:t>
      </w:r>
      <w:r>
        <w:rPr>
          <w:i/>
          <w:iCs/>
        </w:rPr>
        <w:t>Yellow River</w:t>
      </w:r>
      <w:r>
        <w:t xml:space="preserve"> </w:t>
      </w:r>
      <w:r>
        <w:rPr>
          <w:b/>
          <w:bCs/>
        </w:rPr>
        <w:t>41</w:t>
      </w:r>
      <w:r>
        <w:t>, 109–127 (2019).</w:t>
      </w:r>
      <w:bookmarkEnd w:id="21"/>
      <w:bookmarkEnd w:id="33"/>
      <w:bookmarkEnd w:id="88"/>
    </w:p>
    <w:sectPr w:rsidR="005F5ADD" w:rsidSect="00011435">
      <w:pgSz w:w="11901"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24A51A" w14:textId="77777777" w:rsidR="00704920" w:rsidRDefault="00704920">
      <w:pPr>
        <w:spacing w:after="0"/>
      </w:pPr>
      <w:r>
        <w:separator/>
      </w:r>
    </w:p>
  </w:endnote>
  <w:endnote w:type="continuationSeparator" w:id="0">
    <w:p w14:paraId="60B96DBC" w14:textId="77777777" w:rsidR="00704920" w:rsidRDefault="0070492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DF247" w14:textId="77777777" w:rsidR="00704920" w:rsidRDefault="00704920">
      <w:r>
        <w:separator/>
      </w:r>
    </w:p>
  </w:footnote>
  <w:footnote w:type="continuationSeparator" w:id="0">
    <w:p w14:paraId="3C86DEA0" w14:textId="77777777" w:rsidR="00704920" w:rsidRDefault="007049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870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C7CEE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444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3658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B8DE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D3CA60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7AA8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F42D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0CAEC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60A75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A5A986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813682C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4D415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B288B1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82257198">
    <w:abstractNumId w:val="12"/>
  </w:num>
  <w:num w:numId="2" w16cid:durableId="1417820358">
    <w:abstractNumId w:val="0"/>
  </w:num>
  <w:num w:numId="3" w16cid:durableId="772242328">
    <w:abstractNumId w:val="1"/>
  </w:num>
  <w:num w:numId="4" w16cid:durableId="60369318">
    <w:abstractNumId w:val="2"/>
  </w:num>
  <w:num w:numId="5" w16cid:durableId="470638737">
    <w:abstractNumId w:val="3"/>
  </w:num>
  <w:num w:numId="6" w16cid:durableId="2133134265">
    <w:abstractNumId w:val="8"/>
  </w:num>
  <w:num w:numId="7" w16cid:durableId="1006009398">
    <w:abstractNumId w:val="4"/>
  </w:num>
  <w:num w:numId="8" w16cid:durableId="1303660831">
    <w:abstractNumId w:val="5"/>
  </w:num>
  <w:num w:numId="9" w16cid:durableId="268584220">
    <w:abstractNumId w:val="6"/>
  </w:num>
  <w:num w:numId="10" w16cid:durableId="1321885016">
    <w:abstractNumId w:val="7"/>
  </w:num>
  <w:num w:numId="11" w16cid:durableId="1778792601">
    <w:abstractNumId w:val="9"/>
  </w:num>
  <w:num w:numId="12" w16cid:durableId="1478380799">
    <w:abstractNumId w:val="13"/>
  </w:num>
  <w:num w:numId="13" w16cid:durableId="1871380838">
    <w:abstractNumId w:val="10"/>
  </w:num>
  <w:num w:numId="14" w16cid:durableId="490021180">
    <w:abstractNumId w:val="11"/>
  </w:num>
  <w:num w:numId="15" w16cid:durableId="1248073249">
    <w:abstractNumId w:val="11"/>
  </w:num>
  <w:num w:numId="16" w16cid:durableId="11390301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F5ADD"/>
    <w:rsid w:val="000476BC"/>
    <w:rsid w:val="00200FC0"/>
    <w:rsid w:val="005471AE"/>
    <w:rsid w:val="00575A21"/>
    <w:rsid w:val="005F5ADD"/>
    <w:rsid w:val="00616976"/>
    <w:rsid w:val="00704920"/>
    <w:rsid w:val="008F12AB"/>
    <w:rsid w:val="00952736"/>
    <w:rsid w:val="00C775CF"/>
    <w:rsid w:val="00D2291C"/>
    <w:rsid w:val="00DF5867"/>
    <w:rsid w:val="00E841E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D1BAFCD"/>
  <w15:docId w15:val="{D2E03295-203A-1E47-8015-799AF1C3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rsid w:val="008C645B"/>
    <w:pPr>
      <w:keepNext/>
      <w:keepLines/>
      <w:spacing w:before="480" w:after="0"/>
      <w:outlineLvl w:val="0"/>
    </w:pPr>
    <w:rPr>
      <w:rFonts w:ascii="Times New Roman" w:eastAsiaTheme="majorEastAsia" w:hAnsi="Times New Roman" w:cs="Times New Roman"/>
      <w:b/>
      <w:bCs/>
      <w:color w:val="000000" w:themeColor="text1"/>
      <w:sz w:val="32"/>
      <w:szCs w:val="32"/>
    </w:rPr>
  </w:style>
  <w:style w:type="paragraph" w:styleId="2">
    <w:name w:val="heading 2"/>
    <w:basedOn w:val="a"/>
    <w:next w:val="a0"/>
    <w:link w:val="20"/>
    <w:uiPriority w:val="9"/>
    <w:unhideWhenUsed/>
    <w:qFormat/>
    <w:rsid w:val="008C645B"/>
    <w:pPr>
      <w:keepNext/>
      <w:keepLines/>
      <w:spacing w:before="200" w:after="0"/>
      <w:outlineLvl w:val="1"/>
    </w:pPr>
    <w:rPr>
      <w:rFonts w:ascii="Times New Roman" w:eastAsiaTheme="majorEastAsia" w:hAnsi="Times New Roman" w:cs="Times New Roman"/>
      <w:b/>
      <w:bCs/>
      <w:color w:val="000000" w:themeColor="text1"/>
      <w:sz w:val="28"/>
      <w:szCs w:val="28"/>
    </w:rPr>
  </w:style>
  <w:style w:type="paragraph" w:styleId="3">
    <w:name w:val="heading 3"/>
    <w:basedOn w:val="a"/>
    <w:next w:val="a0"/>
    <w:link w:val="30"/>
    <w:uiPriority w:val="9"/>
    <w:unhideWhenUsed/>
    <w:qFormat/>
    <w:rsid w:val="008C645B"/>
    <w:pPr>
      <w:keepNext/>
      <w:keepLines/>
      <w:spacing w:before="200" w:after="0"/>
      <w:outlineLvl w:val="2"/>
    </w:pPr>
    <w:rPr>
      <w:rFonts w:ascii="Times New Roman" w:eastAsiaTheme="majorEastAsia" w:hAnsi="Times New Roman" w:cs="Times New Roman"/>
      <w:b/>
      <w:bCs/>
      <w:color w:val="000000" w:themeColor="text1"/>
    </w:rPr>
  </w:style>
  <w:style w:type="paragraph" w:styleId="4">
    <w:name w:val="heading 4"/>
    <w:basedOn w:val="a"/>
    <w:next w:val="a0"/>
    <w:link w:val="40"/>
    <w:uiPriority w:val="9"/>
    <w:unhideWhenUsed/>
    <w:qFormat/>
    <w:rsid w:val="008C645B"/>
    <w:pPr>
      <w:keepNext/>
      <w:keepLines/>
      <w:spacing w:before="200" w:after="0"/>
      <w:outlineLvl w:val="3"/>
    </w:pPr>
    <w:rPr>
      <w:rFonts w:ascii="Times New Roman" w:eastAsiaTheme="majorEastAsia" w:hAnsi="Times New Roman" w:cs="Times New Roman"/>
      <w:bCs/>
      <w:i/>
      <w:color w:val="000000" w:themeColor="text1"/>
    </w:rPr>
  </w:style>
  <w:style w:type="paragraph" w:styleId="5">
    <w:name w:val="heading 5"/>
    <w:basedOn w:val="a"/>
    <w:next w:val="a0"/>
    <w:link w:val="50"/>
    <w:uiPriority w:val="9"/>
    <w:unhideWhenUsed/>
    <w:qFormat/>
    <w:rsid w:val="008C645B"/>
    <w:pPr>
      <w:keepNext/>
      <w:keepLines/>
      <w:spacing w:before="200" w:after="0"/>
      <w:outlineLvl w:val="4"/>
    </w:pPr>
    <w:rPr>
      <w:rFonts w:ascii="Times New Roman" w:eastAsiaTheme="majorEastAsia" w:hAnsi="Times New Roman" w:cs="Times New Roman"/>
      <w:iCs/>
      <w:color w:val="000000" w:themeColor="text1"/>
      <w:u w:val="single"/>
    </w:rPr>
  </w:style>
  <w:style w:type="paragraph" w:styleId="6">
    <w:name w:val="heading 6"/>
    <w:basedOn w:val="5"/>
    <w:next w:val="a0"/>
    <w:link w:val="60"/>
    <w:uiPriority w:val="9"/>
    <w:unhideWhenUsed/>
    <w:qFormat/>
    <w:rsid w:val="008C645B"/>
    <w:pPr>
      <w:outlineLvl w:val="5"/>
    </w:pPr>
  </w:style>
  <w:style w:type="paragraph" w:styleId="7">
    <w:name w:val="heading 7"/>
    <w:basedOn w:val="6"/>
    <w:next w:val="a0"/>
    <w:link w:val="70"/>
    <w:uiPriority w:val="9"/>
    <w:unhideWhenUsed/>
    <w:qFormat/>
    <w:rsid w:val="008C645B"/>
    <w:pPr>
      <w:outlineLvl w:val="6"/>
    </w:pPr>
  </w:style>
  <w:style w:type="paragraph" w:styleId="8">
    <w:name w:val="heading 8"/>
    <w:basedOn w:val="7"/>
    <w:next w:val="a0"/>
    <w:link w:val="80"/>
    <w:uiPriority w:val="9"/>
    <w:unhideWhenUsed/>
    <w:qFormat/>
    <w:rsid w:val="008C645B"/>
    <w:pPr>
      <w:outlineLvl w:val="7"/>
    </w:pPr>
  </w:style>
  <w:style w:type="paragraph" w:styleId="9">
    <w:name w:val="heading 9"/>
    <w:basedOn w:val="8"/>
    <w:next w:val="a0"/>
    <w:link w:val="90"/>
    <w:uiPriority w:val="9"/>
    <w:unhideWhenUsed/>
    <w:qFormat/>
    <w:rsid w:val="008C645B"/>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8C645B"/>
    <w:pPr>
      <w:spacing w:before="120" w:after="120"/>
      <w:jc w:val="both"/>
    </w:pPr>
    <w:rPr>
      <w:rFonts w:ascii="Times New Roman" w:hAnsi="Times New Roman" w:cs="Times New Roman"/>
      <w:color w:val="000000" w:themeColor="text1"/>
    </w:rPr>
  </w:style>
  <w:style w:type="paragraph" w:customStyle="1" w:styleId="FirstParagraph">
    <w:name w:val="First Paragraph"/>
    <w:basedOn w:val="a0"/>
    <w:next w:val="a0"/>
    <w:qFormat/>
    <w:rsid w:val="008C645B"/>
  </w:style>
  <w:style w:type="paragraph" w:customStyle="1" w:styleId="Compact">
    <w:name w:val="Compact"/>
    <w:basedOn w:val="a0"/>
    <w:qFormat/>
    <w:pPr>
      <w:spacing w:before="36" w:after="36"/>
    </w:pPr>
  </w:style>
  <w:style w:type="paragraph" w:styleId="a5">
    <w:name w:val="Title"/>
    <w:basedOn w:val="a"/>
    <w:next w:val="a0"/>
    <w:link w:val="a6"/>
    <w:qFormat/>
    <w:rsid w:val="008C645B"/>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a7">
    <w:name w:val="Subtitle"/>
    <w:basedOn w:val="a5"/>
    <w:next w:val="a0"/>
    <w:link w:val="a8"/>
    <w:qFormat/>
    <w:rsid w:val="008C645B"/>
    <w:pPr>
      <w:spacing w:before="240"/>
    </w:pPr>
    <w:rPr>
      <w:b w:val="0"/>
      <w:sz w:val="30"/>
      <w:szCs w:val="30"/>
    </w:rPr>
  </w:style>
  <w:style w:type="paragraph" w:customStyle="1" w:styleId="Author">
    <w:name w:val="Author"/>
    <w:next w:val="a0"/>
    <w:qFormat/>
    <w:rsid w:val="008C645B"/>
    <w:pPr>
      <w:keepNext/>
      <w:keepLines/>
      <w:jc w:val="center"/>
    </w:pPr>
    <w:rPr>
      <w:rFonts w:ascii="Times New Roman" w:hAnsi="Times New Roman" w:cs="Times New Roman"/>
      <w:color w:val="000000" w:themeColor="text1"/>
    </w:rPr>
  </w:style>
  <w:style w:type="paragraph" w:styleId="a9">
    <w:name w:val="Date"/>
    <w:next w:val="a0"/>
    <w:link w:val="aa"/>
    <w:qFormat/>
    <w:rsid w:val="008C645B"/>
    <w:pPr>
      <w:keepNext/>
      <w:keepLines/>
      <w:jc w:val="center"/>
    </w:pPr>
    <w:rPr>
      <w:rFonts w:ascii="Times New Roman" w:hAnsi="Times New Roman" w:cs="Times New Roman"/>
      <w:color w:val="000000" w:themeColor="text1"/>
    </w:rPr>
  </w:style>
  <w:style w:type="paragraph" w:customStyle="1" w:styleId="Abstract">
    <w:name w:val="Abstract"/>
    <w:basedOn w:val="a"/>
    <w:next w:val="a0"/>
    <w:qFormat/>
    <w:rsid w:val="008C645B"/>
    <w:pPr>
      <w:keepNext/>
      <w:keepLines/>
      <w:spacing w:before="300" w:after="300"/>
      <w:jc w:val="both"/>
    </w:pPr>
    <w:rPr>
      <w:rFonts w:ascii="Times New Roman" w:hAnsi="Times New Roman" w:cs="Times New Roman"/>
      <w:color w:val="000000" w:themeColor="text1"/>
      <w:sz w:val="22"/>
      <w:szCs w:val="22"/>
    </w:rPr>
  </w:style>
  <w:style w:type="paragraph" w:styleId="ab">
    <w:name w:val="Bibliography"/>
    <w:basedOn w:val="Definition"/>
    <w:qFormat/>
    <w:rsid w:val="008C645B"/>
    <w:pPr>
      <w:spacing w:before="120" w:after="120"/>
      <w:ind w:left="567" w:hanging="567"/>
    </w:pPr>
  </w:style>
  <w:style w:type="paragraph" w:styleId="ac">
    <w:name w:val="Block Text"/>
    <w:basedOn w:val="a0"/>
    <w:next w:val="a0"/>
    <w:uiPriority w:val="9"/>
    <w:unhideWhenUsed/>
    <w:qFormat/>
    <w:rsid w:val="008C645B"/>
    <w:pPr>
      <w:spacing w:before="80" w:after="80"/>
      <w:ind w:left="567" w:right="567"/>
    </w:pPr>
    <w:rPr>
      <w:rFonts w:eastAsiaTheme="majorEastAsia" w:cstheme="majorBidi"/>
      <w:bCs/>
      <w:sz w:val="22"/>
      <w:szCs w:val="22"/>
    </w:rPr>
  </w:style>
  <w:style w:type="paragraph" w:styleId="ad">
    <w:name w:val="footnote text"/>
    <w:basedOn w:val="a"/>
    <w:link w:val="ae"/>
    <w:uiPriority w:val="9"/>
    <w:unhideWhenUsed/>
    <w:qFormat/>
    <w:rsid w:val="008C645B"/>
    <w:pPr>
      <w:spacing w:after="0"/>
    </w:pPr>
    <w:rPr>
      <w:rFonts w:ascii="Times New Roman" w:hAnsi="Times New Roman" w:cs="Times New Roman"/>
      <w:sz w:val="22"/>
      <w:szCs w:val="22"/>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8C645B"/>
    <w:pPr>
      <w:keepNext/>
      <w:keepLines/>
      <w:spacing w:after="0"/>
    </w:pPr>
    <w:rPr>
      <w:rFonts w:ascii="Times New Roman" w:hAnsi="Times New Roman" w:cs="Times New Roman"/>
      <w:b/>
      <w:color w:val="000000" w:themeColor="text1"/>
    </w:rPr>
  </w:style>
  <w:style w:type="paragraph" w:customStyle="1" w:styleId="Definition">
    <w:name w:val="Definition"/>
    <w:basedOn w:val="a"/>
    <w:rsid w:val="008C645B"/>
    <w:rPr>
      <w:rFonts w:ascii="Times New Roman" w:hAnsi="Times New Roman" w:cs="Times New Roman"/>
      <w:color w:val="000000" w:themeColor="text1"/>
    </w:rPr>
  </w:style>
  <w:style w:type="paragraph" w:styleId="af">
    <w:name w:val="caption"/>
    <w:basedOn w:val="a"/>
    <w:link w:val="af0"/>
    <w:pPr>
      <w:spacing w:after="120"/>
    </w:pPr>
    <w:rPr>
      <w:i/>
    </w:rPr>
  </w:style>
  <w:style w:type="paragraph" w:customStyle="1" w:styleId="TableCaption">
    <w:name w:val="Table Caption"/>
    <w:basedOn w:val="af"/>
    <w:rsid w:val="008C645B"/>
    <w:pPr>
      <w:keepNext/>
    </w:pPr>
    <w:rPr>
      <w:rFonts w:ascii="Times New Roman" w:hAnsi="Times New Roman" w:cs="Times New Roman"/>
      <w:color w:val="000000" w:themeColor="text1"/>
    </w:rPr>
  </w:style>
  <w:style w:type="paragraph" w:customStyle="1" w:styleId="ImageCaption">
    <w:name w:val="Image Caption"/>
    <w:basedOn w:val="af"/>
    <w:rsid w:val="008C645B"/>
    <w:rPr>
      <w:rFonts w:ascii="Times New Roman" w:hAnsi="Times New Roman" w:cs="Times New Roman"/>
      <w:color w:val="000000" w:themeColor="text1"/>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f0">
    <w:name w:val="题注 字符"/>
    <w:basedOn w:val="a1"/>
    <w:link w:val="af"/>
  </w:style>
  <w:style w:type="character" w:customStyle="1" w:styleId="VerbatimChar">
    <w:name w:val="Verbatim Char"/>
    <w:basedOn w:val="af0"/>
    <w:link w:val="SourceCode"/>
    <w:rsid w:val="008C645B"/>
    <w:rPr>
      <w:rFonts w:ascii="Courier New" w:hAnsi="Courier New" w:cs="Courier New"/>
      <w:sz w:val="22"/>
      <w:szCs w:val="22"/>
    </w:rPr>
  </w:style>
  <w:style w:type="character" w:styleId="af1">
    <w:name w:val="footnote reference"/>
    <w:basedOn w:val="af0"/>
    <w:rPr>
      <w:vertAlign w:val="superscript"/>
    </w:rPr>
  </w:style>
  <w:style w:type="character" w:styleId="af2">
    <w:name w:val="Hyperlink"/>
    <w:basedOn w:val="af0"/>
    <w:rsid w:val="009B6CF0"/>
    <w:rPr>
      <w:color w:val="548DD4" w:themeColor="text2" w:themeTint="99"/>
      <w:u w:val="single"/>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character" w:customStyle="1" w:styleId="a4">
    <w:name w:val="正文文本 字符"/>
    <w:basedOn w:val="a1"/>
    <w:link w:val="a0"/>
    <w:rsid w:val="008C645B"/>
    <w:rPr>
      <w:rFonts w:ascii="Times New Roman" w:hAnsi="Times New Roman" w:cs="Times New Roman"/>
      <w:color w:val="000000" w:themeColor="text1"/>
    </w:rPr>
  </w:style>
  <w:style w:type="paragraph" w:styleId="af3">
    <w:name w:val="header"/>
    <w:basedOn w:val="a"/>
    <w:link w:val="af4"/>
    <w:unhideWhenUsed/>
    <w:rsid w:val="00AD4FA0"/>
    <w:pPr>
      <w:tabs>
        <w:tab w:val="center" w:pos="4513"/>
        <w:tab w:val="right" w:pos="9026"/>
      </w:tabs>
      <w:spacing w:after="0"/>
    </w:pPr>
  </w:style>
  <w:style w:type="character" w:customStyle="1" w:styleId="af4">
    <w:name w:val="页眉 字符"/>
    <w:basedOn w:val="a1"/>
    <w:link w:val="af3"/>
    <w:rsid w:val="00AD4FA0"/>
  </w:style>
  <w:style w:type="paragraph" w:styleId="af5">
    <w:name w:val="footer"/>
    <w:basedOn w:val="a"/>
    <w:link w:val="af6"/>
    <w:unhideWhenUsed/>
    <w:rsid w:val="00AD4FA0"/>
    <w:pPr>
      <w:tabs>
        <w:tab w:val="center" w:pos="4513"/>
        <w:tab w:val="right" w:pos="9026"/>
      </w:tabs>
      <w:spacing w:after="0"/>
    </w:pPr>
  </w:style>
  <w:style w:type="character" w:customStyle="1" w:styleId="af6">
    <w:name w:val="页脚 字符"/>
    <w:basedOn w:val="a1"/>
    <w:link w:val="af5"/>
    <w:rsid w:val="00AD4FA0"/>
  </w:style>
  <w:style w:type="paragraph" w:customStyle="1" w:styleId="SourceCode">
    <w:name w:val="Source Code"/>
    <w:basedOn w:val="a"/>
    <w:link w:val="VerbatimChar"/>
    <w:pPr>
      <w:wordWrap w:val="0"/>
    </w:pPr>
  </w:style>
  <w:style w:type="character" w:customStyle="1" w:styleId="KeywordTok">
    <w:name w:val="KeywordTok"/>
    <w:basedOn w:val="VerbatimChar"/>
    <w:rPr>
      <w:rFonts w:ascii="Courier New" w:hAnsi="Courier New" w:cs="Courier New"/>
      <w:b/>
      <w:color w:val="007020"/>
      <w:sz w:val="22"/>
      <w:szCs w:val="22"/>
    </w:rPr>
  </w:style>
  <w:style w:type="character" w:customStyle="1" w:styleId="DataTypeTok">
    <w:name w:val="DataTypeTok"/>
    <w:basedOn w:val="VerbatimChar"/>
    <w:rPr>
      <w:rFonts w:ascii="Courier New" w:hAnsi="Courier New" w:cs="Courier New"/>
      <w:color w:val="902000"/>
      <w:sz w:val="22"/>
      <w:szCs w:val="22"/>
    </w:rPr>
  </w:style>
  <w:style w:type="character" w:customStyle="1" w:styleId="DecValTok">
    <w:name w:val="DecValTok"/>
    <w:basedOn w:val="VerbatimChar"/>
    <w:rPr>
      <w:rFonts w:ascii="Courier New" w:hAnsi="Courier New" w:cs="Courier New"/>
      <w:color w:val="40A070"/>
      <w:sz w:val="22"/>
      <w:szCs w:val="22"/>
    </w:rPr>
  </w:style>
  <w:style w:type="character" w:customStyle="1" w:styleId="BaseNTok">
    <w:name w:val="BaseNTok"/>
    <w:basedOn w:val="VerbatimChar"/>
    <w:rPr>
      <w:rFonts w:ascii="Courier New" w:hAnsi="Courier New" w:cs="Courier New"/>
      <w:color w:val="40A070"/>
      <w:sz w:val="22"/>
      <w:szCs w:val="22"/>
    </w:rPr>
  </w:style>
  <w:style w:type="character" w:customStyle="1" w:styleId="FloatTok">
    <w:name w:val="FloatTok"/>
    <w:basedOn w:val="VerbatimChar"/>
    <w:rPr>
      <w:rFonts w:ascii="Courier New" w:hAnsi="Courier New" w:cs="Courier New"/>
      <w:color w:val="40A070"/>
      <w:sz w:val="22"/>
      <w:szCs w:val="22"/>
    </w:rPr>
  </w:style>
  <w:style w:type="character" w:customStyle="1" w:styleId="ConstantTok">
    <w:name w:val="ConstantTok"/>
    <w:basedOn w:val="VerbatimChar"/>
    <w:rPr>
      <w:rFonts w:ascii="Courier New" w:hAnsi="Courier New" w:cs="Courier New"/>
      <w:color w:val="880000"/>
      <w:sz w:val="22"/>
      <w:szCs w:val="22"/>
    </w:rPr>
  </w:style>
  <w:style w:type="character" w:customStyle="1" w:styleId="CharTok">
    <w:name w:val="CharTok"/>
    <w:basedOn w:val="VerbatimChar"/>
    <w:rPr>
      <w:rFonts w:ascii="Courier New" w:hAnsi="Courier New" w:cs="Courier New"/>
      <w:color w:val="4070A0"/>
      <w:sz w:val="22"/>
      <w:szCs w:val="22"/>
    </w:rPr>
  </w:style>
  <w:style w:type="character" w:customStyle="1" w:styleId="SpecialCharTok">
    <w:name w:val="SpecialCharTok"/>
    <w:basedOn w:val="VerbatimChar"/>
    <w:rPr>
      <w:rFonts w:ascii="Courier New" w:hAnsi="Courier New" w:cs="Courier New"/>
      <w:color w:val="4070A0"/>
      <w:sz w:val="22"/>
      <w:szCs w:val="22"/>
    </w:rPr>
  </w:style>
  <w:style w:type="character" w:customStyle="1" w:styleId="StringTok">
    <w:name w:val="StringTok"/>
    <w:basedOn w:val="VerbatimChar"/>
    <w:rPr>
      <w:rFonts w:ascii="Courier New" w:hAnsi="Courier New" w:cs="Courier New"/>
      <w:color w:val="4070A0"/>
      <w:sz w:val="22"/>
      <w:szCs w:val="22"/>
    </w:rPr>
  </w:style>
  <w:style w:type="character" w:customStyle="1" w:styleId="VerbatimStringTok">
    <w:name w:val="VerbatimStringTok"/>
    <w:basedOn w:val="VerbatimChar"/>
    <w:rPr>
      <w:rFonts w:ascii="Courier New" w:hAnsi="Courier New" w:cs="Courier New"/>
      <w:color w:val="4070A0"/>
      <w:sz w:val="22"/>
      <w:szCs w:val="22"/>
    </w:rPr>
  </w:style>
  <w:style w:type="character" w:customStyle="1" w:styleId="SpecialStringTok">
    <w:name w:val="SpecialStringTok"/>
    <w:basedOn w:val="VerbatimChar"/>
    <w:rPr>
      <w:rFonts w:ascii="Courier New" w:hAnsi="Courier New" w:cs="Courier New"/>
      <w:color w:val="BB6688"/>
      <w:sz w:val="22"/>
      <w:szCs w:val="22"/>
    </w:rPr>
  </w:style>
  <w:style w:type="character" w:customStyle="1" w:styleId="ImportTok">
    <w:name w:val="ImportTok"/>
    <w:basedOn w:val="VerbatimChar"/>
    <w:rPr>
      <w:rFonts w:ascii="Courier New" w:hAnsi="Courier New" w:cs="Courier New"/>
      <w:sz w:val="22"/>
      <w:szCs w:val="22"/>
    </w:rPr>
  </w:style>
  <w:style w:type="character" w:customStyle="1" w:styleId="CommentTok">
    <w:name w:val="CommentTok"/>
    <w:basedOn w:val="VerbatimChar"/>
    <w:rPr>
      <w:rFonts w:ascii="Courier New" w:hAnsi="Courier New" w:cs="Courier New"/>
      <w:i/>
      <w:color w:val="60A0B0"/>
      <w:sz w:val="22"/>
      <w:szCs w:val="22"/>
    </w:rPr>
  </w:style>
  <w:style w:type="character" w:customStyle="1" w:styleId="DocumentationTok">
    <w:name w:val="DocumentationTok"/>
    <w:basedOn w:val="VerbatimChar"/>
    <w:rPr>
      <w:rFonts w:ascii="Courier New" w:hAnsi="Courier New" w:cs="Courier New"/>
      <w:i/>
      <w:color w:val="BA2121"/>
      <w:sz w:val="22"/>
      <w:szCs w:val="22"/>
    </w:rPr>
  </w:style>
  <w:style w:type="character" w:customStyle="1" w:styleId="AnnotationTok">
    <w:name w:val="AnnotationTok"/>
    <w:basedOn w:val="VerbatimChar"/>
    <w:rPr>
      <w:rFonts w:ascii="Courier New" w:hAnsi="Courier New" w:cs="Courier New"/>
      <w:b/>
      <w:i/>
      <w:color w:val="60A0B0"/>
      <w:sz w:val="22"/>
      <w:szCs w:val="22"/>
    </w:rPr>
  </w:style>
  <w:style w:type="character" w:customStyle="1" w:styleId="CommentVarTok">
    <w:name w:val="CommentVarTok"/>
    <w:basedOn w:val="VerbatimChar"/>
    <w:rPr>
      <w:rFonts w:ascii="Courier New" w:hAnsi="Courier New" w:cs="Courier New"/>
      <w:b/>
      <w:i/>
      <w:color w:val="60A0B0"/>
      <w:sz w:val="22"/>
      <w:szCs w:val="22"/>
    </w:rPr>
  </w:style>
  <w:style w:type="character" w:customStyle="1" w:styleId="OtherTok">
    <w:name w:val="OtherTok"/>
    <w:basedOn w:val="VerbatimChar"/>
    <w:rPr>
      <w:rFonts w:ascii="Courier New" w:hAnsi="Courier New" w:cs="Courier New"/>
      <w:color w:val="007020"/>
      <w:sz w:val="22"/>
      <w:szCs w:val="22"/>
    </w:rPr>
  </w:style>
  <w:style w:type="character" w:customStyle="1" w:styleId="FunctionTok">
    <w:name w:val="FunctionTok"/>
    <w:basedOn w:val="VerbatimChar"/>
    <w:rPr>
      <w:rFonts w:ascii="Courier New" w:hAnsi="Courier New" w:cs="Courier New"/>
      <w:color w:val="06287E"/>
      <w:sz w:val="22"/>
      <w:szCs w:val="22"/>
    </w:rPr>
  </w:style>
  <w:style w:type="character" w:customStyle="1" w:styleId="VariableTok">
    <w:name w:val="VariableTok"/>
    <w:basedOn w:val="VerbatimChar"/>
    <w:rPr>
      <w:rFonts w:ascii="Courier New" w:hAnsi="Courier New" w:cs="Courier New"/>
      <w:color w:val="19177C"/>
      <w:sz w:val="22"/>
      <w:szCs w:val="22"/>
    </w:rPr>
  </w:style>
  <w:style w:type="character" w:customStyle="1" w:styleId="ControlFlowTok">
    <w:name w:val="ControlFlowTok"/>
    <w:basedOn w:val="VerbatimChar"/>
    <w:rPr>
      <w:rFonts w:ascii="Courier New" w:hAnsi="Courier New" w:cs="Courier New"/>
      <w:b/>
      <w:color w:val="007020"/>
      <w:sz w:val="22"/>
      <w:szCs w:val="22"/>
    </w:rPr>
  </w:style>
  <w:style w:type="character" w:customStyle="1" w:styleId="OperatorTok">
    <w:name w:val="OperatorTok"/>
    <w:basedOn w:val="VerbatimChar"/>
    <w:rPr>
      <w:rFonts w:ascii="Courier New" w:hAnsi="Courier New" w:cs="Courier New"/>
      <w:color w:val="666666"/>
      <w:sz w:val="22"/>
      <w:szCs w:val="22"/>
    </w:rPr>
  </w:style>
  <w:style w:type="character" w:customStyle="1" w:styleId="BuiltInTok">
    <w:name w:val="BuiltInTok"/>
    <w:basedOn w:val="VerbatimChar"/>
    <w:rPr>
      <w:rFonts w:ascii="Courier New" w:hAnsi="Courier New" w:cs="Courier New"/>
      <w:sz w:val="22"/>
      <w:szCs w:val="22"/>
    </w:rPr>
  </w:style>
  <w:style w:type="character" w:customStyle="1" w:styleId="ExtensionTok">
    <w:name w:val="ExtensionTok"/>
    <w:basedOn w:val="VerbatimChar"/>
    <w:rPr>
      <w:rFonts w:ascii="Courier New" w:hAnsi="Courier New" w:cs="Courier New"/>
      <w:sz w:val="22"/>
      <w:szCs w:val="22"/>
    </w:rPr>
  </w:style>
  <w:style w:type="character" w:customStyle="1" w:styleId="PreprocessorTok">
    <w:name w:val="PreprocessorTok"/>
    <w:basedOn w:val="VerbatimChar"/>
    <w:rPr>
      <w:rFonts w:ascii="Courier New" w:hAnsi="Courier New" w:cs="Courier New"/>
      <w:color w:val="BC7A00"/>
      <w:sz w:val="22"/>
      <w:szCs w:val="22"/>
    </w:rPr>
  </w:style>
  <w:style w:type="character" w:customStyle="1" w:styleId="AttributeTok">
    <w:name w:val="AttributeTok"/>
    <w:basedOn w:val="VerbatimChar"/>
    <w:rPr>
      <w:rFonts w:ascii="Courier New" w:hAnsi="Courier New" w:cs="Courier New"/>
      <w:color w:val="7D9029"/>
      <w:sz w:val="22"/>
      <w:szCs w:val="22"/>
    </w:rPr>
  </w:style>
  <w:style w:type="character" w:customStyle="1" w:styleId="RegionMarkerTok">
    <w:name w:val="RegionMarkerTok"/>
    <w:basedOn w:val="VerbatimChar"/>
    <w:rPr>
      <w:rFonts w:ascii="Courier New" w:hAnsi="Courier New" w:cs="Courier New"/>
      <w:sz w:val="22"/>
      <w:szCs w:val="22"/>
    </w:rPr>
  </w:style>
  <w:style w:type="character" w:customStyle="1" w:styleId="InformationTok">
    <w:name w:val="InformationTok"/>
    <w:basedOn w:val="VerbatimChar"/>
    <w:rPr>
      <w:rFonts w:ascii="Courier New" w:hAnsi="Courier New" w:cs="Courier New"/>
      <w:b/>
      <w:i/>
      <w:color w:val="60A0B0"/>
      <w:sz w:val="22"/>
      <w:szCs w:val="22"/>
    </w:rPr>
  </w:style>
  <w:style w:type="character" w:customStyle="1" w:styleId="WarningTok">
    <w:name w:val="WarningTok"/>
    <w:basedOn w:val="VerbatimChar"/>
    <w:rPr>
      <w:rFonts w:ascii="Courier New" w:hAnsi="Courier New" w:cs="Courier New"/>
      <w:b/>
      <w:i/>
      <w:color w:val="60A0B0"/>
      <w:sz w:val="22"/>
      <w:szCs w:val="22"/>
    </w:rPr>
  </w:style>
  <w:style w:type="character" w:customStyle="1" w:styleId="AlertTok">
    <w:name w:val="AlertTok"/>
    <w:basedOn w:val="VerbatimChar"/>
    <w:rPr>
      <w:rFonts w:ascii="Courier New" w:hAnsi="Courier New" w:cs="Courier New"/>
      <w:b/>
      <w:color w:val="FF0000"/>
      <w:sz w:val="22"/>
      <w:szCs w:val="22"/>
    </w:rPr>
  </w:style>
  <w:style w:type="character" w:customStyle="1" w:styleId="ErrorTok">
    <w:name w:val="ErrorTok"/>
    <w:basedOn w:val="VerbatimChar"/>
    <w:rPr>
      <w:rFonts w:ascii="Courier New" w:hAnsi="Courier New" w:cs="Courier New"/>
      <w:b/>
      <w:color w:val="FF0000"/>
      <w:sz w:val="22"/>
      <w:szCs w:val="22"/>
    </w:rPr>
  </w:style>
  <w:style w:type="character" w:customStyle="1" w:styleId="NormalTok">
    <w:name w:val="NormalTok"/>
    <w:basedOn w:val="VerbatimChar"/>
    <w:rPr>
      <w:rFonts w:ascii="Courier New" w:hAnsi="Courier New" w:cs="Courier New"/>
      <w:sz w:val="22"/>
      <w:szCs w:val="22"/>
    </w:rPr>
  </w:style>
  <w:style w:type="character" w:customStyle="1" w:styleId="10">
    <w:name w:val="标题 1 字符"/>
    <w:basedOn w:val="a1"/>
    <w:link w:val="1"/>
    <w:uiPriority w:val="9"/>
    <w:rsid w:val="005471AE"/>
    <w:rPr>
      <w:rFonts w:ascii="Times New Roman" w:eastAsiaTheme="majorEastAsia" w:hAnsi="Times New Roman" w:cs="Times New Roman"/>
      <w:b/>
      <w:bCs/>
      <w:color w:val="000000" w:themeColor="text1"/>
      <w:sz w:val="32"/>
      <w:szCs w:val="32"/>
    </w:rPr>
  </w:style>
  <w:style w:type="character" w:customStyle="1" w:styleId="20">
    <w:name w:val="标题 2 字符"/>
    <w:basedOn w:val="a1"/>
    <w:link w:val="2"/>
    <w:uiPriority w:val="9"/>
    <w:rsid w:val="005471AE"/>
    <w:rPr>
      <w:rFonts w:ascii="Times New Roman" w:eastAsiaTheme="majorEastAsia" w:hAnsi="Times New Roman" w:cs="Times New Roman"/>
      <w:b/>
      <w:bCs/>
      <w:color w:val="000000" w:themeColor="text1"/>
      <w:sz w:val="28"/>
      <w:szCs w:val="28"/>
    </w:rPr>
  </w:style>
  <w:style w:type="character" w:customStyle="1" w:styleId="30">
    <w:name w:val="标题 3 字符"/>
    <w:basedOn w:val="a1"/>
    <w:link w:val="3"/>
    <w:uiPriority w:val="9"/>
    <w:rsid w:val="005471AE"/>
    <w:rPr>
      <w:rFonts w:ascii="Times New Roman" w:eastAsiaTheme="majorEastAsia" w:hAnsi="Times New Roman" w:cs="Times New Roman"/>
      <w:b/>
      <w:bCs/>
      <w:color w:val="000000" w:themeColor="text1"/>
    </w:rPr>
  </w:style>
  <w:style w:type="character" w:customStyle="1" w:styleId="40">
    <w:name w:val="标题 4 字符"/>
    <w:basedOn w:val="a1"/>
    <w:link w:val="4"/>
    <w:uiPriority w:val="9"/>
    <w:rsid w:val="005471AE"/>
    <w:rPr>
      <w:rFonts w:ascii="Times New Roman" w:eastAsiaTheme="majorEastAsia" w:hAnsi="Times New Roman" w:cs="Times New Roman"/>
      <w:bCs/>
      <w:i/>
      <w:color w:val="000000" w:themeColor="text1"/>
    </w:rPr>
  </w:style>
  <w:style w:type="character" w:customStyle="1" w:styleId="50">
    <w:name w:val="标题 5 字符"/>
    <w:basedOn w:val="a1"/>
    <w:link w:val="5"/>
    <w:uiPriority w:val="9"/>
    <w:rsid w:val="005471AE"/>
    <w:rPr>
      <w:rFonts w:ascii="Times New Roman" w:eastAsiaTheme="majorEastAsia" w:hAnsi="Times New Roman" w:cs="Times New Roman"/>
      <w:iCs/>
      <w:color w:val="000000" w:themeColor="text1"/>
      <w:u w:val="single"/>
    </w:rPr>
  </w:style>
  <w:style w:type="character" w:customStyle="1" w:styleId="60">
    <w:name w:val="标题 6 字符"/>
    <w:basedOn w:val="a1"/>
    <w:link w:val="6"/>
    <w:uiPriority w:val="9"/>
    <w:rsid w:val="005471AE"/>
    <w:rPr>
      <w:rFonts w:ascii="Times New Roman" w:eastAsiaTheme="majorEastAsia" w:hAnsi="Times New Roman" w:cs="Times New Roman"/>
      <w:iCs/>
      <w:color w:val="000000" w:themeColor="text1"/>
      <w:u w:val="single"/>
    </w:rPr>
  </w:style>
  <w:style w:type="character" w:customStyle="1" w:styleId="70">
    <w:name w:val="标题 7 字符"/>
    <w:basedOn w:val="a1"/>
    <w:link w:val="7"/>
    <w:uiPriority w:val="9"/>
    <w:rsid w:val="005471AE"/>
    <w:rPr>
      <w:rFonts w:ascii="Times New Roman" w:eastAsiaTheme="majorEastAsia" w:hAnsi="Times New Roman" w:cs="Times New Roman"/>
      <w:iCs/>
      <w:color w:val="000000" w:themeColor="text1"/>
      <w:u w:val="single"/>
    </w:rPr>
  </w:style>
  <w:style w:type="character" w:customStyle="1" w:styleId="80">
    <w:name w:val="标题 8 字符"/>
    <w:basedOn w:val="a1"/>
    <w:link w:val="8"/>
    <w:uiPriority w:val="9"/>
    <w:rsid w:val="005471AE"/>
    <w:rPr>
      <w:rFonts w:ascii="Times New Roman" w:eastAsiaTheme="majorEastAsia" w:hAnsi="Times New Roman" w:cs="Times New Roman"/>
      <w:iCs/>
      <w:color w:val="000000" w:themeColor="text1"/>
      <w:u w:val="single"/>
    </w:rPr>
  </w:style>
  <w:style w:type="character" w:customStyle="1" w:styleId="90">
    <w:name w:val="标题 9 字符"/>
    <w:basedOn w:val="a1"/>
    <w:link w:val="9"/>
    <w:uiPriority w:val="9"/>
    <w:rsid w:val="005471AE"/>
    <w:rPr>
      <w:rFonts w:ascii="Times New Roman" w:eastAsiaTheme="majorEastAsia" w:hAnsi="Times New Roman" w:cs="Times New Roman"/>
      <w:iCs/>
      <w:color w:val="000000" w:themeColor="text1"/>
      <w:u w:val="single"/>
    </w:rPr>
  </w:style>
  <w:style w:type="character" w:customStyle="1" w:styleId="a6">
    <w:name w:val="标题 字符"/>
    <w:basedOn w:val="a1"/>
    <w:link w:val="a5"/>
    <w:rsid w:val="005471AE"/>
    <w:rPr>
      <w:rFonts w:ascii="Times New Roman" w:eastAsiaTheme="majorEastAsia" w:hAnsi="Times New Roman" w:cs="Times New Roman"/>
      <w:b/>
      <w:bCs/>
      <w:color w:val="000000" w:themeColor="text1"/>
      <w:sz w:val="36"/>
      <w:szCs w:val="36"/>
    </w:rPr>
  </w:style>
  <w:style w:type="character" w:customStyle="1" w:styleId="a8">
    <w:name w:val="副标题 字符"/>
    <w:basedOn w:val="a1"/>
    <w:link w:val="a7"/>
    <w:rsid w:val="005471AE"/>
    <w:rPr>
      <w:rFonts w:ascii="Times New Roman" w:eastAsiaTheme="majorEastAsia" w:hAnsi="Times New Roman" w:cs="Times New Roman"/>
      <w:bCs/>
      <w:color w:val="000000" w:themeColor="text1"/>
      <w:sz w:val="30"/>
      <w:szCs w:val="30"/>
    </w:rPr>
  </w:style>
  <w:style w:type="character" w:customStyle="1" w:styleId="aa">
    <w:name w:val="日期 字符"/>
    <w:basedOn w:val="a1"/>
    <w:link w:val="a9"/>
    <w:rsid w:val="005471AE"/>
    <w:rPr>
      <w:rFonts w:ascii="Times New Roman" w:hAnsi="Times New Roman" w:cs="Times New Roman"/>
      <w:color w:val="000000" w:themeColor="text1"/>
    </w:rPr>
  </w:style>
  <w:style w:type="character" w:customStyle="1" w:styleId="ae">
    <w:name w:val="脚注文本 字符"/>
    <w:basedOn w:val="a1"/>
    <w:link w:val="ad"/>
    <w:uiPriority w:val="9"/>
    <w:rsid w:val="005471AE"/>
    <w:rPr>
      <w:rFonts w:ascii="Times New Roman" w:hAnsi="Times New Roman" w:cs="Times New Roman"/>
      <w:sz w:val="22"/>
      <w:szCs w:val="22"/>
    </w:rPr>
  </w:style>
  <w:style w:type="character" w:styleId="af7">
    <w:name w:val="FollowedHyperlink"/>
    <w:basedOn w:val="a1"/>
    <w:semiHidden/>
    <w:unhideWhenUsed/>
    <w:rsid w:val="005471AE"/>
    <w:rPr>
      <w:color w:val="800080" w:themeColor="followedHyperlink"/>
      <w:u w:val="single"/>
    </w:rPr>
  </w:style>
  <w:style w:type="character" w:styleId="af8">
    <w:name w:val="annotation reference"/>
    <w:basedOn w:val="a1"/>
    <w:semiHidden/>
    <w:unhideWhenUsed/>
    <w:rsid w:val="005471AE"/>
    <w:rPr>
      <w:sz w:val="21"/>
      <w:szCs w:val="21"/>
    </w:rPr>
  </w:style>
  <w:style w:type="paragraph" w:styleId="af9">
    <w:name w:val="annotation text"/>
    <w:basedOn w:val="a"/>
    <w:link w:val="afa"/>
    <w:semiHidden/>
    <w:unhideWhenUsed/>
    <w:rsid w:val="005471AE"/>
  </w:style>
  <w:style w:type="character" w:customStyle="1" w:styleId="afa">
    <w:name w:val="批注文字 字符"/>
    <w:basedOn w:val="a1"/>
    <w:link w:val="af9"/>
    <w:semiHidden/>
    <w:rsid w:val="005471AE"/>
  </w:style>
  <w:style w:type="paragraph" w:styleId="afb">
    <w:name w:val="annotation subject"/>
    <w:basedOn w:val="af9"/>
    <w:next w:val="af9"/>
    <w:link w:val="afc"/>
    <w:semiHidden/>
    <w:unhideWhenUsed/>
    <w:rsid w:val="005471AE"/>
    <w:rPr>
      <w:b/>
      <w:bCs/>
    </w:rPr>
  </w:style>
  <w:style w:type="character" w:customStyle="1" w:styleId="afc">
    <w:name w:val="批注主题 字符"/>
    <w:basedOn w:val="afa"/>
    <w:link w:val="afb"/>
    <w:semiHidden/>
    <w:rsid w:val="005471AE"/>
    <w:rPr>
      <w:b/>
      <w:bCs/>
    </w:rPr>
  </w:style>
  <w:style w:type="character" w:styleId="afd">
    <w:name w:val="Placeholder Text"/>
    <w:basedOn w:val="a1"/>
    <w:semiHidden/>
    <w:rsid w:val="005471AE"/>
    <w:rPr>
      <w:color w:val="808080"/>
    </w:rPr>
  </w:style>
  <w:style w:type="character" w:styleId="afe">
    <w:name w:val="Unresolved Mention"/>
    <w:basedOn w:val="a1"/>
    <w:uiPriority w:val="99"/>
    <w:semiHidden/>
    <w:unhideWhenUsed/>
    <w:rsid w:val="005471AE"/>
    <w:rPr>
      <w:color w:val="605E5C"/>
      <w:shd w:val="clear" w:color="auto" w:fill="E1DFDD"/>
    </w:rPr>
  </w:style>
  <w:style w:type="table" w:styleId="aff">
    <w:name w:val="Table Grid"/>
    <w:basedOn w:val="a2"/>
    <w:rsid w:val="005471A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g"/><Relationship Id="rId21" Type="http://schemas.openxmlformats.org/officeDocument/2006/relationships/image" Target="media/image8.emf"/><Relationship Id="rId42" Type="http://schemas.openxmlformats.org/officeDocument/2006/relationships/hyperlink" Target="https://doi.org/10.1002/pan3.10136" TargetMode="External"/><Relationship Id="rId47" Type="http://schemas.openxmlformats.org/officeDocument/2006/relationships/hyperlink" Target="https://doi.org/10.5751/ES-05357-180210" TargetMode="External"/><Relationship Id="rId63" Type="http://schemas.openxmlformats.org/officeDocument/2006/relationships/hyperlink" Target="https://doi.org/10.1016/j.jeem.2015.01.002" TargetMode="External"/><Relationship Id="rId68" Type="http://schemas.openxmlformats.org/officeDocument/2006/relationships/hyperlink" Target="https://doi.org/10.1146/annurev-environ-110615-085349" TargetMode="External"/><Relationship Id="rId16" Type="http://schemas.openxmlformats.org/officeDocument/2006/relationships/hyperlink" Target="http://www.ccgp.gov.cn/cggg/zygg/gkzb/202107/t20210721_16591901.htm" TargetMode="External"/><Relationship Id="rId11" Type="http://schemas.openxmlformats.org/officeDocument/2006/relationships/image" Target="media/image3.emf"/><Relationship Id="rId32" Type="http://schemas.openxmlformats.org/officeDocument/2006/relationships/hyperlink" Target="https://doi.org/10.1016/j.scib.2019.07.016" TargetMode="External"/><Relationship Id="rId37" Type="http://schemas.openxmlformats.org/officeDocument/2006/relationships/hyperlink" Target="https://doi.org/10.1073/pnas.2020431118" TargetMode="External"/><Relationship Id="rId53" Type="http://schemas.openxmlformats.org/officeDocument/2006/relationships/hyperlink" Target="https://kns.cnki.net/kcms/detail/detail.aspx?dbcode=CJFD&amp;dbname=CJFD2007&amp;filename=SLZG200719038&amp;uniplatform=NZKPT&amp;v=5q38Jxp-3Q0FuG3N3kMKdCVt0LTbHDN93vRDqJTzRQsrS0ejKhnJTBGXaCwppoYC" TargetMode="External"/><Relationship Id="rId58" Type="http://schemas.openxmlformats.org/officeDocument/2006/relationships/hyperlink" Target="https://doi.org/10.1017/CBO9780511807763" TargetMode="External"/><Relationship Id="rId74" Type="http://schemas.openxmlformats.org/officeDocument/2006/relationships/hyperlink" Target="https://doi.org/10.1198/jasa.2009.ap08746" TargetMode="External"/><Relationship Id="rId79" Type="http://schemas.openxmlformats.org/officeDocument/2006/relationships/hyperlink" Target="https://doi.org/10.3969/j.issn.1000-1379.2019.10.019" TargetMode="External"/><Relationship Id="rId5" Type="http://schemas.openxmlformats.org/officeDocument/2006/relationships/footnotes" Target="footnotes.xml"/><Relationship Id="rId61" Type="http://schemas.openxmlformats.org/officeDocument/2006/relationships/hyperlink" Target="https://doi.org/10.1073/pnas.1604405114" TargetMode="External"/><Relationship Id="rId19" Type="http://schemas.openxmlformats.org/officeDocument/2006/relationships/image" Target="media/image6.jpg"/><Relationship Id="rId14" Type="http://schemas.openxmlformats.org/officeDocument/2006/relationships/hyperlink" Target="http://www.gov.cn/zhengce/content/2011-03/30/content_3138.htm" TargetMode="External"/><Relationship Id="rId22" Type="http://schemas.openxmlformats.org/officeDocument/2006/relationships/image" Target="media/image9.emf"/><Relationship Id="rId27" Type="http://schemas.openxmlformats.org/officeDocument/2006/relationships/hyperlink" Target="https://doi.org/10.1016/j.ecolecon.2017.06.019" TargetMode="External"/><Relationship Id="rId30" Type="http://schemas.openxmlformats.org/officeDocument/2006/relationships/hyperlink" Target="https://doi.org/10.1126/sciadv.1500323" TargetMode="External"/><Relationship Id="rId35" Type="http://schemas.openxmlformats.org/officeDocument/2006/relationships/hyperlink" Target="https://doi.org/10.1038/s41893-019-0326-y" TargetMode="External"/><Relationship Id="rId43" Type="http://schemas.openxmlformats.org/officeDocument/2006/relationships/hyperlink" Target="https://doi.org/10.1146/annurev.anthro.32.061002.093112" TargetMode="External"/><Relationship Id="rId48" Type="http://schemas.openxmlformats.org/officeDocument/2006/relationships/hyperlink" Target="https://doi.org/10.1257/aer.20190159" TargetMode="External"/><Relationship Id="rId56" Type="http://schemas.openxmlformats.org/officeDocument/2006/relationships/hyperlink" Target="https://doi.org/10.18402/resci.2020.01.04" TargetMode="External"/><Relationship Id="rId64" Type="http://schemas.openxmlformats.org/officeDocument/2006/relationships/hyperlink" Target="https://doi.org/10.1016/j.envsci.2018.10.007" TargetMode="External"/><Relationship Id="rId69" Type="http://schemas.openxmlformats.org/officeDocument/2006/relationships/hyperlink" Target="https://doi.org/10.1002/2017EF000562" TargetMode="External"/><Relationship Id="rId77" Type="http://schemas.openxmlformats.org/officeDocument/2006/relationships/hyperlink" Target="https://doi.org/10.1016/j.jdeveco.2015.04.001" TargetMode="External"/><Relationship Id="rId8" Type="http://schemas.openxmlformats.org/officeDocument/2006/relationships/hyperlink" Target="http://www.yrcc.gov.cn" TargetMode="External"/><Relationship Id="rId51" Type="http://schemas.openxmlformats.org/officeDocument/2006/relationships/hyperlink" Target="https://kns.cnki.net/kcms/detail/detail.aspx?dbcode=CJFD&amp;dbname=CJFDLAST2021&amp;filename=ZRZY202104015&amp;uniplatform=NZKPT&amp;v=tQHwxd2_O0DqVtXGxGXcwW5OsqQTjg6OYnfyCjw5KZ9N0rc-WLgZBBQvZ0UYeVHC" TargetMode="External"/><Relationship Id="rId72" Type="http://schemas.openxmlformats.org/officeDocument/2006/relationships/hyperlink" Target="https://doi.org/10.1073/pnas.1909902117"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emf"/><Relationship Id="rId17" Type="http://schemas.openxmlformats.org/officeDocument/2006/relationships/hyperlink" Target="http://www.gov.cn/zhengce/content/2011-03/30/content_3138.htm" TargetMode="External"/><Relationship Id="rId25" Type="http://schemas.openxmlformats.org/officeDocument/2006/relationships/image" Target="media/image12.jpg"/><Relationship Id="rId33" Type="http://schemas.openxmlformats.org/officeDocument/2006/relationships/hyperlink" Target="https://doi.org/10.1002/wrcr.20287" TargetMode="External"/><Relationship Id="rId38" Type="http://schemas.openxmlformats.org/officeDocument/2006/relationships/hyperlink" Target="https://doi.org/10.1038/s41467-020-17428-6" TargetMode="External"/><Relationship Id="rId46" Type="http://schemas.openxmlformats.org/officeDocument/2006/relationships/hyperlink" Target="https://doi.org/10.1016/j.cosust.2015.03.005" TargetMode="External"/><Relationship Id="rId59" Type="http://schemas.openxmlformats.org/officeDocument/2006/relationships/hyperlink" Target="https://doi.org/10.5751/ES-08035-200441" TargetMode="External"/><Relationship Id="rId67" Type="http://schemas.openxmlformats.org/officeDocument/2006/relationships/hyperlink" Target="https://doi.org/10.1126/science.1172133" TargetMode="External"/><Relationship Id="rId20" Type="http://schemas.openxmlformats.org/officeDocument/2006/relationships/image" Target="media/image7.emf"/><Relationship Id="rId41" Type="http://schemas.openxmlformats.org/officeDocument/2006/relationships/hyperlink" Target="https://doi.org/10.1126/science.aan1114" TargetMode="External"/><Relationship Id="rId54" Type="http://schemas.openxmlformats.org/officeDocument/2006/relationships/hyperlink" Target="https://kns.cnki.net/kcms/detail/detail.aspx?dbcode=CJFD&amp;dbname=CJFD2000&amp;filename=ZWQW200020021&amp;uniplatform=NZKPT&amp;v=2rrGzyi0e_w91jdi27jR8I9gdp_Btpa0PKT3pUMZ0ofAYfVyv_Xr7VeoiesoGTxP" TargetMode="External"/><Relationship Id="rId62" Type="http://schemas.openxmlformats.org/officeDocument/2006/relationships/hyperlink" Target="https://doi.org/10.1088/1748-9326/ab2619" TargetMode="External"/><Relationship Id="rId70" Type="http://schemas.openxmlformats.org/officeDocument/2006/relationships/hyperlink" Target="https://doi.org/10.1073/pnas.1414640112" TargetMode="External"/><Relationship Id="rId75" Type="http://schemas.openxmlformats.org/officeDocument/2006/relationships/hyperlink" Target="https://doi.org/10.1257/jel.2019145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mwr.gov.cn/ztpd/2013ztbd/2013fxkh/fxkhswcbcs/cs/flfg/201304/t20130411_433489.html" TargetMode="External"/><Relationship Id="rId23" Type="http://schemas.openxmlformats.org/officeDocument/2006/relationships/image" Target="media/image10.emf"/><Relationship Id="rId28" Type="http://schemas.openxmlformats.org/officeDocument/2006/relationships/hyperlink" Target="https://doi.org/10.1038/s41467-021-22194-0" TargetMode="External"/><Relationship Id="rId36" Type="http://schemas.openxmlformats.org/officeDocument/2006/relationships/hyperlink" Target="https://doi.org/10.1038/s41893-017-0006-8" TargetMode="External"/><Relationship Id="rId49" Type="http://schemas.openxmlformats.org/officeDocument/2006/relationships/hyperlink" Target="https://doi.org/10.1111/ajps.12116" TargetMode="External"/><Relationship Id="rId57" Type="http://schemas.openxmlformats.org/officeDocument/2006/relationships/hyperlink" Target="https://doi.org/10.1002/j.1551-8833.1955.tb19237.x" TargetMode="External"/><Relationship Id="rId10" Type="http://schemas.openxmlformats.org/officeDocument/2006/relationships/image" Target="media/image2.emf"/><Relationship Id="rId31" Type="http://schemas.openxmlformats.org/officeDocument/2006/relationships/hyperlink" Target="https://doi.org/10.1073/pnas.1004812107" TargetMode="External"/><Relationship Id="rId44" Type="http://schemas.openxmlformats.org/officeDocument/2006/relationships/hyperlink" Target="https://www.science.org/doi/abs/10.1126/science.1199343" TargetMode="External"/><Relationship Id="rId52" Type="http://schemas.openxmlformats.org/officeDocument/2006/relationships/hyperlink" Target="https://doi.org/10.16110/j.cnki.issn2095-3151.2002.63.035" TargetMode="External"/><Relationship Id="rId60" Type="http://schemas.openxmlformats.org/officeDocument/2006/relationships/hyperlink" Target="https://doi.org/10.1016/j.gloenvcha.2012.01.005" TargetMode="External"/><Relationship Id="rId65" Type="http://schemas.openxmlformats.org/officeDocument/2006/relationships/hyperlink" Target="https://doi.org/10.1016/j.oneear.2020.07.007" TargetMode="External"/><Relationship Id="rId73" Type="http://schemas.openxmlformats.org/officeDocument/2006/relationships/hyperlink" Target="https://papers.ssrn.com/abstract=3920293" TargetMode="External"/><Relationship Id="rId78" Type="http://schemas.openxmlformats.org/officeDocument/2006/relationships/hyperlink" Target="http://www.adb.org/sites/default/files/pub/2013/basic-water-allocation-planning.pdf"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hyperlink" Target="http://www.mwr.gov.cn/ztpd/2013ztbd/2013fxkh/fxkhswcbcs/cs/flfg/201304/t20130411_433489.html" TargetMode="External"/><Relationship Id="rId39" Type="http://schemas.openxmlformats.org/officeDocument/2006/relationships/hyperlink" Target="https://doi.org/10.1016/j.cosust.2020.02.005" TargetMode="External"/><Relationship Id="rId34" Type="http://schemas.openxmlformats.org/officeDocument/2006/relationships/hyperlink" Target="https://doi.org/10.1016/j.hydroa.2018.100009" TargetMode="External"/><Relationship Id="rId50" Type="http://schemas.openxmlformats.org/officeDocument/2006/relationships/hyperlink" Target="https://doi.org/10.1177/0149206320960533" TargetMode="External"/><Relationship Id="rId55" Type="http://schemas.openxmlformats.org/officeDocument/2006/relationships/hyperlink" Target="https://doi.org/10.3969/j.issn.1000-1379.2019.09.002" TargetMode="External"/><Relationship Id="rId76" Type="http://schemas.openxmlformats.org/officeDocument/2006/relationships/hyperlink" Target="https://doi.org/10.1162/REST_a_00324" TargetMode="External"/><Relationship Id="rId7" Type="http://schemas.openxmlformats.org/officeDocument/2006/relationships/hyperlink" Target="mailto:shuaiwang@bnu.edu.cn" TargetMode="External"/><Relationship Id="rId71" Type="http://schemas.openxmlformats.org/officeDocument/2006/relationships/hyperlink" Target="https://doi.org/10.1016/j.tree.2017.06.003" TargetMode="External"/><Relationship Id="rId2" Type="http://schemas.openxmlformats.org/officeDocument/2006/relationships/styles" Target="styles.xml"/><Relationship Id="rId29" Type="http://schemas.openxmlformats.org/officeDocument/2006/relationships/hyperlink" Target="https://doi.org/10.1038/s41586-019-1846-3" TargetMode="External"/><Relationship Id="rId24" Type="http://schemas.openxmlformats.org/officeDocument/2006/relationships/image" Target="media/image11.emf"/><Relationship Id="rId40" Type="http://schemas.openxmlformats.org/officeDocument/2006/relationships/hyperlink" Target="https://doi.org/10.1016/j.cosust.2020.02.004" TargetMode="External"/><Relationship Id="rId45" Type="http://schemas.openxmlformats.org/officeDocument/2006/relationships/hyperlink" Target="https://doi.org/10.1016/S0305-750X(01)00063-8" TargetMode="External"/><Relationship Id="rId66" Type="http://schemas.openxmlformats.org/officeDocument/2006/relationships/hyperlink" Target="https://doi.org/10.1038/s41893-022-00866-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25</Pages>
  <Words>9957</Words>
  <Characters>56758</Characters>
  <Application>Microsoft Office Word</Application>
  <DocSecurity>0</DocSecurity>
  <Lines>472</Lines>
  <Paragraphs>133</Paragraphs>
  <ScaleCrop>false</ScaleCrop>
  <Company/>
  <LinksUpToDate>false</LinksUpToDate>
  <CharactersWithSpaces>66582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Institutional shifts and sustainable water use of the Yellow River Basin </dc:title>
  <dc:creator>Shuang Song^{1}; Huiyu Wen^2; *Shuai Wang^{1}; Xutong Wu^{1}; Graeme S. Cumming^{3}; Bojie Fu^{1,4}</dc:creator>
  <cp:keywords/>
  <cp:lastModifiedBy>song shuang</cp:lastModifiedBy>
  <cp:revision>18</cp:revision>
  <dcterms:created xsi:type="dcterms:W3CDTF">2022-06-12T03:35:00Z</dcterms:created>
  <dcterms:modified xsi:type="dcterms:W3CDTF">2022-06-12T03:44:00Z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True</vt:lpwstr>
  </property>
  <property fmtid="{D5CDD505-2E9C-101B-9397-08002B2CF9AE}" pid="3" name="autoSectionLabels">
    <vt:lpwstr>False</vt:lpwstr>
  </property>
  <property fmtid="{D5CDD505-2E9C-101B-9397-08002B2CF9AE}" pid="4" name="bibliography">
    <vt:lpwstr>../mybib.bib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/Users/songshgeo/Documents/Dropbox/SongshGeo/nature.csl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reference-section-title">
    <vt:lpwstr>Reference</vt:lpwstr>
  </property>
  <property fmtid="{D5CDD505-2E9C-101B-9397-08002B2CF9AE}" pid="42" name="secHeaderDelim">
    <vt:lpwstr> </vt:lpwstr>
  </property>
  <property fmtid="{D5CDD505-2E9C-101B-9397-08002B2CF9AE}" pid="43" name="secHeaderTemplate">
    <vt:lpwstr>isecHeaderDelim[n]t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True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
  </property>
  <property fmtid="{D5CDD505-2E9C-101B-9397-08002B2CF9AE}" pid="58" name="tblPrefixTemplate">
    <vt:lpwstr>p i</vt:lpwstr>
  </property>
  <property fmtid="{D5CDD505-2E9C-101B-9397-08002B2CF9AE}" pid="59" name="titleDelim">
    <vt:lpwstr>:</vt:lpwstr>
  </property>
</Properties>
</file>