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df" ContentType="application/pdf"/>
  <Override PartName="/word/media/rId26.pdf" ContentType="application/pdf"/>
  <Override PartName="/word/media/rId20.png" ContentType="image/png"/>
  <Override PartName="/word/media/rId66.pdf" ContentType="application/pdf"/>
  <Override PartName="/word/media/rId72.pdf" ContentType="application/pdf"/>
  <Override PartName="/word/media/rId69.pdf" ContentType="application/pdf"/>
  <Override PartName="/word/media/rId75.pdf" ContentType="application/pdf"/>
  <Override PartName="/word/media/rId85.jpg" ContentType="image/jpeg"/>
  <Override PartName="/word/media/rId90.jpg" ContentType="image/jpeg"/>
  <Override PartName="/word/media/rId38.pdf" ContentType="application/pdf"/>
  <Override PartName="/word/media/rId79.pdf" ContentType="application/pdf"/>
  <Override PartName="/word/media/rId35.pdf" ContentType="application/pdf"/>
  <Override PartName="/word/media/rId3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Approaching</w:t>
      </w:r>
      <w:r>
        <w:t xml:space="preserve"> </w:t>
      </w:r>
      <w:r>
        <w:t xml:space="preserve">causal</w:t>
      </w:r>
      <w:r>
        <w:t xml:space="preserve"> </w:t>
      </w:r>
      <w:r>
        <w:t xml:space="preserve">linkages</w:t>
      </w:r>
      <w:r>
        <w:t xml:space="preserve"> </w:t>
      </w:r>
      <w:r>
        <w:t xml:space="preserve">between</w:t>
      </w:r>
      <w:r>
        <w:t xml:space="preserve"> </w:t>
      </w:r>
      <w:r>
        <w:t xml:space="preserve">SES</w:t>
      </w:r>
      <w:r>
        <w:t xml:space="preserve"> </w:t>
      </w:r>
      <w:r>
        <w:t xml:space="preserve">structures</w:t>
      </w:r>
      <w:r>
        <w:t xml:space="preserve"> </w:t>
      </w:r>
      <w:r>
        <w:t xml:space="preserve">and</w:t>
      </w:r>
      <w:r>
        <w:t xml:space="preserve"> </w:t>
      </w:r>
      <w:r>
        <w:t xml:space="preserve">outcomes</w:t>
      </w:r>
      <w:r>
        <w:t xml:space="preserve"> </w:t>
      </w:r>
      <w:r>
        <w:t xml:space="preserve">of</w:t>
      </w:r>
      <w:r>
        <w:t xml:space="preserve"> </w:t>
      </w:r>
      <w:r>
        <w:t xml:space="preserve">the</w:t>
      </w:r>
      <w:r>
        <w:t xml:space="preserve"> </w:t>
      </w:r>
      <w:r>
        <w:t xml:space="preserve">Yellow</w:t>
      </w:r>
      <w:r>
        <w:t xml:space="preserve"> </w:t>
      </w:r>
      <w:r>
        <w:t xml:space="preserve">River</w:t>
      </w:r>
      <w:r>
        <w:t xml:space="preserve"> </w:t>
      </w:r>
      <w:r>
        <w:t xml:space="preserve">Basin,</w:t>
      </w:r>
      <w:r>
        <w:t xml:space="preserve"> </w:t>
      </w:r>
      <w:r>
        <w:t xml:space="preserve">China</w:t>
      </w:r>
    </w:p>
    <w:p>
      <w:pPr>
        <w:pStyle w:val="Author"/>
      </w:pPr>
      <w:r>
        <w:t xml:space="preserve">Shuang</w:t>
      </w:r>
      <w:r>
        <w:t xml:space="preserve"> </w:t>
      </w:r>
      <w:r>
        <w:t xml:space="preserve">Song</w:t>
      </w:r>
      <m:oMath>
        <m:sSup>
          <m:e>
            <m:r>
              <m:t>​</m:t>
            </m:r>
          </m:e>
          <m:sup>
            <m:r>
              <m:t>1</m:t>
            </m:r>
          </m:sup>
        </m:sSup>
      </m:oMath>
    </w:p>
    <w:p>
      <w:pPr>
        <w:pStyle w:val="Author"/>
      </w:pPr>
      <w:r>
        <w:t xml:space="preserve">Huiyu</w:t>
      </w:r>
      <w:r>
        <w:t xml:space="preserve"> </w:t>
      </w:r>
      <w:r>
        <w:t xml:space="preserve">Wen</w:t>
      </w:r>
      <m:oMath>
        <m:sSup>
          <m:e>
            <m:r>
              <m:t>​</m:t>
            </m:r>
          </m:e>
          <m:sup>
            <m:r>
              <m:t>2</m:t>
            </m:r>
          </m:sup>
        </m:sSup>
      </m:oMath>
    </w:p>
    <w:p>
      <w:pPr>
        <w:pStyle w:val="Author"/>
      </w:pPr>
      <w:r>
        <w:t xml:space="preserve">*Shuai</w:t>
      </w:r>
      <w:r>
        <w:t xml:space="preserve"> </w:t>
      </w:r>
      <w:r>
        <w:t xml:space="preserve">Wang</w:t>
      </w:r>
      <m:oMath>
        <m:sSup>
          <m:e>
            <m:r>
              <m:t>​</m:t>
            </m:r>
          </m:e>
          <m:sup>
            <m:r>
              <m:t>1</m:t>
            </m:r>
          </m:sup>
        </m:sSup>
      </m:oMath>
    </w:p>
    <w:p>
      <w:pPr>
        <w:pStyle w:val="Author"/>
      </w:pPr>
      <w:r>
        <w:t xml:space="preserve">Xutong</w:t>
      </w:r>
      <w:r>
        <w:t xml:space="preserve"> </w:t>
      </w:r>
      <w:r>
        <w:t xml:space="preserve">Wu</w:t>
      </w:r>
      <m:oMath>
        <m:sSup>
          <m:e>
            <m:r>
              <m:t>​</m:t>
            </m:r>
          </m:e>
          <m:sup>
            <m:r>
              <m:t>1</m:t>
            </m:r>
          </m:sup>
        </m:sSup>
      </m:oMath>
    </w:p>
    <w:p>
      <w:pPr>
        <w:pStyle w:val="Author"/>
      </w:pPr>
      <w:r>
        <w:t xml:space="preserve">Graeme</w:t>
      </w:r>
      <w:r>
        <w:t xml:space="preserve"> </w:t>
      </w:r>
      <w:r>
        <w:t xml:space="preserve">S.</w:t>
      </w:r>
      <w:r>
        <w:t xml:space="preserve"> </w:t>
      </w:r>
      <w:r>
        <w:t xml:space="preserve">Cumming</w:t>
      </w:r>
      <m:oMath>
        <m:sSup>
          <m:e>
            <m:r>
              <m:t>​</m:t>
            </m:r>
          </m:e>
          <m:sup>
            <m:r>
              <m:t>3</m:t>
            </m:r>
          </m:sup>
        </m:sSup>
      </m:oMath>
    </w:p>
    <w:p>
      <w:pPr>
        <w:pStyle w:val="Author"/>
      </w:pPr>
      <w:r>
        <w:t xml:space="preserve">Bojie</w:t>
      </w:r>
      <w:r>
        <w:t xml:space="preserve"> </w:t>
      </w:r>
      <w:r>
        <w:t xml:space="preserve">Fu</w:t>
      </w:r>
      <m:oMath>
        <m:sSup>
          <m:e>
            <m:r>
              <m:t>​</m:t>
            </m:r>
          </m:e>
          <m:sup>
            <m:r>
              <m:t>1</m:t>
            </m:r>
          </m:sup>
        </m:sSup>
      </m:oMath>
    </w:p>
    <w:bookmarkStart w:id="25" w:name="sec:introduction"/>
    <w:p>
      <w:pPr>
        <w:pStyle w:val="1"/>
      </w:pPr>
      <w:r>
        <w:rPr>
          <w:rStyle w:val="SectionNumber"/>
        </w:rPr>
        <w:t xml:space="preserve">1</w:t>
      </w:r>
      <w:r>
        <w:tab/>
      </w:r>
      <w:r>
        <w:t xml:space="preserve">INTRODUCTION</w:t>
      </w:r>
    </w:p>
    <w:p>
      <w:pPr>
        <w:pStyle w:val="FirstParagraph"/>
      </w:pPr>
      <w:r>
        <w:t xml:space="preserve">Widespread freshwater scarcity and overuse challenge the sustainability of large river basins, resulting in systematic risks to economies, societies, and ecosystems globally</w:t>
      </w:r>
      <w:r>
        <w:rPr>
          <w:vertAlign w:val="superscript"/>
        </w:rPr>
        <w:t xml:space="preserve">1–4</w:t>
      </w:r>
      <w:r>
        <w:t xml:space="preserve">.</w:t>
      </w:r>
      <w:r>
        <w:t xml:space="preserve"> </w:t>
      </w:r>
      <w:r>
        <w:t xml:space="preserve">In the context of future climate change, the gap between supply and demand for water resources in large river basins is expected to become increasingly more prominent</w:t>
      </w:r>
      <w:r>
        <w:rPr>
          <w:vertAlign w:val="superscript"/>
        </w:rPr>
        <w:t xml:space="preserve">5,6</w:t>
      </w:r>
      <w:r>
        <w:t xml:space="preserve">.</w:t>
      </w:r>
      <w:r>
        <w:t xml:space="preserve"> </w:t>
      </w:r>
      <w:r>
        <w:t xml:space="preserve">Those river basin systems successfully supporting sustainable water resource use are structurally well-aligned with water provisioning and social-ecological demands, without inefficient competition or overuses</w:t>
      </w:r>
      <w:r>
        <w:rPr>
          <w:vertAlign w:val="superscript"/>
        </w:rPr>
        <w:t xml:space="preserve">7</w:t>
      </w:r>
      <w:r>
        <w:t xml:space="preserve">.</w:t>
      </w:r>
      <w:r>
        <w:t xml:space="preserve"> </w:t>
      </w:r>
      <w:r>
        <w:t xml:space="preserve">However, balancing the water demands of ecosystems and development in heavily human-dominated river basins is a challenge because human activities and water are intertwined in their structures as complex social-ecological systems (SES)</w:t>
      </w:r>
      <w:r>
        <w:rPr>
          <w:vertAlign w:val="superscript"/>
        </w:rPr>
        <w:t xml:space="preserve">8,9</w:t>
      </w:r>
      <w:r>
        <w:t xml:space="preserve"> </w:t>
      </w:r>
      <w:r>
        <w:t xml:space="preserve">(Figure </w:t>
      </w:r>
      <w:hyperlink w:anchor="fig:framework">
        <w:r>
          <w:rPr>
            <w:rStyle w:val="ae"/>
          </w:rPr>
          <w:t xml:space="preserve">1</w:t>
        </w:r>
      </w:hyperlink>
      <w:r>
        <w:t xml:space="preserve">).</w:t>
      </w:r>
    </w:p>
    <w:p>
      <w:pPr>
        <w:pStyle w:val="a0"/>
      </w:pPr>
      <w:r>
        <w:t xml:space="preserve">For governing river basin systems, their SES structures can be reshaped by institutions, such as policies, laws, and norms</w:t>
      </w:r>
      <w:r>
        <w:rPr>
          <w:vertAlign w:val="superscript"/>
        </w:rPr>
        <w:t xml:space="preserve">10,11</w:t>
      </w:r>
      <w:r>
        <w:t xml:space="preserve">.</w:t>
      </w:r>
      <w:r>
        <w:t xml:space="preserve"> </w:t>
      </w:r>
      <w:r>
        <w:t xml:space="preserve">Representing all relative governance practices, institutions include interplays between social actors, ecological units, or between social and ecological system elements</w:t>
      </w:r>
      <w:r>
        <w:rPr>
          <w:vertAlign w:val="superscript"/>
        </w:rPr>
        <w:t xml:space="preserve">12,13</w:t>
      </w:r>
      <w:r>
        <w:t xml:space="preserve">.</w:t>
      </w:r>
      <w:r>
        <w:t xml:space="preserve"> </w:t>
      </w:r>
      <w:r>
        <w:t xml:space="preserve">Understanding how these complex interplays are crucial for developing strategies to effectively manage natural resources and enhance the resilience of social-ecological systems</w:t>
      </w:r>
      <w:r>
        <w:rPr>
          <w:vertAlign w:val="superscript"/>
        </w:rPr>
        <w:t xml:space="preserve">14</w:t>
      </w:r>
      <w:r>
        <w:t xml:space="preserve">.</w:t>
      </w:r>
      <w:r>
        <w:t xml:space="preserve"> </w:t>
      </w:r>
      <w:r>
        <w:t xml:space="preserve">Effective (</w:t>
      </w:r>
      <w:r>
        <w:t xml:space="preserve">“</w:t>
      </w:r>
      <w:r>
        <w:t xml:space="preserve">matched</w:t>
      </w:r>
      <w:r>
        <w:t xml:space="preserve">”</w:t>
      </w:r>
      <w:r>
        <w:t xml:space="preserve"> </w:t>
      </w:r>
      <w:r>
        <w:t xml:space="preserve">or</w:t>
      </w:r>
      <w:r>
        <w:t xml:space="preserve"> </w:t>
      </w:r>
      <w:r>
        <w:t xml:space="preserve">“</w:t>
      </w:r>
      <w:r>
        <w:t xml:space="preserve">fit</w:t>
      </w:r>
      <w:r>
        <w:t xml:space="preserve">”</w:t>
      </w:r>
      <w:r>
        <w:t xml:space="preserve">) institutions operate at appropriate spatial, temporal, and functional scales to manage and balance different relationships and interactions between human and water systems, supporting (but not guaranteeing) the sustainability of SES</w:t>
      </w:r>
      <w:r>
        <w:rPr>
          <w:vertAlign w:val="superscript"/>
        </w:rPr>
        <w:t xml:space="preserve">7,15</w:t>
      </w:r>
      <w:r>
        <w:t xml:space="preserve"> </w:t>
      </w:r>
      <w:r>
        <w:t xml:space="preserve">(Figure </w:t>
      </w:r>
      <w:hyperlink w:anchor="fig:framework">
        <w:r>
          <w:rPr>
            <w:rStyle w:val="ae"/>
          </w:rPr>
          <w:t xml:space="preserve">1</w:t>
        </w:r>
      </w:hyperlink>
      <w:r>
        <w:t xml:space="preserve"> </w:t>
      </w:r>
      <w:r>
        <w:rPr>
          <w:bCs/>
          <w:b/>
        </w:rPr>
        <w:t xml:space="preserve">a</w:t>
      </w:r>
      <w:r>
        <w:t xml:space="preserve">).</w:t>
      </w:r>
      <w:r>
        <w:t xml:space="preserve"> </w:t>
      </w:r>
      <w:r>
        <w:t xml:space="preserve">Some institutional advances have had desirable water governance outcomes (e.g., the Ecological Water Diversion Project in Heihe River Basin, China</w:t>
      </w:r>
      <w:r>
        <w:rPr>
          <w:vertAlign w:val="superscript"/>
        </w:rPr>
        <w:t xml:space="preserve">7</w:t>
      </w:r>
      <w:r>
        <w:t xml:space="preserve">, and collaborative water governance systems in Europe</w:t>
      </w:r>
      <w:r>
        <w:rPr>
          <w:vertAlign w:val="superscript"/>
        </w:rPr>
        <w:t xml:space="preserve">16</w:t>
      </w:r>
      <w:r>
        <w:t xml:space="preserve">).</w:t>
      </w:r>
      <w:r>
        <w:t xml:space="preserve"> </w:t>
      </w:r>
      <w:r>
        <w:t xml:space="preserve">However, imposing institutional changes on a large, complex river basin may create or destroy connections between social agents and ecological units, where matched social-ecological structures are not ubiquitous.</w:t>
      </w:r>
      <w:r>
        <w:t xml:space="preserve"> </w:t>
      </w:r>
      <w:r>
        <w:t xml:space="preserve">Two particular weaknesses in existing knowledge of institutional matches include understanding (Figure </w:t>
      </w:r>
      <w:hyperlink w:anchor="fig:framework">
        <w:r>
          <w:rPr>
            <w:rStyle w:val="ae"/>
          </w:rPr>
          <w:t xml:space="preserve">1</w:t>
        </w:r>
      </w:hyperlink>
      <w:r>
        <w:t xml:space="preserve"> </w:t>
      </w:r>
      <w:r>
        <w:rPr>
          <w:bCs/>
          <w:b/>
        </w:rPr>
        <w:t xml:space="preserve">b</w:t>
      </w:r>
      <w:r>
        <w:t xml:space="preserve">): (i) the causal links between SES structures and outcomes; (ii) details of the underlying processes, and especially the incentives of different participants, that result from an institutional lack of matches.</w:t>
      </w:r>
      <w:r>
        <w:t xml:space="preserve"> </w:t>
      </w:r>
      <w:r>
        <w:t xml:space="preserve">These weaknesses limit understanding of institutional design and hinder approaches toward institutional matches.</w:t>
      </w:r>
    </w:p>
    <w:p>
      <w:pPr>
        <w:pStyle w:val="CaptionedFigure"/>
      </w:pPr>
      <w:bookmarkStart w:id="23" w:name="fig:framework"/>
      <w:r>
        <w:drawing>
          <wp:inline>
            <wp:extent cx="3273552" cy="3553967"/>
            <wp:effectExtent b="0" l="0" r="0" t="0"/>
            <wp:docPr descr="Figure 1: Framework for understanding linkages between SES structures and outcomes. a. In the general framework for analyzing social-ecological systems (SESs), (Adapted from Ostrom, 200817). Institutional shifts can change interactions within the SES and reframe the structures. b. We aim to investigate causal links between matched/mismatched SES structures and their corresponding outcomes. " title="" id="21" name="Picture"/>
            <a:graphic>
              <a:graphicData uri="http://schemas.openxmlformats.org/drawingml/2006/picture">
                <pic:pic>
                  <pic:nvPicPr>
                    <pic:cNvPr descr="diagrams/framework.png" id="22" name="Picture"/>
                    <pic:cNvPicPr>
                      <a:picLocks noChangeArrowheads="1" noChangeAspect="1"/>
                    </pic:cNvPicPr>
                  </pic:nvPicPr>
                  <pic:blipFill>
                    <a:blip r:embed="rId20"/>
                    <a:stretch>
                      <a:fillRect/>
                    </a:stretch>
                  </pic:blipFill>
                  <pic:spPr bwMode="auto">
                    <a:xfrm>
                      <a:off x="0" y="0"/>
                      <a:ext cx="3273552" cy="3553967"/>
                    </a:xfrm>
                    <a:prstGeom prst="rect">
                      <a:avLst/>
                    </a:prstGeom>
                    <a:noFill/>
                    <a:ln w="9525">
                      <a:noFill/>
                      <a:headEnd/>
                      <a:tailEnd/>
                    </a:ln>
                  </pic:spPr>
                </pic:pic>
              </a:graphicData>
            </a:graphic>
          </wp:inline>
        </w:drawing>
      </w:r>
      <w:bookmarkEnd w:id="23"/>
    </w:p>
    <w:p>
      <w:pPr>
        <w:pStyle w:val="ImageCaption"/>
      </w:pPr>
      <w:bookmarkStart w:id="24" w:name="ref_fig:framework"/>
      <w:r>
        <w:t xml:space="preserve">Figure </w:t>
      </w:r>
      <w:fldSimple w:instr="SEQ Figure \* ARABIC ">
        <w:r>
          <w:t>1</w:t>
        </w:r>
      </w:fldSimple>
      <w:bookmarkEnd w:id="24"/>
      <w:r>
        <w:t xml:space="preserve">: </w:t>
      </w:r>
      <w:r>
        <w:t xml:space="preserve">Figure 1:</w:t>
      </w:r>
      <w:r>
        <w:t xml:space="preserve"> </w:t>
      </w:r>
      <w:r>
        <w:t xml:space="preserve">Framework for understanding linkages between SES structures and outcomes.</w:t>
      </w:r>
      <w:r>
        <w:t xml:space="preserve"> </w:t>
      </w:r>
      <w:r>
        <w:rPr>
          <w:bCs/>
          <w:b/>
        </w:rPr>
        <w:t xml:space="preserve">a.</w:t>
      </w:r>
      <w:r>
        <w:t xml:space="preserve"> </w:t>
      </w:r>
      <w:r>
        <w:t xml:space="preserve">In the general framework for analyzing social-ecological systems (SESs), (Adapted from Ostrom, 2008</w:t>
      </w:r>
      <w:r>
        <w:rPr>
          <w:vertAlign w:val="superscript"/>
        </w:rPr>
        <w:t xml:space="preserve">17</w:t>
      </w:r>
      <w:r>
        <w:t xml:space="preserve">). Institutional shifts can change interactions within the SES and reframe the structures.</w:t>
      </w:r>
      <w:r>
        <w:t xml:space="preserve"> </w:t>
      </w:r>
      <w:r>
        <w:rPr>
          <w:bCs/>
          <w:b/>
        </w:rPr>
        <w:t xml:space="preserve">b.</w:t>
      </w:r>
      <w:r>
        <w:t xml:space="preserve"> </w:t>
      </w:r>
      <w:r>
        <w:t xml:space="preserve">We aim to investigate causal links between matched/mismatched SES structures and their corresponding outcomes.</w:t>
      </w:r>
      <w:r>
        <w:t xml:space="preserve"> </w:t>
      </w:r>
    </w:p>
    <w:p>
      <w:pPr>
        <w:pStyle w:val="a0"/>
      </w:pPr>
      <w:r>
        <w:t xml:space="preserve">To better understand how water governance institutions match/mismatch their social-ecological context, we take the Yellow River Basin (YRB), China, as an example (see</w:t>
      </w:r>
      <w:r>
        <w:t xml:space="preserve"> </w:t>
      </w:r>
      <w:r>
        <w:t xml:space="preserve">) to dive into causal links between SES structures and outcomes.</w:t>
      </w:r>
      <w:r>
        <w:t xml:space="preserve"> </w:t>
      </w:r>
      <w:r>
        <w:t xml:space="preserve">Specifically, we focused on two institutional shifts in water allocation of the YRB: the 1987 Water Allocation Scheme (87-WAS), and the 1998 Unified Basinal Regulation (98-UBR), which reframed SES structures significantly.</w:t>
      </w:r>
      <w:r>
        <w:t xml:space="preserve"> </w:t>
      </w:r>
      <w:r>
        <w:t xml:space="preserve">The YRB provides an informative case for two main reasons:</w:t>
      </w:r>
      <w:r>
        <w:t xml:space="preserve"> </w:t>
      </w:r>
      <w:r>
        <w:t xml:space="preserve">(1) The top-down institutional shifts induced sharp changes in SES structures, enabling us to estimate their net effects quantitatively.</w:t>
      </w:r>
      <w:r>
        <w:t xml:space="preserve"> </w:t>
      </w:r>
      <w:r>
        <w:t xml:space="preserve">(2) Since few large river basins have experienced such radical institutional shifts more than once, this case study provides comparable natural experiments for understanding the impacts of structural changes in SESs on natural resources.</w:t>
      </w:r>
    </w:p>
    <w:p>
      <w:pPr>
        <w:pStyle w:val="a0"/>
      </w:pPr>
      <w:r>
        <w:t xml:space="preserve">We explored causal linkages between SES structures and outcomes by quasi-natural experiments (institutional shifts imposed by central government) in the YRB.</w:t>
      </w:r>
      <w:r>
        <w:t xml:space="preserve"> </w:t>
      </w:r>
      <w:r>
        <w:t xml:space="preserve">Firstly, we used data on changes in official documents following two institutional shifts to describe comparable changes in the SES structures associated with the YRB from 1979 to 2008, by abstracting them into SES structures motifs (or building blocks, see</w:t>
      </w:r>
      <w:r>
        <w:t xml:space="preserve"> </w:t>
      </w:r>
      <w:r>
        <w:t xml:space="preserve">).</w:t>
      </w:r>
      <w:r>
        <w:t xml:space="preserve"> </w:t>
      </w:r>
      <w:r>
        <w:t xml:space="preserve">We then used a method called</w:t>
      </w:r>
      <w:r>
        <w:t xml:space="preserve"> </w:t>
      </w:r>
      <w:r>
        <w:t xml:space="preserve">‘</w:t>
      </w:r>
      <w:r>
        <w:t xml:space="preserve">Differenced Synthetic Control (DSC)</w:t>
      </w:r>
      <w:r>
        <w:t xml:space="preserve">’</w:t>
      </w:r>
      <w:r>
        <w:rPr>
          <w:vertAlign w:val="superscript"/>
        </w:rPr>
        <w:t xml:space="preserve">18</w:t>
      </w:r>
      <w:r>
        <w:t xml:space="preserve">, which considers economic growth and natural background, to estimate theoretical water use scenarios without institutional shifts (</w:t>
      </w:r>
      <w:r>
        <w:t xml:space="preserve"> </w:t>
      </w:r>
      <w:r>
        <w:t xml:space="preserve">and</w:t>
      </w:r>
      <w:r>
        <w:t xml:space="preserve"> </w:t>
      </w:r>
      <w:r>
        <w:t xml:space="preserve">).</w:t>
      </w:r>
      <w:r>
        <w:t xml:space="preserve"> </w:t>
      </w:r>
      <w:r>
        <w:t xml:space="preserve">This approach allowed us to create a counterfactual against which to explore the mechanisms linking SESs structure and outcomes for a deeper understanding of the potential role of institutions in water governance worldwide.</w:t>
      </w:r>
      <w:r>
        <w:t xml:space="preserve"> </w:t>
      </w:r>
      <w:r>
        <w:t xml:space="preserve">Finally, we further developed an approach for marginal benefits analysis, to interpret the underlying processes of mismatched institutions based on SESs structures (</w:t>
      </w:r>
      <w:r>
        <w:t xml:space="preserve">).</w:t>
      </w:r>
    </w:p>
    <w:bookmarkEnd w:id="25"/>
    <w:bookmarkStart w:id="44" w:name="sec:results"/>
    <w:p>
      <w:pPr>
        <w:pStyle w:val="1"/>
      </w:pPr>
      <w:r>
        <w:rPr>
          <w:rStyle w:val="SectionNumber"/>
        </w:rPr>
        <w:t xml:space="preserve">2</w:t>
      </w:r>
      <w:r>
        <w:tab/>
      </w:r>
      <w:r>
        <w:t xml:space="preserve">RESULTS</w:t>
      </w:r>
    </w:p>
    <w:bookmarkStart w:id="29" w:name="results-1"/>
    <w:p>
      <w:pPr>
        <w:pStyle w:val="2"/>
      </w:pPr>
      <w:r>
        <w:rPr>
          <w:rStyle w:val="SectionNumber"/>
        </w:rPr>
        <w:t xml:space="preserve">2.1</w:t>
      </w:r>
      <w:r>
        <w:tab/>
      </w:r>
      <w:r>
        <w:t xml:space="preserve">Institutional shifts and structures</w:t>
      </w:r>
    </w:p>
    <w:p>
      <w:pPr>
        <w:pStyle w:val="FirstParagraph"/>
      </w:pPr>
      <w:r>
        <w:drawing>
          <wp:inline>
            <wp:extent cx="5727700" cy="3880656"/>
            <wp:effectExtent b="0" l="0" r="0" t="0"/>
            <wp:docPr descr="image" title="" id="27" name="Picture"/>
            <a:graphic>
              <a:graphicData uri="http://schemas.openxmlformats.org/drawingml/2006/picture">
                <pic:pic>
                  <pic:nvPicPr>
                    <pic:cNvPr descr="diagrams/diagram.pdf" id="28" name="Picture"/>
                    <pic:cNvPicPr>
                      <a:picLocks noChangeArrowheads="1" noChangeAspect="1"/>
                    </pic:cNvPicPr>
                  </pic:nvPicPr>
                  <pic:blipFill>
                    <a:blip r:embed="rId26"/>
                    <a:stretch>
                      <a:fillRect/>
                    </a:stretch>
                  </pic:blipFill>
                  <pic:spPr bwMode="auto">
                    <a:xfrm>
                      <a:off x="0" y="0"/>
                      <a:ext cx="5727700" cy="3880656"/>
                    </a:xfrm>
                    <a:prstGeom prst="rect">
                      <a:avLst/>
                    </a:prstGeom>
                    <a:noFill/>
                    <a:ln w="9525">
                      <a:noFill/>
                      <a:headEnd/>
                      <a:tailEnd/>
                    </a:ln>
                  </pic:spPr>
                </pic:pic>
              </a:graphicData>
            </a:graphic>
          </wp:inline>
        </w:drawing>
      </w:r>
    </w:p>
    <w:p>
      <w:pPr>
        <w:pStyle w:val="a0"/>
      </w:pPr>
      <w:r>
        <w:t xml:space="preserve">The institutional shifts in the YRB in 1987 (87-WAS) and 1998 (98-UBR) were two widely recognized milestones in restricting water use among YRB’s water governance practices (</w:t>
      </w:r>
      <w:r>
        <w:t xml:space="preserve"> </w:t>
      </w:r>
      <w:r>
        <w:t xml:space="preserve">and</w:t>
      </w:r>
      <w:r>
        <w:t xml:space="preserve"> </w:t>
      </w:r>
      <w:r>
        <w:t xml:space="preserve">).</w:t>
      </w:r>
      <w:r>
        <w:t xml:space="preserve"> </w:t>
      </w:r>
      <w:r>
        <w:t xml:space="preserve">Until the 87-WAS, stakeholders (the provinces in the YRB) had free access to the YR water resources for development, but there were geographic and temporal differences between freshwater demand and availability.</w:t>
      </w:r>
      <w:r>
        <w:t xml:space="preserve"> </w:t>
      </w:r>
      <w:r>
        <w:t xml:space="preserve">The YRCC had no links to the provinces regarding water use before 1987, and the provinces could link directly to the Yellow River reaches (Figure </w:t>
      </w:r>
      <w:hyperlink w:anchor="fig:structure">
        <w:r>
          <w:rPr>
            <w:rStyle w:val="ae"/>
          </w:rPr>
          <w:t xml:space="preserve">[fig:structure]</w:t>
        </w:r>
      </w:hyperlink>
      <w:r>
        <w:t xml:space="preserve"> C).</w:t>
      </w:r>
      <w:r>
        <w:t xml:space="preserve"> </w:t>
      </w:r>
      <w:r>
        <w:t xml:space="preserve">To shrink water deficits, in 87-WAS, national authorities proposed in 87-WAS allocating specific water quotas between</w:t>
      </w:r>
      <w:r>
        <w:t xml:space="preserve"> </w:t>
      </w:r>
      <m:oMath>
        <m:r>
          <m:t>10</m:t>
        </m:r>
      </m:oMath>
      <w:r>
        <w:t xml:space="preserve"> </w:t>
      </w:r>
      <w:r>
        <w:t xml:space="preserve">provinces (or regions) along the YR basin (Table </w:t>
      </w:r>
      <w:hyperlink w:anchor="tab:quota">
        <w:r>
          <w:rPr>
            <w:rStyle w:val="ae"/>
          </w:rPr>
          <w:t xml:space="preserve">[tab:quota]</w:t>
        </w:r>
      </w:hyperlink>
      <w:r>
        <w:t xml:space="preserve">).</w:t>
      </w:r>
      <w:r>
        <w:t xml:space="preserve"> </w:t>
      </w:r>
      <w:r>
        <w:t xml:space="preserve">Simultaneously, according to the extracted information from documents of the 87-WAS issued by national ministries, the YRCC started to report water use in each reach.</w:t>
      </w:r>
      <w:r>
        <w:t xml:space="preserve"> </w:t>
      </w:r>
      <w:r>
        <w:t xml:space="preserve">As it was the first time the responsibility of the YRCC involved water use, this introduced new links between the YRCC and the ecological nodes (Figure </w:t>
      </w:r>
      <w:hyperlink w:anchor="fig:structure">
        <w:r>
          <w:rPr>
            <w:rStyle w:val="ae"/>
          </w:rPr>
          <w:t xml:space="preserve">[fig:structure]</w:t>
        </w:r>
      </w:hyperlink>
      <w:r>
        <w:t xml:space="preserve"> C).</w:t>
      </w:r>
      <w:r>
        <w:t xml:space="preserve"> </w:t>
      </w:r>
      <w:r>
        <w:t xml:space="preserve">However, the controversial 87-WAS did not resolve streamflow depletion.</w:t>
      </w:r>
      <w:r>
        <w:t xml:space="preserve"> </w:t>
      </w:r>
      <w:r>
        <w:t xml:space="preserve">In 1998, another strategy (98-UBR) was developed to strengthen the responsibilities of the YRCC for integrated managing water use.</w:t>
      </w:r>
      <w:r>
        <w:t xml:space="preserve"> </w:t>
      </w:r>
      <w:r>
        <w:t xml:space="preserve">Information from the 98-UBR documents demonstrated that the provinces had to apply their plan for an annual water use license to YRCC instead of direct access to the Yellow River water.</w:t>
      </w:r>
      <w:r>
        <w:t xml:space="preserve"> </w:t>
      </w:r>
      <w:r>
        <w:t xml:space="preserve">Thus, the YRCC has been linked to the provinces since 1998 (Figure </w:t>
      </w:r>
      <w:hyperlink w:anchor="fig:structure">
        <w:r>
          <w:rPr>
            <w:rStyle w:val="ae"/>
          </w:rPr>
          <w:t xml:space="preserve">[fig:structure]</w:t>
        </w:r>
      </w:hyperlink>
      <w:r>
        <w:t xml:space="preserve"> C).</w:t>
      </w:r>
      <w:r>
        <w:t xml:space="preserve"> </w:t>
      </w:r>
      <w:r>
        <w:t xml:space="preserve">As result, the two institutional shifts reshaped SES structures, leading to three general structures linked by social actors and ecological nodes (Figure </w:t>
      </w:r>
      <w:hyperlink w:anchor="fig:structure">
        <w:r>
          <w:rPr>
            <w:rStyle w:val="ae"/>
          </w:rPr>
          <w:t xml:space="preserve">[fig:structure]</w:t>
        </w:r>
      </w:hyperlink>
      <w:r>
        <w:t xml:space="preserve"> C).</w:t>
      </w:r>
    </w:p>
    <w:bookmarkEnd w:id="29"/>
    <w:bookmarkStart w:id="34" w:name="result-2"/>
    <w:p>
      <w:pPr>
        <w:pStyle w:val="2"/>
      </w:pPr>
      <w:r>
        <w:rPr>
          <w:rStyle w:val="SectionNumber"/>
        </w:rPr>
        <w:t xml:space="preserve">2.2</w:t>
      </w:r>
      <w:r>
        <w:tab/>
      </w:r>
      <w:r>
        <w:t xml:space="preserve">Institutional shifts impact on water use</w:t>
      </w:r>
    </w:p>
    <w:p>
      <w:pPr>
        <w:pStyle w:val="FirstParagraph"/>
      </w:pPr>
      <w:r>
        <w:drawing>
          <wp:inline>
            <wp:extent cx="5727700" cy="3182055"/>
            <wp:effectExtent b="0" l="0" r="0" t="0"/>
            <wp:docPr descr="image" title="" id="31" name="Picture"/>
            <a:graphic>
              <a:graphicData uri="http://schemas.openxmlformats.org/drawingml/2006/picture">
                <pic:pic>
                  <pic:nvPicPr>
                    <pic:cNvPr descr="outputs/main_results2.pdf" id="32" name="Picture"/>
                    <pic:cNvPicPr>
                      <a:picLocks noChangeArrowheads="1" noChangeAspect="1"/>
                    </pic:cNvPicPr>
                  </pic:nvPicPr>
                  <pic:blipFill>
                    <a:blip r:embed="rId30"/>
                    <a:stretch>
                      <a:fillRect/>
                    </a:stretch>
                  </pic:blipFill>
                  <pic:spPr bwMode="auto">
                    <a:xfrm>
                      <a:off x="0" y="0"/>
                      <a:ext cx="5727700" cy="3182055"/>
                    </a:xfrm>
                    <a:prstGeom prst="rect">
                      <a:avLst/>
                    </a:prstGeom>
                    <a:noFill/>
                    <a:ln w="9525">
                      <a:noFill/>
                      <a:headEnd/>
                      <a:tailEnd/>
                    </a:ln>
                  </pic:spPr>
                </pic:pic>
              </a:graphicData>
            </a:graphic>
          </wp:inline>
        </w:drawing>
      </w:r>
    </w:p>
    <w:p>
      <w:pPr>
        <w:pStyle w:val="a0"/>
      </w:pPr>
      <w:bookmarkStart w:id="33" w:name="result-1-p2"/>
      <w:r>
        <w:t xml:space="preserve">[result-1-p2]</w:t>
      </w:r>
      <w:bookmarkEnd w:id="33"/>
      <w:r>
        <w:t xml:space="preserve"> </w:t>
      </w:r>
      <w:r>
        <w:t xml:space="preserve">Our estimation of theoretical water use suggests that the institutional shift in 1987 (87-WAS) stimulated the provinces to withdraw more water than would have been used without an institutional shift (Figure </w:t>
      </w:r>
      <w:hyperlink w:anchor="fig:main_results">
        <w:r>
          <w:rPr>
            <w:rStyle w:val="ae"/>
          </w:rPr>
          <w:t xml:space="preserve">[fig:main_results]</w:t>
        </w:r>
      </w:hyperlink>
      <w:r>
        <w:t xml:space="preserve">A).</w:t>
      </w:r>
      <w:r>
        <w:t xml:space="preserve"> </w:t>
      </w:r>
      <w:r>
        <w:t xml:space="preserve">From 1988 to 1998, on average, while the estimation of annual water use only suggests</w:t>
      </w:r>
      <w:r>
        <w:t xml:space="preserve"> </w:t>
      </w:r>
      <m:oMath>
        <m:r>
          <m:t>974.34</m:t>
        </m:r>
      </m:oMath>
      <w:r>
        <w:t xml:space="preserve"> </w:t>
      </w:r>
      <w:r>
        <w:t xml:space="preserve">billion</w:t>
      </w:r>
      <w:r>
        <w:t xml:space="preserve"> </w:t>
      </w:r>
      <m:oMath>
        <m:sSup>
          <m:e>
            <m:r>
              <m:t>m</m:t>
            </m:r>
          </m:e>
          <m:sup>
            <m:r>
              <m:t>3</m:t>
            </m:r>
          </m:sup>
        </m:sSup>
      </m:oMath>
      <w:r>
        <w:t xml:space="preserve">, the observed water use of the YRB provinces reached</w:t>
      </w:r>
      <w:r>
        <w:t xml:space="preserve"> </w:t>
      </w:r>
      <m:oMath>
        <m:r>
          <m:t>1038.36</m:t>
        </m:r>
      </m:oMath>
      <w:r>
        <w:t xml:space="preserve"> </w:t>
      </w:r>
      <w:r>
        <w:t xml:space="preserve">billion</w:t>
      </w:r>
      <w:r>
        <w:t xml:space="preserve"> </w:t>
      </w:r>
      <m:oMath>
        <m:sSup>
          <m:e>
            <m:r>
              <m:t>m</m:t>
            </m:r>
          </m:e>
          <m:sup>
            <m:r>
              <m:t>3</m:t>
            </m:r>
          </m:sup>
        </m:sSup>
      </m:oMath>
      <w:r>
        <w:t xml:space="preserve"> </w:t>
      </w:r>
      <w:r>
        <w:t xml:space="preserve">(an increase of</w:t>
      </w:r>
      <w:r>
        <w:t xml:space="preserve"> </w:t>
      </w:r>
      <m:oMath>
        <m:r>
          <m:t>6.57</m:t>
        </m:r>
        <m:r>
          <m:rPr>
            <m:sty m:val="p"/>
          </m:rPr>
          <m:t>%</m:t>
        </m:r>
      </m:oMath>
      <w:r>
        <w:t xml:space="preserve">).</w:t>
      </w:r>
      <w:r>
        <w:t xml:space="preserve"> </w:t>
      </w:r>
      <w:r>
        <w:t xml:space="preserve">However, after the institutional change in 1998 (98-UBR), trends of increasing water use appeared to be effectively suppressed. From 1998 to 2008, the total observed water use decreased by</w:t>
      </w:r>
      <w:r>
        <w:t xml:space="preserve"> </w:t>
      </w:r>
      <m:oMath>
        <m:r>
          <m:t>0.49</m:t>
        </m:r>
      </m:oMath>
      <w:r>
        <w:t xml:space="preserve"> </w:t>
      </w:r>
      <w:r>
        <w:t xml:space="preserve">billion</w:t>
      </w:r>
      <w:r>
        <w:t xml:space="preserve"> </w:t>
      </w:r>
      <m:oMath>
        <m:sSup>
          <m:e>
            <m:r>
              <m:t>m</m:t>
            </m:r>
          </m:e>
          <m:sup>
            <m:r>
              <m:t>3</m:t>
            </m:r>
          </m:sup>
        </m:sSup>
        <m:r>
          <m:rPr>
            <m:sty m:val="p"/>
          </m:rPr>
          <m:t>/</m:t>
        </m:r>
        <m:r>
          <m:t>y</m:t>
        </m:r>
        <m:r>
          <m:t>r</m:t>
        </m:r>
      </m:oMath>
      <w:r>
        <w:t xml:space="preserve"> </w:t>
      </w:r>
      <w:r>
        <w:t xml:space="preserve">per year, while the estimation of water use still suggests</w:t>
      </w:r>
      <w:r>
        <w:t xml:space="preserve"> </w:t>
      </w:r>
      <m:oMath>
        <m:r>
          <m:t>0.82</m:t>
        </m:r>
      </m:oMath>
      <w:r>
        <w:t xml:space="preserve"> </w:t>
      </w:r>
      <w:r>
        <w:t xml:space="preserve">billion</w:t>
      </w:r>
      <w:r>
        <w:t xml:space="preserve"> </w:t>
      </w:r>
      <m:oMath>
        <m:sSup>
          <m:e>
            <m:r>
              <m:t>m</m:t>
            </m:r>
          </m:e>
          <m:sup>
            <m:r>
              <m:t>3</m:t>
            </m:r>
          </m:sup>
        </m:sSup>
        <m:r>
          <m:rPr>
            <m:sty m:val="p"/>
          </m:rPr>
          <m:t>/</m:t>
        </m:r>
        <m:r>
          <m:t>y</m:t>
        </m:r>
        <m:r>
          <m:t>r</m:t>
        </m:r>
      </m:oMath>
      <w:r>
        <w:t xml:space="preserve"> </w:t>
      </w:r>
      <w:r>
        <w:t xml:space="preserve">increases (Figure </w:t>
      </w:r>
      <w:hyperlink w:anchor="fig:main_results">
        <w:r>
          <w:rPr>
            <w:rStyle w:val="ae"/>
          </w:rPr>
          <w:t xml:space="preserve">[fig:main_results]</w:t>
        </w:r>
      </w:hyperlink>
      <w:r>
        <w:t xml:space="preserve"> </w:t>
      </w:r>
      <w:r>
        <w:t xml:space="preserve">B).</w:t>
      </w:r>
      <w:r>
        <w:t xml:space="preserve"> </w:t>
      </w:r>
      <w:r>
        <w:t xml:space="preserve">The increased water uses after 87-WAS aligns with the severe drying-down of the surface streamflow from 1987 to 1998, an obvious indicator of river degradation and environmental crisis (Figure </w:t>
      </w:r>
      <w:hyperlink w:anchor="fig:main_results">
        <w:r>
          <w:rPr>
            <w:rStyle w:val="ae"/>
          </w:rPr>
          <w:t xml:space="preserve">[fig:main_results]</w:t>
        </w:r>
      </w:hyperlink>
      <w:r>
        <w:t xml:space="preserve">C).</w:t>
      </w:r>
      <w:r>
        <w:t xml:space="preserve"> </w:t>
      </w:r>
      <w:r>
        <w:t xml:space="preserve">On the other hand, the 98-UBR ended river depletion, despite subsequent increases in drought intensity (from</w:t>
      </w:r>
      <w:r>
        <w:t xml:space="preserve"> </w:t>
      </w:r>
      <m:oMath>
        <m:r>
          <m:t>0.47</m:t>
        </m:r>
      </m:oMath>
      <w:r>
        <w:t xml:space="preserve"> </w:t>
      </w:r>
      <w:r>
        <w:t xml:space="preserve">after 87-WAS to</w:t>
      </w:r>
      <w:r>
        <w:t xml:space="preserve"> </w:t>
      </w:r>
      <m:oMath>
        <m:r>
          <m:t>0.62</m:t>
        </m:r>
      </m:oMath>
      <w:r>
        <w:t xml:space="preserve"> </w:t>
      </w:r>
      <w:r>
        <w:t xml:space="preserve">after 98-UBR on average) (Figure </w:t>
      </w:r>
      <w:hyperlink w:anchor="fig:main_results">
        <w:r>
          <w:rPr>
            <w:rStyle w:val="ae"/>
          </w:rPr>
          <w:t xml:space="preserve">[fig:main_results]</w:t>
        </w:r>
      </w:hyperlink>
      <w:r>
        <w:t xml:space="preserve">C).</w:t>
      </w:r>
    </w:p>
    <w:bookmarkEnd w:id="34"/>
    <w:bookmarkStart w:id="43" w:name="result-3"/>
    <w:p>
      <w:pPr>
        <w:pStyle w:val="2"/>
      </w:pPr>
      <w:r>
        <w:rPr>
          <w:rStyle w:val="SectionNumber"/>
        </w:rPr>
        <w:t xml:space="preserve">2.3</w:t>
      </w:r>
      <w:r>
        <w:tab/>
      </w:r>
      <w:r>
        <w:t xml:space="preserve">Heterogeneous effects and interpretation</w:t>
      </w:r>
    </w:p>
    <w:p>
      <w:pPr>
        <w:pStyle w:val="FirstParagraph"/>
      </w:pPr>
      <w:r>
        <w:drawing>
          <wp:inline>
            <wp:extent cx="5727700" cy="3272971"/>
            <wp:effectExtent b="0" l="0" r="0" t="0"/>
            <wp:docPr descr="image" title="" id="36" name="Picture"/>
            <a:graphic>
              <a:graphicData uri="http://schemas.openxmlformats.org/drawingml/2006/picture">
                <pic:pic>
                  <pic:nvPicPr>
                    <pic:cNvPr descr="outputs/fig3.pdf" id="37" name="Picture"/>
                    <pic:cNvPicPr>
                      <a:picLocks noChangeArrowheads="1" noChangeAspect="1"/>
                    </pic:cNvPicPr>
                  </pic:nvPicPr>
                  <pic:blipFill>
                    <a:blip r:embed="rId35"/>
                    <a:stretch>
                      <a:fillRect/>
                    </a:stretch>
                  </pic:blipFill>
                  <pic:spPr bwMode="auto">
                    <a:xfrm>
                      <a:off x="0" y="0"/>
                      <a:ext cx="5727700" cy="3272971"/>
                    </a:xfrm>
                    <a:prstGeom prst="rect">
                      <a:avLst/>
                    </a:prstGeom>
                    <a:noFill/>
                    <a:ln w="9525">
                      <a:noFill/>
                      <a:headEnd/>
                      <a:tailEnd/>
                    </a:ln>
                  </pic:spPr>
                </pic:pic>
              </a:graphicData>
            </a:graphic>
          </wp:inline>
        </w:drawing>
      </w:r>
    </w:p>
    <w:p>
      <w:pPr>
        <w:pStyle w:val="a0"/>
      </w:pPr>
      <w:r>
        <w:t xml:space="preserve">Our results also suggest differences between patterns of provinces in their responses to the two institutional regulating.</w:t>
      </w:r>
      <w:r>
        <w:t xml:space="preserve"> </w:t>
      </w:r>
      <w:r>
        <w:t xml:space="preserve">During the decade after the 87-WAS, the major water-using provinces (e.g., Inner Mongolia, Henan, Shandong) had apparent accelerations (Figure </w:t>
      </w:r>
      <w:hyperlink w:anchor="fig:regulating">
        <w:r>
          <w:rPr>
            <w:rStyle w:val="ae"/>
          </w:rPr>
          <w:t xml:space="preserve">[fig:regulating]</w:t>
        </w:r>
      </w:hyperlink>
      <w:r>
        <w:t xml:space="preserve">).</w:t>
      </w:r>
      <w:r>
        <w:t xml:space="preserve"> </w:t>
      </w:r>
      <w:r>
        <w:t xml:space="preserve">The proportion of increased (or decreased) water use for each province (over the estimated water use by the model) correlated significantly (partial correlation coefficient is</w:t>
      </w:r>
      <w:r>
        <w:t xml:space="preserve"> </w:t>
      </w:r>
      <m:oMath>
        <m:r>
          <m:t>0.77</m:t>
        </m:r>
      </m:oMath>
      <w:r>
        <w:t xml:space="preserve">,</w:t>
      </w:r>
      <w:r>
        <w:t xml:space="preserve"> </w:t>
      </w:r>
      <m:oMath>
        <m:r>
          <m:t>p</m:t>
        </m:r>
        <m:r>
          <m:rPr>
            <m:sty m:val="p"/>
          </m:rPr>
          <m:t>&lt;</m:t>
        </m:r>
        <m:r>
          <m:t>0.05</m:t>
        </m:r>
      </m:oMath>
      <w:r>
        <w:t xml:space="preserve">) with actual water use from the Yellow River.</w:t>
      </w:r>
      <w:r>
        <w:t xml:space="preserve"> </w:t>
      </w:r>
      <w:r>
        <w:t xml:space="preserve">On average, the major water users (Shandong, Inner Mongolia, Henan, and Ningxia) used</w:t>
      </w:r>
      <w:r>
        <w:t xml:space="preserve"> </w:t>
      </w:r>
      <m:oMath>
        <m:r>
          <m:t>32.14</m:t>
        </m:r>
        <m:r>
          <m:rPr>
            <m:sty m:val="p"/>
          </m:rPr>
          <m:t>%</m:t>
        </m:r>
      </m:oMath>
      <w:r>
        <w:t xml:space="preserve"> </w:t>
      </w:r>
      <w:r>
        <w:t xml:space="preserve">more water than predicted from 1987 to 1998.</w:t>
      </w:r>
      <w:r>
        <w:t xml:space="preserve"> </w:t>
      </w:r>
      <w:r>
        <w:t xml:space="preserve">By contrast, after the 98-UBR (from 1998 to 2008), almost all provinces have seen declines (</w:t>
      </w:r>
      <m:oMath>
        <m:r>
          <m:rPr>
            <m:sty m:val="p"/>
          </m:rPr>
          <m:t>−</m:t>
        </m:r>
        <m:r>
          <m:t>16.54</m:t>
        </m:r>
        <m:r>
          <m:rPr>
            <m:sty m:val="p"/>
          </m:rPr>
          <m:t>%</m:t>
        </m:r>
      </m:oMath>
      <w:r>
        <w:t xml:space="preserve"> </w:t>
      </w:r>
      <w:r>
        <w:t xml:space="preserve">on average) in water use.</w:t>
      </w:r>
      <w:r>
        <w:t xml:space="preserve"> </w:t>
      </w:r>
      <w:r>
        <w:t xml:space="preserve">Furthermore, the regulated water use of provinces was unrelated (partial correlation coefficient is</w:t>
      </w:r>
      <w:r>
        <w:t xml:space="preserve"> </w:t>
      </w:r>
      <m:oMath>
        <m:r>
          <m:t>0.33</m:t>
        </m:r>
      </m:oMath>
      <w:r>
        <w:t xml:space="preserve">,</w:t>
      </w:r>
      <w:r>
        <w:t xml:space="preserve"> </w:t>
      </w:r>
      <m:oMath>
        <m:r>
          <m:t>p</m:t>
        </m:r>
        <m:r>
          <m:rPr>
            <m:sty m:val="p"/>
          </m:rPr>
          <m:t>&gt;</m:t>
        </m:r>
        <m:r>
          <m:t>0.1</m:t>
        </m:r>
      </m:oMath>
      <w:r>
        <w:t xml:space="preserve">) to their proportional water use from the Yellow River.</w:t>
      </w:r>
    </w:p>
    <w:p>
      <w:pPr>
        <w:pStyle w:val="CaptionedFigure"/>
      </w:pPr>
      <w:bookmarkStart w:id="41" w:name="fig:model"/>
      <w:r>
        <w:drawing>
          <wp:inline>
            <wp:extent cx="3200400" cy="2743200"/>
            <wp:effectExtent b="0" l="0" r="0" t="0"/>
            <wp:docPr descr="Figure 2: The proposed relationship of marginal benefits and water use of individual province under varying cases (case 1 to case 3, corresponding to the different SES structures in Figure [fig:structure] C) Major water users’ theoretically optimal water use is also larger (see and )." title="" id="39" name="Picture"/>
            <a:graphic>
              <a:graphicData uri="http://schemas.openxmlformats.org/drawingml/2006/picture">
                <pic:pic>
                  <pic:nvPicPr>
                    <pic:cNvPr descr="outputs/economic_model.pdf" id="40" name="Picture"/>
                    <pic:cNvPicPr>
                      <a:picLocks noChangeArrowheads="1" noChangeAspect="1"/>
                    </pic:cNvPicPr>
                  </pic:nvPicPr>
                  <pic:blipFill>
                    <a:blip r:embed="rId38"/>
                    <a:stretch>
                      <a:fillRect/>
                    </a:stretch>
                  </pic:blipFill>
                  <pic:spPr bwMode="auto">
                    <a:xfrm>
                      <a:off x="0" y="0"/>
                      <a:ext cx="3200400" cy="2743200"/>
                    </a:xfrm>
                    <a:prstGeom prst="rect">
                      <a:avLst/>
                    </a:prstGeom>
                    <a:noFill/>
                    <a:ln w="9525">
                      <a:noFill/>
                      <a:headEnd/>
                      <a:tailEnd/>
                    </a:ln>
                  </pic:spPr>
                </pic:pic>
              </a:graphicData>
            </a:graphic>
          </wp:inline>
        </w:drawing>
      </w:r>
      <w:bookmarkEnd w:id="41"/>
    </w:p>
    <w:p>
      <w:pPr>
        <w:pStyle w:val="ImageCaption"/>
      </w:pPr>
      <w:bookmarkStart w:id="42" w:name="ref_fig:model"/>
      <w:r>
        <w:t xml:space="preserve">Figure </w:t>
      </w:r>
      <w:fldSimple w:instr="SEQ Figure \* ARABIC ">
        <w:r>
          <w:t>2</w:t>
        </w:r>
      </w:fldSimple>
      <w:bookmarkEnd w:id="42"/>
      <w:r>
        <w:t xml:space="preserve">: </w:t>
      </w:r>
      <w:r>
        <w:t xml:space="preserve">Figure 2:</w:t>
      </w:r>
      <w:r>
        <w:t xml:space="preserve"> </w:t>
      </w:r>
      <w:r>
        <w:t xml:space="preserve">The proposed relationship of marginal benefits and water use of individual province under varying cases (case 1 to case 3, corresponding to the different SES structures in Figure </w:t>
      </w:r>
      <w:hyperlink w:anchor="fig:structure">
        <w:r>
          <w:rPr>
            <w:rStyle w:val="ae"/>
          </w:rPr>
          <w:t xml:space="preserve">[fig:structure]</w:t>
        </w:r>
      </w:hyperlink>
      <w:r>
        <w:t xml:space="preserve"> C) Major water users’ theoretically optimal water use is also larger (see and</w:t>
      </w:r>
      <w:r>
        <w:t xml:space="preserve"> </w:t>
      </w:r>
      <w:r>
        <w:t xml:space="preserve">).</w:t>
      </w:r>
    </w:p>
    <w:p>
      <w:pPr>
        <w:pStyle w:val="a0"/>
      </w:pPr>
      <w:r>
        <w:t xml:space="preserve">For interpretation of the pattern, we compared the theoretical marginal returns and optimal water use under three different structural cases (case 1 to case 3, corresponding to different SES structures in Figure </w:t>
      </w:r>
      <w:hyperlink w:anchor="fig:structure">
        <w:r>
          <w:rPr>
            <w:rStyle w:val="ae"/>
          </w:rPr>
          <w:t xml:space="preserve">[fig:structure]</w:t>
        </w:r>
      </w:hyperlink>
      <w:r>
        <w:t xml:space="preserve"> C, see  Figure </w:t>
      </w:r>
      <w:hyperlink w:anchor="fig:model">
        <w:r>
          <w:rPr>
            <w:rStyle w:val="ae"/>
          </w:rPr>
          <w:t xml:space="preserve">2</w:t>
        </w:r>
      </w:hyperlink>
      <w:r>
        <w:t xml:space="preserve">, detailed derivation in</w:t>
      </w:r>
      <w:r>
        <w:t xml:space="preserve"> </w:t>
      </w:r>
      <w:r>
        <w:t xml:space="preserve">).</w:t>
      </w:r>
      <w:r>
        <w:t xml:space="preserve"> </w:t>
      </w:r>
      <w:r>
        <w:t xml:space="preserve">Assuming that water is the factor input with decreasing marginal output of each province, results show that varying incentives for water use in each province derive from the relationship between the benefits and costs of water use.</w:t>
      </w:r>
      <w:r>
        <w:t xml:space="preserve"> </w:t>
      </w:r>
      <w:r>
        <w:t xml:space="preserve">As a benchmark, case 1 analogy to a decentralized stakeholders situation and lead to medium-level water use.</w:t>
      </w:r>
      <w:r>
        <w:t xml:space="preserve"> </w:t>
      </w:r>
      <w:r>
        <w:t xml:space="preserve">In case 2, each stakeholder expects that current water use helps bargain for a favorable water quota in the face of institutional shift (see</w:t>
      </w:r>
      <w:r>
        <w:t xml:space="preserve"> </w:t>
      </w:r>
      <w:r>
        <w:t xml:space="preserve">), which can intensify the incentive to use water, leading to higher water use.</w:t>
      </w:r>
      <w:r>
        <w:t xml:space="preserve"> </w:t>
      </w:r>
      <w:r>
        <w:t xml:space="preserve">Furthermore, the water users with higher capability are more stimulated by the institutional shift and away from the theoretically optimal water use under a unified allocation.</w:t>
      </w:r>
      <w:r>
        <w:t xml:space="preserve"> </w:t>
      </w:r>
      <w:r>
        <w:t xml:space="preserve">After water-use decisions are consolidated into unified management (case 3), marginal benefits analysis suggests the lowest water use among the cases.</w:t>
      </w:r>
    </w:p>
    <w:bookmarkEnd w:id="43"/>
    <w:bookmarkEnd w:id="44"/>
    <w:bookmarkStart w:id="48" w:name="sec:discussion"/>
    <w:p>
      <w:pPr>
        <w:pStyle w:val="1"/>
      </w:pPr>
      <w:r>
        <w:rPr>
          <w:rStyle w:val="SectionNumber"/>
        </w:rPr>
        <w:t xml:space="preserve">3</w:t>
      </w:r>
      <w:r>
        <w:tab/>
      </w:r>
      <w:r>
        <w:t xml:space="preserve">DISCUSSION</w:t>
      </w:r>
    </w:p>
    <w:p>
      <w:pPr>
        <w:pStyle w:val="FirstParagraph"/>
      </w:pPr>
      <w:bookmarkStart w:id="45" w:name="discussion-1"/>
      <w:r>
        <w:t xml:space="preserve">[discussion-1]</w:t>
      </w:r>
      <w:bookmarkEnd w:id="45"/>
      <w:r>
        <w:t xml:space="preserve"> </w:t>
      </w:r>
      <w:r>
        <w:t xml:space="preserve">The influences of institutions on the outcomes of social-ecological systems (SESs) were widely reported worldwide, but few attempts to quantify their net effects</w:t>
      </w:r>
      <w:r>
        <w:rPr>
          <w:vertAlign w:val="superscript"/>
        </w:rPr>
        <w:t xml:space="preserve">19</w:t>
      </w:r>
      <w:r>
        <w:t xml:space="preserve">.</w:t>
      </w:r>
      <w:r>
        <w:t xml:space="preserve"> </w:t>
      </w:r>
      <w:r>
        <w:t xml:space="preserve">Our results show that while 98-UBR decreased water use in the YRB, 87-WAS increased it by</w:t>
      </w:r>
      <w:r>
        <w:t xml:space="preserve"> </w:t>
      </w:r>
      <m:oMath>
        <m:r>
          <m:t>8.57</m:t>
        </m:r>
        <m:r>
          <m:rPr>
            <m:sty m:val="p"/>
          </m:rPr>
          <m:t>%</m:t>
        </m:r>
      </m:oMath>
      <w:r>
        <w:t xml:space="preserve">.</w:t>
      </w:r>
      <w:r>
        <w:t xml:space="preserve"> </w:t>
      </w:r>
      <w:r>
        <w:t xml:space="preserve">The results challenged previous analyses (i.e., suggesting that 87-WAS ”had little practical effect”) because theoretically, there should be few gaps between actual and synthetic water use in the YRB if no effect is present</w:t>
      </w:r>
      <w:r>
        <w:rPr>
          <w:vertAlign w:val="superscript"/>
        </w:rPr>
        <w:t xml:space="preserve">20,21</w:t>
      </w:r>
      <w:r>
        <w:t xml:space="preserve">.</w:t>
      </w:r>
      <w:r>
        <w:t xml:space="preserve"> </w:t>
      </w:r>
      <w:r>
        <w:t xml:space="preserve">However, the significant net effect indicated by our analysis suggests 87-WAS was followed by more water use even after controlling for environmental and economic variables (see</w:t>
      </w:r>
      <w:r>
        <w:t xml:space="preserve"> </w:t>
      </w:r>
      <w:r>
        <w:t xml:space="preserve"> Table </w:t>
      </w:r>
      <w:hyperlink w:anchor="tab:variables">
        <w:r>
          <w:rPr>
            <w:rStyle w:val="ae"/>
          </w:rPr>
          <w:t xml:space="preserve">[tab:variables]</w:t>
        </w:r>
      </w:hyperlink>
      <w:r>
        <w:t xml:space="preserve">).</w:t>
      </w:r>
      <w:r>
        <w:t xml:space="preserve"> </w:t>
      </w:r>
      <w:r>
        <w:t xml:space="preserve">On the contrary, the 98-UBR reduced surface water competition, so many studies attributed the streamflow restoration mainly to the successful introduction of this institution</w:t>
      </w:r>
      <w:r>
        <w:rPr>
          <w:vertAlign w:val="superscript"/>
        </w:rPr>
        <w:t xml:space="preserve">22–24</w:t>
      </w:r>
      <w:r>
        <w:t xml:space="preserve">.</w:t>
      </w:r>
    </w:p>
    <w:p>
      <w:pPr>
        <w:pStyle w:val="a0"/>
      </w:pPr>
      <w:bookmarkStart w:id="46" w:name="discussion-2"/>
      <w:r>
        <w:t xml:space="preserve">[discussion-2]</w:t>
      </w:r>
      <w:bookmarkEnd w:id="46"/>
      <w:r>
        <w:t xml:space="preserve"> </w:t>
      </w:r>
      <w:r>
        <w:t xml:space="preserve">The above comparison suggests that the 87-WAS, whose results were contrary to the purpose of the institution, is similar to many other SES governance failures, supporting that mismatched socio-ecological structures can deterioration of common resources</w:t>
      </w:r>
      <w:r>
        <w:rPr>
          <w:vertAlign w:val="superscript"/>
        </w:rPr>
        <w:t xml:space="preserve">25–27</w:t>
      </w:r>
      <w:r>
        <w:t xml:space="preserve">.</w:t>
      </w:r>
      <w:r>
        <w:t xml:space="preserve"> </w:t>
      </w:r>
      <w:r>
        <w:t xml:space="preserve">The increased water use after 87-WAS aligns with concerns about frequently scrambling for water in some provinces during this period</w:t>
      </w:r>
      <w:r>
        <w:rPr>
          <w:vertAlign w:val="superscript"/>
        </w:rPr>
        <w:t xml:space="preserve">28,29</w:t>
      </w:r>
      <w:r>
        <w:t xml:space="preserve">.</w:t>
      </w:r>
      <w:r>
        <w:t xml:space="preserve"> </w:t>
      </w:r>
      <w:r>
        <w:t xml:space="preserve">Although reasons for the non-ideal effect of 87-WAS had been widely discussed</w:t>
      </w:r>
      <w:r>
        <w:rPr>
          <w:vertAlign w:val="superscript"/>
        </w:rPr>
        <w:t xml:space="preserve">23</w:t>
      </w:r>
      <w:r>
        <w:t xml:space="preserve"> </w:t>
      </w:r>
      <w:r>
        <w:t xml:space="preserve">(such as enforcement, feasibility, and equity), however, structural change has received limited attention.</w:t>
      </w:r>
      <w:r>
        <w:t xml:space="preserve"> </w:t>
      </w:r>
      <w:r>
        <w:t xml:space="preserve">Our results show that the correlation between current water use and changed (increased or decreased) water use was significant after 87-WAS (Figure </w:t>
      </w:r>
      <w:hyperlink w:anchor="fig:regulating">
        <w:r>
          <w:rPr>
            <w:rStyle w:val="ae"/>
          </w:rPr>
          <w:t xml:space="preserve">[fig:regulating]</w:t>
        </w:r>
      </w:hyperlink>
      <w:r>
        <w:t xml:space="preserve">).</w:t>
      </w:r>
      <w:r>
        <w:t xml:space="preserve"> </w:t>
      </w:r>
      <w:r>
        <w:t xml:space="preserve">This</w:t>
      </w:r>
      <w:r>
        <w:t xml:space="preserve"> </w:t>
      </w:r>
      <w:r>
        <w:t xml:space="preserve">“</w:t>
      </w:r>
      <w:r>
        <w:t xml:space="preserve">major users use more</w:t>
      </w:r>
      <w:r>
        <w:t xml:space="preserve">”</w:t>
      </w:r>
      <w:r>
        <w:t xml:space="preserve"> </w:t>
      </w:r>
      <w:r>
        <w:t xml:space="preserve">pattern supports the hypothesis that separated stakeholders (individual provinces) will respond to structure by maximizing utility (interpreted in our structure-based model, see Figure </w:t>
      </w:r>
      <w:hyperlink w:anchor="fig:model">
        <w:r>
          <w:rPr>
            <w:rStyle w:val="ae"/>
          </w:rPr>
          <w:t xml:space="preserve">2</w:t>
        </w:r>
      </w:hyperlink>
      <w:r>
        <w:t xml:space="preserve">).</w:t>
      </w:r>
    </w:p>
    <w:p>
      <w:pPr>
        <w:pStyle w:val="a0"/>
      </w:pPr>
      <w:r>
        <w:t xml:space="preserve">The validity of our theoretical analysis is supported by two facts:</w:t>
      </w:r>
      <w:r>
        <w:t xml:space="preserve"> </w:t>
      </w:r>
      <w:r>
        <w:t xml:space="preserve">(1) The water quotas of 87-WAS (or the initial water rights) went through a stage of</w:t>
      </w:r>
      <w:r>
        <w:t xml:space="preserve"> </w:t>
      </w:r>
      <w:r>
        <w:t xml:space="preserve">“</w:t>
      </w:r>
      <w:r>
        <w:t xml:space="preserve">bargaining</w:t>
      </w:r>
      <w:r>
        <w:t xml:space="preserve">”</w:t>
      </w:r>
      <w:r>
        <w:t xml:space="preserve"> </w:t>
      </w:r>
      <w:r>
        <w:t xml:space="preserve">among stakeholders (from 1982 to 1987)</w:t>
      </w:r>
      <w:r>
        <w:rPr>
          <w:vertAlign w:val="superscript"/>
        </w:rPr>
        <w:t xml:space="preserve">7,30</w:t>
      </w:r>
      <w:r>
        <w:t xml:space="preserve">, where each province attempted to demonstrate its development potential related to water use.</w:t>
      </w:r>
      <w:r>
        <w:t xml:space="preserve"> </w:t>
      </w:r>
      <w:r>
        <w:t xml:space="preserve">The bargaining was also a process for matching water shares to economic volume because the major water users (like Shandong and Henan) needed more water than their original quota (if only considering economic potentials when designing the institution)</w:t>
      </w:r>
      <w:r>
        <w:rPr>
          <w:vertAlign w:val="superscript"/>
        </w:rPr>
        <w:t xml:space="preserve">31</w:t>
      </w:r>
      <w:r>
        <w:t xml:space="preserve">.</w:t>
      </w:r>
      <w:r>
        <w:t xml:space="preserve"> </w:t>
      </w:r>
      <w:r>
        <w:t xml:space="preserve">(2) Provinces with higher current water use might have greater bargaining power in water use allocation because of information asymmetry between decision-makers and stakeholders.</w:t>
      </w:r>
      <w:r>
        <w:t xml:space="preserve"> </w:t>
      </w:r>
      <w:r>
        <w:t xml:space="preserve">Therefore, stakeholders had considerable incentives to prevent water quotas from hindering their economic potential, which aligned with their appeals to the higher central government for larger shares</w:t>
      </w:r>
      <w:r>
        <w:rPr>
          <w:vertAlign w:val="superscript"/>
        </w:rPr>
        <w:t xml:space="preserve">7,30</w:t>
      </w:r>
      <w:r>
        <w:t xml:space="preserve">.</w:t>
      </w:r>
    </w:p>
    <w:p>
      <w:pPr>
        <w:pStyle w:val="a0"/>
      </w:pPr>
      <w:bookmarkStart w:id="47" w:name="discussion-3"/>
      <w:r>
        <w:t xml:space="preserve">[discussion-3]</w:t>
      </w:r>
      <w:bookmarkEnd w:id="47"/>
      <w:r>
        <w:t xml:space="preserve"> </w:t>
      </w:r>
      <w:r>
        <w:t xml:space="preserve">On the other hand, social-ecological matches can also be supported by structural effects.</w:t>
      </w:r>
      <w:r>
        <w:t xml:space="preserve"> </w:t>
      </w:r>
      <w:r>
        <w:t xml:space="preserve">After 98-UBR, the YRCC could adjust surface water use quotas according to climate conditions for the whole YRB.</w:t>
      </w:r>
      <w:r>
        <w:t xml:space="preserve"> </w:t>
      </w:r>
      <w:r>
        <w:t xml:space="preserve">When the YRCC began to coordinate among stakeholders, the external appeals of provinces for larger quotas turned into internal innovation to improve water efficiency (e.g., drastically increased water-conserving equipment)</w:t>
      </w:r>
      <w:r>
        <w:rPr>
          <w:vertAlign w:val="superscript"/>
        </w:rPr>
        <w:t xml:space="preserve">32,33</w:t>
      </w:r>
      <w:r>
        <w:t xml:space="preserve">.</w:t>
      </w:r>
      <w:r>
        <w:t xml:space="preserve"> </w:t>
      </w:r>
      <w:r>
        <w:t xml:space="preserve">During this period, proportional decreased water use of provinces indicated expected river regulating results (see ).</w:t>
      </w:r>
      <w:r>
        <w:t xml:space="preserve"> </w:t>
      </w:r>
      <w:r>
        <w:t xml:space="preserve">Meanwhile, our model also demonstrates that in this case, the unified scale-matched institution was indispensable for decreased water use.</w:t>
      </w:r>
      <w:r>
        <w:t xml:space="preserve"> </w:t>
      </w:r>
      <w:r>
        <w:t xml:space="preserve">However, since the 98-UBR only regulated surface water use, many clues suggested the institution shift may cause broader influences (cascading effects) because of unsatisfied water demands.</w:t>
      </w:r>
      <w:r>
        <w:t xml:space="preserve"> </w:t>
      </w:r>
      <w:r>
        <w:t xml:space="preserve">For example, literature estimated increased groundwater withdrawals after 98-UBR in many intensive irrigation regions, despite little eligible data on groundwater use and stakeholders being accessible</w:t>
      </w:r>
      <w:r>
        <w:rPr>
          <w:vertAlign w:val="superscript"/>
        </w:rPr>
        <w:t xml:space="preserve">34</w:t>
      </w:r>
      <w:r>
        <w:t xml:space="preserve">.</w:t>
      </w:r>
      <w:r>
        <w:t xml:space="preserve"> </w:t>
      </w:r>
      <w:r>
        <w:t xml:space="preserve">Since the 21st century, similar water quota policies started to be implemented nationally and altering the relationship between social actors and resource units.</w:t>
      </w:r>
      <w:r>
        <w:t xml:space="preserve"> </w:t>
      </w:r>
      <w:r>
        <w:t xml:space="preserve">As both institutional shifts examined here induced unexpected changes or cascading effects within SESs, better governance calls for more institutional analysis of coupled human and natural systems in the future.</w:t>
      </w:r>
    </w:p>
    <w:p>
      <w:pPr>
        <w:pStyle w:val="a0"/>
      </w:pPr>
      <w:r>
        <w:t xml:space="preserve">The structural building blocks (or motifs) we depicted here (Figure </w:t>
      </w:r>
      <w:hyperlink w:anchor="fig:structure">
        <w:r>
          <w:rPr>
            <w:rStyle w:val="ae"/>
          </w:rPr>
          <w:t xml:space="preserve">[fig:structure]</w:t>
        </w:r>
      </w:hyperlink>
      <w:r>
        <w:t xml:space="preserve">) have also been reported in other SESs worldwide</w:t>
      </w:r>
      <w:r>
        <w:rPr>
          <w:vertAlign w:val="superscript"/>
        </w:rPr>
        <w:t xml:space="preserve">14,35,36</w:t>
      </w:r>
      <w:r>
        <w:t xml:space="preserve">.</w:t>
      </w:r>
      <w:r>
        <w:t xml:space="preserve"> </w:t>
      </w:r>
      <w:r>
        <w:t xml:space="preserve">Before 98-UBR, SES structure (i.e., fragment ecological units linked to separate social actors) was more likely to be mismatched because isolated actors generally struggle to maintain interconnected ecosystems holistically</w:t>
      </w:r>
      <w:r>
        <w:rPr>
          <w:vertAlign w:val="superscript"/>
        </w:rPr>
        <w:t xml:space="preserve">26,37–39</w:t>
      </w:r>
      <w:r>
        <w:t xml:space="preserve">.</w:t>
      </w:r>
      <w:r>
        <w:t xml:space="preserve"> </w:t>
      </w:r>
      <w:r>
        <w:t xml:space="preserve">Institutional re-alignments since 98-UBR improved the authority of the YRCC and helped it match the scale of resource provisioning in the YRB, leading to enhanced social-ecological fit and better outcomes regarding runoff restoration</w:t>
      </w:r>
      <w:r>
        <w:rPr>
          <w:vertAlign w:val="superscript"/>
        </w:rPr>
        <w:t xml:space="preserve">7,19</w:t>
      </w:r>
      <w:r>
        <w:t xml:space="preserve">.</w:t>
      </w:r>
      <w:r>
        <w:t xml:space="preserve"> </w:t>
      </w:r>
      <w:r>
        <w:t xml:space="preserve">The comparison demonstrates again the challenge of finding win-win situations in coupled human-nature systems</w:t>
      </w:r>
      <w:r>
        <w:rPr>
          <w:vertAlign w:val="superscript"/>
        </w:rPr>
        <w:t xml:space="preserve">40</w:t>
      </w:r>
      <w:r>
        <w:t xml:space="preserve">, and the need to more deeply understand the role of social-ecological structures</w:t>
      </w:r>
      <w:r>
        <w:rPr>
          <w:vertAlign w:val="superscript"/>
        </w:rPr>
        <w:t xml:space="preserve">38,39</w:t>
      </w:r>
      <w:r>
        <w:t xml:space="preserve">.</w:t>
      </w:r>
    </w:p>
    <w:p>
      <w:pPr>
        <w:pStyle w:val="a0"/>
      </w:pPr>
      <w:r>
        <w:t xml:space="preserve">Our approach has some inevitable limitations.</w:t>
      </w:r>
      <w:r>
        <w:t xml:space="preserve"> </w:t>
      </w:r>
      <w:r>
        <w:t xml:space="preserve">First, the contributions of economic growth and institutional shifts are difficult to distinguish because of intertwined causality (institutional changes can also influence the relative economic variables);</w:t>
      </w:r>
      <w:r>
        <w:t xml:space="preserve"> </w:t>
      </w:r>
      <w:r>
        <w:t xml:space="preserve">and second, when applying the DSC method, it is difficult to rule out the effects of other policies over the same time breakpoints (1987 and 1998).</w:t>
      </w:r>
      <w:r>
        <w:t xml:space="preserve"> </w:t>
      </w:r>
      <w:r>
        <w:t xml:space="preserve">Our quasi-experiment approach nonetheless provides evidence supporting the view that there was a change in water use trajectory following the YRB’s unique institutional shifts and offers insights into water governance (and particularly the importance of having a scale-matched, basin-wide authority for water allocation solutions</w:t>
      </w:r>
      <w:r>
        <w:rPr>
          <w:vertAlign w:val="superscript"/>
        </w:rPr>
        <w:t xml:space="preserve">13,17,41</w:t>
      </w:r>
      <w:r>
        <w:t xml:space="preserve">)</w:t>
      </w:r>
      <w:r>
        <w:t xml:space="preserve"> </w:t>
      </w:r>
      <w:r>
        <w:t xml:space="preserve">Moreover, the ultimate success of the 98-UBR institutional shift theoretically and practically proved the importance of social-ecological fit.</w:t>
      </w:r>
      <w:r>
        <w:t xml:space="preserve"> </w:t>
      </w:r>
      <w:r>
        <w:t xml:space="preserve">For sustainability in the future, therefore, it is necessary to emphasize the necessity of strengthening connections between stakeholders by agents consistent with the scale of the ecological system.</w:t>
      </w:r>
      <w:r>
        <w:t xml:space="preserve"> </w:t>
      </w:r>
      <w:r>
        <w:t xml:space="preserve">From these perspectives, two scenarios based on the marginal benefit analysis (see</w:t>
      </w:r>
      <w:r>
        <w:t xml:space="preserve"> </w:t>
      </w:r>
      <w:r>
        <w:t xml:space="preserve">) can inspire institutional design on how to reduce mismatches.</w:t>
      </w:r>
      <w:r>
        <w:t xml:space="preserve"> </w:t>
      </w:r>
      <w:r>
        <w:t xml:space="preserve">For example, water rights transfers may be another way to build horizontal links between stakeholders that also have the potential to result in better water governance.</w:t>
      </w:r>
      <w:r>
        <w:t xml:space="preserve"> </w:t>
      </w:r>
      <w:r>
        <w:t xml:space="preserve">In addition, policymakers can propose more dynamic and flexible institutions to increase the adaptation of stakeholders to a changing SES context</w:t>
      </w:r>
      <w:r>
        <w:rPr>
          <w:vertAlign w:val="superscript"/>
        </w:rPr>
        <w:t xml:space="preserve">41</w:t>
      </w:r>
      <w:r>
        <w:t xml:space="preserve">.</w:t>
      </w:r>
    </w:p>
    <w:p>
      <w:pPr>
        <w:pStyle w:val="a0"/>
      </w:pPr>
      <w:r>
        <w:t xml:space="preserve">The structural building blocks that led to different outcomes are recurring motifs in global SESs, so our proposed mechanism is crucial to governing such coupled systems.</w:t>
      </w:r>
      <w:r>
        <w:t xml:space="preserve"> </w:t>
      </w:r>
      <w:r>
        <w:t xml:space="preserve">Calls for a redesign of water allocation institutions in the YRB in recent years also illustrate the importance of institutional solutions for sustainability (see</w:t>
      </w:r>
      <w:r>
        <w:t xml:space="preserve"> </w:t>
      </w:r>
      <w:r>
        <w:t xml:space="preserve">)</w:t>
      </w:r>
      <w:r>
        <w:rPr>
          <w:vertAlign w:val="superscript"/>
        </w:rPr>
        <w:t xml:space="preserve">42,43</w:t>
      </w:r>
      <w:r>
        <w:t xml:space="preserve">.</w:t>
      </w:r>
      <w:r>
        <w:t xml:space="preserve"> </w:t>
      </w:r>
      <w:r>
        <w:t xml:space="preserve">Given the changing environmental context, outdated and inflexible water quotas can no longer meet the demands of sustainable development</w:t>
      </w:r>
      <w:r>
        <w:rPr>
          <w:vertAlign w:val="superscript"/>
        </w:rPr>
        <w:t xml:space="preserve">30</w:t>
      </w:r>
      <w:r>
        <w:t xml:space="preserve">.</w:t>
      </w:r>
      <w:r>
        <w:t xml:space="preserve"> </w:t>
      </w:r>
      <w:r>
        <w:t xml:space="preserve">Thus, the Chinese government has embarked on a plan to redesign its decades-old water allocation institution (see</w:t>
      </w:r>
      <w:r>
        <w:t xml:space="preserve"> </w:t>
      </w:r>
      <w:r>
        <w:t xml:space="preserve">).</w:t>
      </w:r>
      <w:r>
        <w:t xml:space="preserve"> </w:t>
      </w:r>
      <w:r>
        <w:t xml:space="preserve">Our analysis suggests that these initiatives can lead to distortions because of mismatched building blocks when developing new institutions</w:t>
      </w:r>
      <w:r>
        <w:rPr>
          <w:vertAlign w:val="superscript"/>
        </w:rPr>
        <w:t xml:space="preserve">13</w:t>
      </w:r>
      <w:r>
        <w:t xml:space="preserve">.</w:t>
      </w:r>
      <w:r>
        <w:t xml:space="preserve"> </w:t>
      </w:r>
      <w:r>
        <w:t xml:space="preserve">Therefore, our research provides a cautionary tale of how institutions can change perverse incentives</w:t>
      </w:r>
      <w:r>
        <w:rPr>
          <w:vertAlign w:val="superscript"/>
        </w:rPr>
        <w:t xml:space="preserve">40</w:t>
      </w:r>
      <w:r>
        <w:t xml:space="preserve">, while insights from the YRB can provide guidelines for SESs management worldwide</w:t>
      </w:r>
      <w:r>
        <w:rPr>
          <w:vertAlign w:val="superscript"/>
        </w:rPr>
        <w:t xml:space="preserve">44,45</w:t>
      </w:r>
      <w:r>
        <w:t xml:space="preserve">.</w:t>
      </w:r>
    </w:p>
    <w:bookmarkEnd w:id="48"/>
    <w:bookmarkStart w:id="49" w:name="sec:conclusion"/>
    <w:p>
      <w:pPr>
        <w:pStyle w:val="1"/>
      </w:pPr>
      <w:r>
        <w:rPr>
          <w:rStyle w:val="SectionNumber"/>
        </w:rPr>
        <w:t xml:space="preserve">4</w:t>
      </w:r>
      <w:r>
        <w:tab/>
      </w:r>
      <w:r>
        <w:t xml:space="preserve">CONCLUSION</w:t>
      </w:r>
    </w:p>
    <w:p>
      <w:pPr>
        <w:pStyle w:val="FirstParagraph"/>
      </w:pPr>
      <w:r>
        <w:t xml:space="preserve">Intense water use in one of the most anthropogenically altered large river basins, the Yellow River Basin (YRB), once led to drying up.</w:t>
      </w:r>
      <w:r>
        <w:t xml:space="preserve"> </w:t>
      </w:r>
      <w:r>
        <w:t xml:space="preserve">Alterations of institutions eventually successfully restored water governance practices on a decadal time scale.</w:t>
      </w:r>
      <w:r>
        <w:t xml:space="preserve"> </w:t>
      </w:r>
      <w:r>
        <w:t xml:space="preserve">We propose that the institutional shifts in the YRB (87-WAS and 98-UBR) framed two different SES structures and depicted them as widespread building blocks.</w:t>
      </w:r>
      <w:r>
        <w:t xml:space="preserve"> </w:t>
      </w:r>
      <w:r>
        <w:t xml:space="preserve">We quantitatively estimate the net effects of these changes in the YRB and analyze the reasons from SES structural perspectives.</w:t>
      </w:r>
      <w:r>
        <w:t xml:space="preserve"> </w:t>
      </w:r>
      <w:r>
        <w:t xml:space="preserve">Our results show that the historical records, the responses from stakeholders to structural changes, and the theoretical analysis from the marginal benefits analysis all support that fragmented ecological units linked to separate social actors frames a mismatched SES structure.</w:t>
      </w:r>
      <w:r>
        <w:t xml:space="preserve"> </w:t>
      </w:r>
      <w:r>
        <w:t xml:space="preserve">Through the quasi-natural experiments of the YRB, we demonstrate that social-ecological fits can lead to successful SESs management worldwide with better sustainability outcomes.</w:t>
      </w:r>
    </w:p>
    <w:bookmarkEnd w:id="49"/>
    <w:bookmarkStart w:id="58" w:name="sec:methods"/>
    <w:p>
      <w:pPr>
        <w:pStyle w:val="1"/>
      </w:pPr>
      <w:r>
        <w:rPr>
          <w:rStyle w:val="SectionNumber"/>
        </w:rPr>
        <w:t xml:space="preserve">5</w:t>
      </w:r>
      <w:r>
        <w:tab/>
      </w:r>
      <w:r>
        <w:t xml:space="preserve">MATERIALS AND METHODS</w:t>
      </w:r>
    </w:p>
    <w:p>
      <w:pPr>
        <w:pStyle w:val="FirstParagraph"/>
      </w:pPr>
      <w:r>
        <w:t xml:space="preserve">We first abstract the SES structures of water used in the YRB from 1979 to 2008, where two institutional shifts split the period into three pieces.</w:t>
      </w:r>
      <w:r>
        <w:t xml:space="preserve"> </w:t>
      </w:r>
      <w:r>
        <w:t xml:space="preserve">To process the data, we use the Principal Components Analysis (PCA) method to reduce the dimensionality of variables affecting the total water use.</w:t>
      </w:r>
      <w:r>
        <w:t xml:space="preserve"> </w:t>
      </w:r>
      <w:r>
        <w:t xml:space="preserve">We then estimated the net effects of two institutional shifts on total water use, changing trends, and differences of the YRB’s provinces, by Differenced Synthetic Control (DSC) method</w:t>
      </w:r>
      <w:r>
        <w:rPr>
          <w:vertAlign w:val="superscript"/>
        </w:rPr>
        <w:t xml:space="preserve">18</w:t>
      </w:r>
      <w:r>
        <w:t xml:space="preserve">.</w:t>
      </w:r>
      <w:r>
        <w:t xml:space="preserve"> </w:t>
      </w:r>
      <w:r>
        <w:t xml:space="preserve">Finally, for theoretical discussion, we developed a marginal benefit analysis based on identified SES structures to provide the observed pattern of water use changes with a theoretical interpretation.</w:t>
      </w:r>
    </w:p>
    <w:bookmarkStart w:id="51" w:name="sec:yrb"/>
    <w:p>
      <w:pPr>
        <w:pStyle w:val="2"/>
      </w:pPr>
      <w:r>
        <w:rPr>
          <w:rStyle w:val="SectionNumber"/>
        </w:rPr>
        <w:t xml:space="preserve">5.1</w:t>
      </w:r>
      <w:r>
        <w:tab/>
      </w:r>
      <w:r>
        <w:t xml:space="preserve">Study area</w:t>
      </w:r>
    </w:p>
    <w:p>
      <w:pPr>
        <w:pStyle w:val="FirstParagraph"/>
      </w:pPr>
      <w:r>
        <w:t xml:space="preserve">The Yellow River Basin (YRB), the fifth-largest river basin worldwide, is known for its vital role in the socio-economic development of China.</w:t>
      </w:r>
      <w:r>
        <w:t xml:space="preserve"> </w:t>
      </w:r>
      <w:r>
        <w:t xml:space="preserve">It supports</w:t>
      </w:r>
      <w:r>
        <w:t xml:space="preserve"> </w:t>
      </w:r>
      <m:oMath>
        <m:r>
          <m:t>35.63</m:t>
        </m:r>
        <m:r>
          <m:rPr>
            <m:sty m:val="p"/>
          </m:rPr>
          <m:t>%</m:t>
        </m:r>
      </m:oMath>
      <w:r>
        <w:t xml:space="preserve"> </w:t>
      </w:r>
      <w:r>
        <w:t xml:space="preserve">of China’s irrigation and</w:t>
      </w:r>
      <w:r>
        <w:t xml:space="preserve"> </w:t>
      </w:r>
      <m:oMath>
        <m:r>
          <m:t>30</m:t>
        </m:r>
        <m:r>
          <m:rPr>
            <m:sty m:val="p"/>
          </m:rPr>
          <m:t>%</m:t>
        </m:r>
      </m:oMath>
      <w:r>
        <w:t xml:space="preserve"> </w:t>
      </w:r>
      <w:r>
        <w:t xml:space="preserve">of its population while containing only</w:t>
      </w:r>
      <w:r>
        <w:t xml:space="preserve"> </w:t>
      </w:r>
      <m:oMath>
        <m:r>
          <m:t>2.66</m:t>
        </m:r>
        <m:r>
          <m:rPr>
            <m:sty m:val="p"/>
          </m:rPr>
          <m:t>%</m:t>
        </m:r>
      </m:oMath>
      <w:r>
        <w:t xml:space="preserve"> </w:t>
      </w:r>
      <w:r>
        <w:t xml:space="preserve">of its water resources (data from</w:t>
      </w:r>
      <w:r>
        <w:t xml:space="preserve"> </w:t>
      </w:r>
      <w:hyperlink r:id="rId50">
        <w:r>
          <w:rPr>
            <w:rStyle w:val="ae"/>
          </w:rPr>
          <w:t xml:space="preserve">http://www.yrcc.gov.cn</w:t>
        </w:r>
      </w:hyperlink>
      <w:r>
        <w:t xml:space="preserve">, last access: ).</w:t>
      </w:r>
      <w:r>
        <w:t xml:space="preserve"> </w:t>
      </w:r>
      <w:r>
        <w:t xml:space="preserve">In the 1980s, intense water use, accounting for about</w:t>
      </w:r>
      <w:r>
        <w:t xml:space="preserve"> </w:t>
      </w:r>
      <m:oMath>
        <m:r>
          <m:t>80</m:t>
        </m:r>
        <m:r>
          <m:rPr>
            <m:sty m:val="p"/>
          </m:rPr>
          <m:t>%</m:t>
        </m:r>
      </m:oMath>
      <w:r>
        <w:t xml:space="preserve"> </w:t>
      </w:r>
      <w:r>
        <w:t xml:space="preserve">of Yellow River surface runoff, combined with other forms of human interference (e.g., soil conservation and water conservancy projects), caused consecutive drying events and substantial ecological, economic, and social crises (e.g., wetland shrinkage, agriculture reduction, and a scramble for water).</w:t>
      </w:r>
      <w:r>
        <w:t xml:space="preserve"> </w:t>
      </w:r>
      <w:r>
        <w:t xml:space="preserve">In response, Chinese authorities implemented several ambitious water management practices in the YRB to relieve water stress, such as reservoir regulation, the South-to-north Water Diversion Project (WDP), the 1987 Water Allocation Scheme (87-WAS), and the 1998 Unified Basinal Regulation (98-UBR)</w:t>
      </w:r>
      <w:r>
        <w:rPr>
          <w:vertAlign w:val="superscript"/>
        </w:rPr>
        <w:t xml:space="preserve">7,46</w:t>
      </w:r>
      <w:r>
        <w:t xml:space="preserve">.</w:t>
      </w:r>
      <w:r>
        <w:t xml:space="preserve"> </w:t>
      </w:r>
      <w:r>
        <w:t xml:space="preserve">Those efforts led to ecological restoration of wetlands and the estuarine delta. Drying up has been avoided for over 20 years, which is widely considered a substantial management achievement.</w:t>
      </w:r>
      <w:r>
        <w:t xml:space="preserve"> </w:t>
      </w:r>
      <w:r>
        <w:t xml:space="preserve">Instead of relying on engineering to increase water supply, institutional strategies like the 87-WAS (which assigned water quotas for provinces in the YRB) and the 98-UBR (under which provinces had to obtain permits from the Yellow River Conservancy Commission, YRCC, authority at a basin-level) focused mainly on limiting demand for water</w:t>
      </w:r>
      <w:r>
        <w:rPr>
          <w:vertAlign w:val="superscript"/>
        </w:rPr>
        <w:t xml:space="preserve">29,47</w:t>
      </w:r>
      <w:r>
        <w:t xml:space="preserve">.</w:t>
      </w:r>
      <w:r>
        <w:t xml:space="preserve"> </w:t>
      </w:r>
      <w:r>
        <w:t xml:space="preserve">While researchers have carefully evaluated and quantified the effects of engineering solutions on water supply</w:t>
      </w:r>
      <w:r>
        <w:rPr>
          <w:vertAlign w:val="superscript"/>
        </w:rPr>
        <w:t xml:space="preserve">46</w:t>
      </w:r>
      <w:r>
        <w:t xml:space="preserve">, there have been few attempts to assess institutional contributions to successful water governance in the YRB.</w:t>
      </w:r>
    </w:p>
    <w:bookmarkEnd w:id="51"/>
    <w:bookmarkStart w:id="52" w:name="sec:structures"/>
    <w:p>
      <w:pPr>
        <w:pStyle w:val="2"/>
      </w:pPr>
      <w:r>
        <w:rPr>
          <w:rStyle w:val="SectionNumber"/>
        </w:rPr>
        <w:t xml:space="preserve">5.2</w:t>
      </w:r>
      <w:r>
        <w:tab/>
      </w:r>
      <w:r>
        <w:t xml:space="preserve">Portraying structures</w:t>
      </w:r>
    </w:p>
    <w:p>
      <w:pPr>
        <w:pStyle w:val="FirstParagraph"/>
      </w:pPr>
      <w:r>
        <w:t xml:space="preserve">Widespread building blocks in SES are the key to the functioning of structures, and a network-based description is a widely used way to depict them by abstracting links and nodes</w:t>
      </w:r>
      <w:r>
        <w:rPr>
          <w:vertAlign w:val="superscript"/>
        </w:rPr>
        <w:t xml:space="preserve">14,35,48</w:t>
      </w:r>
      <w:r>
        <w:t xml:space="preserve">.</w:t>
      </w:r>
      <w:r>
        <w:t xml:space="preserve"> </w:t>
      </w:r>
      <w:r>
        <w:t xml:space="preserve">We apply the network approach</w:t>
      </w:r>
      <w:r>
        <w:rPr>
          <w:vertAlign w:val="superscript"/>
        </w:rPr>
        <w:t xml:space="preserve">13</w:t>
      </w:r>
      <w:r>
        <w:t xml:space="preserve"> </w:t>
      </w:r>
      <w:r>
        <w:t xml:space="preserve">to portray SES structures by abstracting relationships between ecological units (river reaches), stakeholders (provinces), and the administrative unit (the YRCC) into general building blocks (or motifs) (see Figure </w:t>
      </w:r>
      <w:hyperlink w:anchor="framework">
        <w:r>
          <w:rPr>
            <w:rStyle w:val="ae"/>
          </w:rPr>
          <w:t xml:space="preserve">[framework]</w:t>
        </w:r>
      </w:hyperlink>
      <w:r>
        <w:t xml:space="preserve">), from the official documents.</w:t>
      </w:r>
      <w:r>
        <w:t xml:space="preserve"> </w:t>
      </w:r>
      <w:r>
        <w:t xml:space="preserve">Empirical studies have suggested that such widespread building blocks in SES are the key to the functioning of structures. The network-based approach is to abstract connections between entities into links and nodes</w:t>
      </w:r>
      <w:r>
        <w:rPr>
          <w:vertAlign w:val="superscript"/>
        </w:rPr>
        <w:t xml:space="preserve">14,35,48</w:t>
      </w:r>
      <w:r>
        <w:t xml:space="preserve">.</w:t>
      </w:r>
      <w:r>
        <w:t xml:space="preserve"> </w:t>
      </w:r>
      <w:r>
        <w:t xml:space="preserve">In this study, we examined the official documents of the two institutional shifts of concern (87-WAS and 98-UBR, see</w:t>
      </w:r>
      <w:r>
        <w:t xml:space="preserve"> </w:t>
      </w:r>
      <w:r>
        <w:rPr>
          <w:iCs/>
          <w:i/>
        </w:rPr>
        <w:t xml:space="preserve">Appendix</w:t>
      </w:r>
      <w:r>
        <w:t xml:space="preserve"> </w:t>
      </w:r>
      <w:r>
        <w:t xml:space="preserve">for details).</w:t>
      </w:r>
      <w:r>
        <w:t xml:space="preserve"> </w:t>
      </w:r>
      <w:r>
        <w:t xml:space="preserve">Besides the ecologically connected river reaches, the agents (provinces and the YRCC) are abstracted as nodes, and their required interactions regarding water use are summarized as links.</w:t>
      </w:r>
      <w:r>
        <w:t xml:space="preserve"> </w:t>
      </w:r>
      <w:r>
        <w:t xml:space="preserve">The 1987-WAS requires the YRCC to monitor each river’s reach, while the 1998-UBR requires direct interactions (through water use licenses) between the YRCC and the provinces.</w:t>
      </w:r>
      <w:r>
        <w:t xml:space="preserve"> </w:t>
      </w:r>
      <w:r>
        <w:t xml:space="preserve">Therefore, we linked the YRCC unit to each ecological unit after 87-WAS and each province unit after the 98-UBR.</w:t>
      </w:r>
      <w:r>
        <w:t xml:space="preserve"> </w:t>
      </w:r>
      <w:r>
        <w:t xml:space="preserve">We tested whether focusing on SES structures rather than institutional details could reasonably explain the differences caused by institutional shifts in the YRB.</w:t>
      </w:r>
    </w:p>
    <w:bookmarkEnd w:id="52"/>
    <w:bookmarkStart w:id="53" w:name="sec:dataset"/>
    <w:p>
      <w:pPr>
        <w:pStyle w:val="2"/>
      </w:pPr>
      <w:r>
        <w:rPr>
          <w:rStyle w:val="SectionNumber"/>
        </w:rPr>
        <w:t xml:space="preserve">5.3</w:t>
      </w:r>
      <w:r>
        <w:tab/>
      </w:r>
      <w:r>
        <w:t xml:space="preserve">Dataset and preprocessing</w:t>
      </w:r>
    </w:p>
    <w:p>
      <w:pPr>
        <w:pStyle w:val="FirstParagraph"/>
      </w:pPr>
      <w:r>
        <w:t xml:space="preserve">We choose datasets and variables to compare on actual and estimated water use of the YRB.</w:t>
      </w:r>
      <w:r>
        <w:t xml:space="preserve"> </w:t>
      </w:r>
      <w:r>
        <w:t xml:space="preserve">The actual water uses are accessible in China’s provincial annual water consumption dataset from the National Water Resources Utilization Survey, whose details are accessible from Zhou (2020)</w:t>
      </w:r>
      <w:r>
        <w:rPr>
          <w:vertAlign w:val="superscript"/>
        </w:rPr>
        <w:t xml:space="preserve">49</w:t>
      </w:r>
      <w:r>
        <w:t xml:space="preserve">.</w:t>
      </w:r>
      <w:r>
        <w:t xml:space="preserve"> </w:t>
      </w:r>
      <w:r>
        <w:t xml:space="preserve">To estimate the water use of the YRB by assuming there were no effects from institutional shifts, we focused on variables from five categories (environmental, economic, domestic, and technological) water use factors. Their specific items and origins are listed in Table </w:t>
      </w:r>
      <w:hyperlink w:anchor="tab:variables">
        <w:r>
          <w:rPr>
            <w:rStyle w:val="ae"/>
          </w:rPr>
          <w:t xml:space="preserve">[tab:variables]</w:t>
        </w:r>
      </w:hyperlink>
      <w:r>
        <w:t xml:space="preserve">.</w:t>
      </w:r>
    </w:p>
    <w:p>
      <w:pPr>
        <w:pStyle w:val="a0"/>
      </w:pPr>
      <w:r>
        <w:t xml:space="preserve">Among the total</w:t>
      </w:r>
      <w:r>
        <w:t xml:space="preserve"> </w:t>
      </w:r>
      <m:oMath>
        <m:r>
          <m:t>31</m:t>
        </m:r>
      </m:oMath>
      <w:r>
        <w:t xml:space="preserve"> </w:t>
      </w:r>
      <w:r>
        <w:t xml:space="preserve">data-accessible provinces (or regions) assigned quotas in the 87-WAS and the 98-UBR, we dropped Sichuan, Tianjin, and Beijing because of their trivial water use from the YRB (see</w:t>
      </w:r>
      <w:r>
        <w:t xml:space="preserve"> </w:t>
      </w:r>
      <w:r>
        <w:rPr>
          <w:iCs/>
          <w:i/>
        </w:rPr>
        <w:t xml:space="preserve">Appendix</w:t>
      </w:r>
      <w:r>
        <w:t xml:space="preserve"> Table </w:t>
      </w:r>
      <w:hyperlink w:anchor="tab:quota">
        <w:r>
          <w:rPr>
            <w:rStyle w:val="ae"/>
          </w:rPr>
          <w:t xml:space="preserve">[tab:quota]</w:t>
        </w:r>
      </w:hyperlink>
      <w:r>
        <w:t xml:space="preserve">). We then divided the dataset into a</w:t>
      </w:r>
      <w:r>
        <w:t xml:space="preserve"> </w:t>
      </w:r>
      <w:r>
        <w:t xml:space="preserve">“</w:t>
      </w:r>
      <w:r>
        <w:t xml:space="preserve">target group</w:t>
      </w:r>
      <w:r>
        <w:t xml:space="preserve">”</w:t>
      </w:r>
      <w:r>
        <w:t xml:space="preserve"> </w:t>
      </w:r>
      <w:r>
        <w:t xml:space="preserve">and a</w:t>
      </w:r>
      <w:r>
        <w:t xml:space="preserve"> </w:t>
      </w:r>
      <w:r>
        <w:t xml:space="preserve">“</w:t>
      </w:r>
      <w:r>
        <w:t xml:space="preserve">control group</w:t>
      </w:r>
      <w:r>
        <w:t xml:space="preserve">”</w:t>
      </w:r>
      <w:r>
        <w:t xml:space="preserve">, treating provinces involved in water quota as the target group</w:t>
      </w:r>
      <w:r>
        <w:t xml:space="preserve"> </w:t>
      </w:r>
      <m:oMath>
        <m:d>
          <m:dPr>
            <m:begChr m:val="("/>
            <m:endChr m:val=")"/>
            <m:sepChr m:val=""/>
            <m:grow/>
          </m:dPr>
          <m:e>
            <m:r>
              <m:t>n</m:t>
            </m:r>
            <m:r>
              <m:rPr>
                <m:sty m:val="p"/>
              </m:rPr>
              <m:t>=</m:t>
            </m:r>
            <m:r>
              <m:t>8</m:t>
            </m:r>
          </m:e>
        </m:d>
      </m:oMath>
      <w:r>
        <w:t xml:space="preserve"> </w:t>
      </w:r>
      <w:r>
        <w:t xml:space="preserve">and other provinces as the control group</w:t>
      </w:r>
      <w:r>
        <w:t xml:space="preserve"> </w:t>
      </w:r>
      <m:oMath>
        <m:d>
          <m:dPr>
            <m:begChr m:val="("/>
            <m:endChr m:val=")"/>
            <m:sepChr m:val=""/>
            <m:grow/>
          </m:dPr>
          <m:e>
            <m:r>
              <m:t>n</m:t>
            </m:r>
            <m:r>
              <m:rPr>
                <m:sty m:val="p"/>
              </m:rPr>
              <m:t>=</m:t>
            </m:r>
            <m:r>
              <m:t>20</m:t>
            </m:r>
          </m:e>
        </m:d>
      </m:oMath>
      <w:r>
        <w:t xml:space="preserve"> </w:t>
      </w:r>
      <w:r>
        <w:t xml:space="preserve">for applying the DSC.</w:t>
      </w:r>
    </w:p>
    <w:p>
      <w:pPr>
        <w:pStyle w:val="a0"/>
      </w:pPr>
      <w:r>
        <w:t xml:space="preserve">Using the normalized data of all variables, we performed the PCA reduction to capture</w:t>
      </w:r>
      <w:r>
        <w:t xml:space="preserve"> </w:t>
      </w:r>
      <m:oMath>
        <m:r>
          <m:t>89.63</m:t>
        </m:r>
        <m:r>
          <m:rPr>
            <m:sty m:val="p"/>
          </m:rPr>
          <m:t>%</m:t>
        </m:r>
      </m:oMath>
      <w:r>
        <w:t xml:space="preserve"> </w:t>
      </w:r>
      <w:r>
        <w:t xml:space="preserve">explained variance by</w:t>
      </w:r>
      <w:r>
        <w:t xml:space="preserve"> </w:t>
      </w:r>
      <m:oMath>
        <m:r>
          <m:t>5</m:t>
        </m:r>
      </m:oMath>
      <w:r>
        <w:t xml:space="preserve"> </w:t>
      </w:r>
      <w:r>
        <w:t xml:space="preserve">principal components</w:t>
      </w:r>
      <w:r>
        <w:t xml:space="preserve"> </w:t>
      </w:r>
      <w:r>
        <w:rPr>
          <w:iCs/>
          <w:i/>
        </w:rPr>
        <w:t xml:space="preserve">Appendix </w:t>
      </w:r>
      <w:r>
        <w:t xml:space="preserve">. Bayan had proved that combining PCA and DSC can raise the robustness of causal inference</w:t>
      </w:r>
      <w:r>
        <w:rPr>
          <w:vertAlign w:val="superscript"/>
        </w:rPr>
        <w:t xml:space="preserve">50</w:t>
      </w:r>
      <w:r>
        <w:t xml:space="preserve">. We first applied the Zero-Mean normalization (unit variance), as the variables’ units are far different. Then, we apply PCA to the multi-year average of each province, using the Elbow method to decide the number of the principal components (</w:t>
      </w:r>
      <w:r>
        <w:rPr>
          <w:iCs/>
          <w:i/>
        </w:rPr>
        <w:t xml:space="preserve">Appendix  Figure </w:t>
      </w:r>
      <w:hyperlink w:anchor="fig:elbow">
        <w:r>
          <w:rPr>
            <w:rStyle w:val="ae"/>
            <w:iCs/>
            <w:i/>
          </w:rPr>
          <w:t xml:space="preserve">[fig:elbow]</w:t>
        </w:r>
      </w:hyperlink>
      <w:r>
        <w:t xml:space="preserve">). Finally, we transform the dataset and input the dimensions-reduced output into the DSC model.</w:t>
      </w:r>
    </w:p>
    <w:bookmarkEnd w:id="53"/>
    <w:bookmarkStart w:id="54" w:name="sec:DSC"/>
    <w:p>
      <w:pPr>
        <w:pStyle w:val="2"/>
      </w:pPr>
      <w:r>
        <w:rPr>
          <w:rStyle w:val="SectionNumber"/>
        </w:rPr>
        <w:t xml:space="preserve">5.4</w:t>
      </w:r>
      <w:r>
        <w:tab/>
      </w:r>
      <w:r>
        <w:t xml:space="preserve">Differenced Synthetic Control</w:t>
      </w:r>
    </w:p>
    <w:p>
      <w:pPr>
        <w:pStyle w:val="FirstParagraph"/>
      </w:pPr>
      <w:r>
        <w:t xml:space="preserve">Using the Differenced Synthetic Control (DSC) method, we estimate water use without the effect of the institutional shift.</w:t>
      </w:r>
      <w:r>
        <w:t xml:space="preserve"> </w:t>
      </w:r>
      <w:r>
        <w:t xml:space="preserve">The DSC method is an effective identification strategy for estimating the net effect of historical events or policy interventions on aggregate units (such as cities, regions, and countries) by constructing a comparable control unit</w:t>
      </w:r>
      <w:r>
        <w:rPr>
          <w:vertAlign w:val="superscript"/>
        </w:rPr>
        <w:t xml:space="preserve">20,21,51</w:t>
      </w:r>
      <w:r>
        <w:t xml:space="preserve">.</w:t>
      </w:r>
    </w:p>
    <w:p>
      <w:pPr>
        <w:pStyle w:val="a0"/>
      </w:pPr>
      <w:r>
        <w:t xml:space="preserve">This method aims to evaluate the effects of policy change that are not random across units but focuses on some of them (i.e., institutional shifts in the YRB here).</w:t>
      </w:r>
      <w:r>
        <w:t xml:space="preserve"> </w:t>
      </w:r>
      <w:r>
        <w:t xml:space="preserve">By re-weighting units to match the pre-trend for the treated and control units, the DSC method imputes post-treatment control outcomes for the treated unit(s) by constructing a synthetic version of the treated unit(s) equal to a convex combination of control units.</w:t>
      </w:r>
      <w:r>
        <w:t xml:space="preserve"> </w:t>
      </w:r>
      <w:r>
        <w:t xml:space="preserve">Therefore, the synthetic and actual version difference can be estimated as a net effect for a treated unit.</w:t>
      </w:r>
    </w:p>
    <w:p>
      <w:pPr>
        <w:pStyle w:val="a0"/>
      </w:pPr>
      <w:r>
        <w:t xml:space="preserve">In practice, all treated units (i.e., provinces) were affected by institutional shifts in 1987 and 1998, each taken as the</w:t>
      </w:r>
      <w:r>
        <w:t xml:space="preserve"> </w:t>
      </w:r>
      <w:r>
        <w:t xml:space="preserve">“</w:t>
      </w:r>
      <w:r>
        <w:t xml:space="preserve">shifted</w:t>
      </w:r>
      <w:r>
        <w:t xml:space="preserve">”</w:t>
      </w:r>
      <w:r>
        <w:t xml:space="preserve"> </w:t>
      </w:r>
      <w:r>
        <w:t xml:space="preserve">time</w:t>
      </w:r>
      <w:r>
        <w:t xml:space="preserve"> </w:t>
      </w:r>
      <m:oMath>
        <m:sSub>
          <m:e>
            <m:r>
              <m:t>t</m:t>
            </m:r>
          </m:e>
          <m:sub>
            <m:r>
              <m:t>0</m:t>
            </m:r>
          </m:sub>
        </m:sSub>
      </m:oMath>
      <w:r>
        <w:t xml:space="preserve"> </w:t>
      </w:r>
      <w:r>
        <w:t xml:space="preserve">within two individually analyzed periods</w:t>
      </w:r>
      <w:r>
        <w:t xml:space="preserve"> </w:t>
      </w:r>
      <m:oMath>
        <m:r>
          <m:t>T</m:t>
        </m:r>
      </m:oMath>
      <w:r>
        <w:t xml:space="preserve">: 1979-1998; 1987-2008.</w:t>
      </w:r>
      <w:r>
        <w:t xml:space="preserve"> </w:t>
      </w:r>
      <w:r>
        <w:t xml:space="preserve">We include each province in the YRB (</w:t>
      </w:r>
      <m:oMath>
        <m:r>
          <m:t>n</m:t>
        </m:r>
        <m:r>
          <m:rPr>
            <m:sty m:val="p"/>
          </m:rPr>
          <m:t>=</m:t>
        </m:r>
        <m:r>
          <m:t>8</m:t>
        </m:r>
      </m:oMath>
      <w:r>
        <w:t xml:space="preserve">, see</w:t>
      </w:r>
      <w:r>
        <w:t xml:space="preserve"> </w:t>
      </w:r>
      <w:r>
        <w:t xml:space="preserve">) as the treated unit separately, as multiple treated units approach had been widely applied</w:t>
      </w:r>
      <w:r>
        <w:rPr>
          <w:vertAlign w:val="superscript"/>
        </w:rPr>
        <w:t xml:space="preserve">52</w:t>
      </w:r>
      <w:r>
        <w:t xml:space="preserve">.</w:t>
      </w:r>
      <w:r>
        <w:t xml:space="preserve"> </w:t>
      </w:r>
      <w:r>
        <w:t xml:space="preserve">Then, we consider the</w:t>
      </w:r>
      <w:r>
        <w:t xml:space="preserve"> </w:t>
      </w:r>
      <m:oMath>
        <m:r>
          <m:t>J</m:t>
        </m:r>
        <m:r>
          <m:rPr>
            <m:sty m:val="p"/>
          </m:rPr>
          <m:t>+</m:t>
        </m:r>
        <m:r>
          <m:t>1</m:t>
        </m:r>
      </m:oMath>
      <w:r>
        <w:t xml:space="preserve"> </w:t>
      </w:r>
      <w:r>
        <w:t xml:space="preserve">units observed in time periods</w:t>
      </w:r>
      <w:r>
        <w:t xml:space="preserve"> </w:t>
      </w:r>
      <m:oMath>
        <m:r>
          <m:t>T</m:t>
        </m:r>
        <m:r>
          <m:rPr>
            <m:sty m:val="p"/>
          </m:rPr>
          <m:t>=</m:t>
        </m:r>
        <m:r>
          <m:t>1</m:t>
        </m:r>
        <m:r>
          <m:rPr>
            <m:sty m:val="p"/>
          </m:rPr>
          <m:t>,</m:t>
        </m:r>
        <m:r>
          <m:t>2</m:t>
        </m:r>
        <m:r>
          <m:rPr>
            <m:sty m:val="p"/>
          </m:rPr>
          <m:t>⋯</m:t>
        </m:r>
        <m:r>
          <m:rPr>
            <m:sty m:val="p"/>
          </m:rPr>
          <m:t>,</m:t>
        </m:r>
        <m:r>
          <m:t>T</m:t>
        </m:r>
      </m:oMath>
      <w:r>
        <w:t xml:space="preserve"> </w:t>
      </w:r>
      <w:r>
        <w:t xml:space="preserve">with the remaining</w:t>
      </w:r>
      <w:r>
        <w:t xml:space="preserve"> </w:t>
      </w:r>
      <m:oMath>
        <m:r>
          <m:t>J</m:t>
        </m:r>
        <m:r>
          <m:rPr>
            <m:sty m:val="p"/>
          </m:rPr>
          <m:t>=</m:t>
        </m:r>
        <m:r>
          <m:t>20</m:t>
        </m:r>
      </m:oMath>
      <w:r>
        <w:t xml:space="preserve"> </w:t>
      </w:r>
      <w:r>
        <w:t xml:space="preserve">units are untreated provinces from outside.</w:t>
      </w:r>
      <w:r>
        <w:t xml:space="preserve"> </w:t>
      </w:r>
      <w:r>
        <w:t xml:space="preserve">We define</w:t>
      </w:r>
      <w:r>
        <w:t xml:space="preserve"> </w:t>
      </w:r>
      <m:oMath>
        <m:sSub>
          <m:e>
            <m:r>
              <m:t>T</m:t>
            </m:r>
          </m:e>
          <m:sub>
            <m:r>
              <m:t>0</m:t>
            </m:r>
          </m:sub>
        </m:sSub>
      </m:oMath>
      <w:r>
        <w:t xml:space="preserve"> </w:t>
      </w:r>
      <w:r>
        <w:t xml:space="preserve">to represent the number of pre-treatment periods (</w:t>
      </w:r>
      <m:oMath>
        <m:r>
          <m:t>1</m:t>
        </m:r>
        <m:r>
          <m:rPr>
            <m:sty m:val="p"/>
          </m:rPr>
          <m:t>,</m:t>
        </m:r>
        <m:r>
          <m:rPr>
            <m:sty m:val="p"/>
          </m:rPr>
          <m:t>⋯</m:t>
        </m:r>
        <m:r>
          <m:rPr>
            <m:sty m:val="p"/>
          </m:rPr>
          <m:t>,</m:t>
        </m:r>
        <m:sSub>
          <m:e>
            <m:r>
              <m:t>t</m:t>
            </m:r>
          </m:e>
          <m:sub>
            <m:r>
              <m:t>0</m:t>
            </m:r>
          </m:sub>
        </m:sSub>
      </m:oMath>
      <w:r>
        <w:t xml:space="preserve">) and</w:t>
      </w:r>
      <w:r>
        <w:t xml:space="preserve"> </w:t>
      </w:r>
      <m:oMath>
        <m:sSub>
          <m:e>
            <m:r>
              <m:t>T</m:t>
            </m:r>
          </m:e>
          <m:sub>
            <m:r>
              <m:t>1</m:t>
            </m:r>
          </m:sub>
        </m:sSub>
      </m:oMath>
      <w:r>
        <w:t xml:space="preserve"> </w:t>
      </w:r>
      <w:r>
        <w:t xml:space="preserve">the number post-treatment periods (</w:t>
      </w:r>
      <m:oMath>
        <m:sSub>
          <m:e>
            <m:r>
              <m:t>t</m:t>
            </m:r>
          </m:e>
          <m:sub>
            <m:r>
              <m:t>0</m:t>
            </m:r>
          </m:sub>
        </m:sSub>
        <m:r>
          <m:rPr>
            <m:sty m:val="p"/>
          </m:rPr>
          <m:t>,</m:t>
        </m:r>
        <m:r>
          <m:rPr>
            <m:sty m:val="p"/>
          </m:rPr>
          <m:t>⋯</m:t>
        </m:r>
        <m:r>
          <m:rPr>
            <m:sty m:val="p"/>
          </m:rPr>
          <m:t>,</m:t>
        </m:r>
        <m:r>
          <m:t>T</m:t>
        </m:r>
      </m:oMath>
      <w:r>
        <w:t xml:space="preserve">), such that</w:t>
      </w:r>
      <w:r>
        <w:t xml:space="preserve"> </w:t>
      </w:r>
      <m:oMath>
        <m:r>
          <m:t>T</m:t>
        </m:r>
        <m:r>
          <m:rPr>
            <m:sty m:val="p"/>
          </m:rPr>
          <m:t>=</m:t>
        </m:r>
        <m:sSub>
          <m:e>
            <m:r>
              <m:t>T</m:t>
            </m:r>
          </m:e>
          <m:sub>
            <m:r>
              <m:t>0</m:t>
            </m:r>
          </m:sub>
        </m:sSub>
        <m:r>
          <m:rPr>
            <m:sty m:val="p"/>
          </m:rPr>
          <m:t>+</m:t>
        </m:r>
        <m:sSub>
          <m:e>
            <m:r>
              <m:t>T</m:t>
            </m:r>
          </m:e>
          <m:sub>
            <m:r>
              <m:t>1</m:t>
            </m:r>
          </m:sub>
        </m:sSub>
      </m:oMath>
      <w:r>
        <w:t xml:space="preserve">.</w:t>
      </w:r>
      <w:r>
        <w:t xml:space="preserve"> </w:t>
      </w:r>
      <w:r>
        <w:t xml:space="preserve">The treated unit is exposed to the institutional shift in every post-treatment period</w:t>
      </w:r>
      <w:r>
        <w:t xml:space="preserve"> </w:t>
      </w:r>
      <m:oMath>
        <m:sSub>
          <m:e>
            <m:r>
              <m:t>T</m:t>
            </m:r>
          </m:e>
          <m:sub>
            <m:r>
              <m:t>0</m:t>
            </m:r>
          </m:sub>
        </m:sSub>
      </m:oMath>
      <w:r>
        <w:t xml:space="preserve">, unaffected by the institutional shift in all preceding periods</w:t>
      </w:r>
      <w:r>
        <w:t xml:space="preserve"> </w:t>
      </w:r>
      <m:oMath>
        <m:sSub>
          <m:e>
            <m:r>
              <m:t>T</m:t>
            </m:r>
          </m:e>
          <m:sub>
            <m:r>
              <m:t>1</m:t>
            </m:r>
          </m:sub>
        </m:sSub>
      </m:oMath>
      <w:r>
        <w:t xml:space="preserve">.</w:t>
      </w:r>
      <w:r>
        <w:t xml:space="preserve"> </w:t>
      </w:r>
      <w:r>
        <w:t xml:space="preserve">Then, any weighted average of the control units is a synthetic control and can be represented by a (</w:t>
      </w:r>
      <m:oMath>
        <m:r>
          <m:t>J</m:t>
        </m:r>
        <m:r>
          <m:rPr>
            <m:sty m:val="p"/>
          </m:rPr>
          <m:t>*</m:t>
        </m:r>
        <m:r>
          <m:t>1</m:t>
        </m:r>
      </m:oMath>
      <w:r>
        <w:t xml:space="preserve">) vector of weights</w:t>
      </w:r>
      <w:r>
        <w:t xml:space="preserve"> </w:t>
      </w:r>
      <m:oMath>
        <m:r>
          <m:rPr>
            <m:sty m:val="b"/>
          </m:rPr>
          <m:t>W</m:t>
        </m:r>
        <m:r>
          <m:rPr>
            <m:sty m:val="p"/>
          </m:rPr>
          <m:t>=</m:t>
        </m:r>
        <m:d>
          <m:dPr>
            <m:begChr m:val="("/>
            <m:endChr m:val=")"/>
            <m:sepChr m:val=""/>
            <m:grow/>
          </m:dPr>
          <m:e>
            <m:sSub>
              <m:e>
                <m:r>
                  <m:t>w</m:t>
                </m:r>
              </m:e>
              <m:sub>
                <m:r>
                  <m:t>1</m:t>
                </m:r>
              </m:sub>
            </m:sSub>
            <m:r>
              <m:rPr>
                <m:sty m:val="p"/>
              </m:rPr>
              <m:t>,</m:t>
            </m:r>
            <m:r>
              <m:rPr>
                <m:sty m:val="p"/>
              </m:rPr>
              <m:t>.</m:t>
            </m:r>
            <m:r>
              <m:rPr>
                <m:sty m:val="p"/>
              </m:rPr>
              <m:t>.</m:t>
            </m:r>
            <m:r>
              <m:rPr>
                <m:sty m:val="p"/>
              </m:rPr>
              <m:t>.</m:t>
            </m:r>
            <m:r>
              <m:rPr>
                <m:sty m:val="p"/>
              </m:rPr>
              <m:t>,</m:t>
            </m:r>
            <m:sSub>
              <m:e>
                <m:r>
                  <m:t>w</m:t>
                </m:r>
              </m:e>
              <m:sub>
                <m:r>
                  <m:t>J</m:t>
                </m:r>
              </m:sub>
            </m:sSub>
          </m:e>
        </m:d>
      </m:oMath>
      <w:r>
        <w:t xml:space="preserve">, with</w:t>
      </w:r>
      <w:r>
        <w:t xml:space="preserve"> </w:t>
      </w:r>
      <m:oMath>
        <m:sSub>
          <m:e>
            <m:r>
              <m:t>w</m:t>
            </m:r>
          </m:e>
          <m:sub>
            <m:r>
              <m:t>j</m:t>
            </m:r>
          </m:sub>
        </m:sSub>
        <m:r>
          <m:rPr>
            <m:sty m:val="p"/>
          </m:rPr>
          <m:t>∈</m:t>
        </m:r>
        <m:d>
          <m:dPr>
            <m:begChr m:val="("/>
            <m:endChr m:val=")"/>
            <m:sepChr m:val=""/>
            <m:grow/>
          </m:dPr>
          <m:e>
            <m:r>
              <m:t>0</m:t>
            </m:r>
            <m:r>
              <m:rPr>
                <m:sty m:val="p"/>
              </m:rPr>
              <m:t>,</m:t>
            </m:r>
            <m:r>
              <m:t>1</m:t>
            </m:r>
          </m:e>
        </m:d>
      </m:oMath>
      <w:r>
        <w:t xml:space="preserve">.</w:t>
      </w:r>
      <w:r>
        <w:t xml:space="preserve"> </w:t>
      </w:r>
      <w:r>
        <w:t xml:space="preserve">Among them, by introduce a (</w:t>
      </w:r>
      <m:oMath>
        <m:r>
          <m:t>k</m:t>
        </m:r>
        <m:r>
          <m:rPr>
            <m:sty m:val="p"/>
          </m:rPr>
          <m:t>*</m:t>
        </m:r>
        <m:r>
          <m:t>k</m:t>
        </m:r>
      </m:oMath>
      <w:r>
        <w:t xml:space="preserve">) diagonal, semidefinite matrix</w:t>
      </w:r>
      <w:r>
        <w:t xml:space="preserve"> </w:t>
      </w:r>
      <m:oMath>
        <m:r>
          <m:rPr>
            <m:sty m:val="b"/>
          </m:rPr>
          <m:t>V</m:t>
        </m:r>
      </m:oMath>
      <w:r>
        <w:t xml:space="preserve"> </w:t>
      </w:r>
      <w:r>
        <w:t xml:space="preserve">that signifies the relative importance of each covariate, the DSC method procedure for finding the optimal synthetic control (</w:t>
      </w:r>
      <m:oMath>
        <m:r>
          <m:t>W</m:t>
        </m:r>
      </m:oMath>
      <w:r>
        <w:t xml:space="preserve">) is expressed as follows:</w:t>
      </w:r>
    </w:p>
    <w:tbl>
      <w:tblPr>
        <w:tblStyle w:val="Table"/>
        <w:tblW w:type="pct" w:w="4950"/>
        <w:tblLook w:firstRow="0" w:lastRow="0" w:firstColumn="0" w:lastColumn="0" w:noHBand="0" w:noVBand="0" w:val="0000"/>
      </w:tblPr>
      <w:tblGrid>
        <w:gridCol w:w="7128"/>
        <w:gridCol w:w="712"/>
      </w:tblGrid>
      <w:tr>
        <w:tc>
          <w:tcPr/>
          <w:p>
            <w:pPr>
              <w:pStyle w:val="Compact"/>
              <w:jc w:val="center"/>
            </w:pPr>
            <m:oMathPara>
              <m:oMathParaPr>
                <m:jc m:val="center"/>
              </m:oMathParaPr>
              <m:oMath>
                <m:sSup>
                  <m:e>
                    <m:r>
                      <m:rPr>
                        <m:sty m:val="b"/>
                      </m:rPr>
                      <m:t>W</m:t>
                    </m:r>
                  </m:e>
                  <m:sup>
                    <m:r>
                      <m:rPr>
                        <m:sty m:val="b"/>
                      </m:rPr>
                      <m:t>*</m:t>
                    </m:r>
                  </m:sup>
                </m:sSup>
                <m:d>
                  <m:dPr>
                    <m:begChr m:val="("/>
                    <m:endChr m:val=")"/>
                    <m:sepChr m:val=""/>
                    <m:grow/>
                  </m:dPr>
                  <m:e>
                    <m:r>
                      <m:rPr>
                        <m:sty m:val="b"/>
                      </m:rPr>
                      <m:t>V</m:t>
                    </m:r>
                  </m:e>
                </m:d>
                <m:r>
                  <m:rPr>
                    <m:sty m:val="p"/>
                  </m:rPr>
                  <m:t>=</m:t>
                </m:r>
                <m:limLow>
                  <m:e>
                    <m:r>
                      <m:rPr>
                        <m:sty m:val="p"/>
                      </m:rPr>
                      <m:t>minimize</m:t>
                    </m:r>
                  </m:e>
                  <m:lim>
                    <m:r>
                      <m:rPr>
                        <m:sty m:val="b"/>
                      </m:rPr>
                      <m:t>W</m:t>
                    </m:r>
                    <m:r>
                      <m:rPr>
                        <m:sty m:val="p"/>
                      </m:rPr>
                      <m:t>∈</m:t>
                    </m:r>
                    <m:r>
                      <m:rPr>
                        <m:sty m:val="p"/>
                        <m:scr m:val="script"/>
                      </m:rPr>
                      <m:t>W</m:t>
                    </m:r>
                  </m:lim>
                </m:limLow>
                <m:sSup>
                  <m:e>
                    <m:d>
                      <m:dPr>
                        <m:begChr m:val="("/>
                        <m:endChr m:val=")"/>
                        <m:sepChr m:val=""/>
                        <m:grow/>
                      </m:dPr>
                      <m:e>
                        <m:sSub>
                          <m:e>
                            <m:r>
                              <m:rPr>
                                <m:sty m:val="b"/>
                              </m:rPr>
                              <m:t>X</m:t>
                            </m:r>
                          </m:e>
                          <m:sub>
                            <m:r>
                              <m:rPr>
                                <m:sty m:val="b"/>
                              </m:rPr>
                              <m:t>1</m:t>
                            </m:r>
                          </m:sub>
                        </m:sSub>
                        <m:r>
                          <m:rPr>
                            <m:sty m:val="p"/>
                          </m:rPr>
                          <m:t>−</m:t>
                        </m:r>
                        <m:sSub>
                          <m:e>
                            <m:r>
                              <m:rPr>
                                <m:sty m:val="b"/>
                              </m:rPr>
                              <m:t>X</m:t>
                            </m:r>
                          </m:e>
                          <m:sub>
                            <m:r>
                              <m:rPr>
                                <m:sty m:val="b"/>
                              </m:rPr>
                              <m:t>0</m:t>
                            </m:r>
                          </m:sub>
                        </m:sSub>
                        <m:r>
                          <m:rPr>
                            <m:sty m:val="b"/>
                          </m:rPr>
                          <m:t>W</m:t>
                        </m:r>
                      </m:e>
                    </m:d>
                  </m:e>
                  <m:sup>
                    <m:r>
                      <m:rPr>
                        <m:sty m:val="p"/>
                      </m:rPr>
                      <m:t>′</m:t>
                    </m:r>
                  </m:sup>
                </m:sSup>
                <m:r>
                  <m:rPr>
                    <m:sty m:val="b"/>
                  </m:rPr>
                  <m:t>V</m:t>
                </m:r>
                <m:d>
                  <m:dPr>
                    <m:begChr m:val="("/>
                    <m:endChr m:val=")"/>
                    <m:sepChr m:val=""/>
                    <m:grow/>
                  </m:dPr>
                  <m:e>
                    <m:sSub>
                      <m:e>
                        <m:r>
                          <m:rPr>
                            <m:sty m:val="b"/>
                          </m:rPr>
                          <m:t>X</m:t>
                        </m:r>
                      </m:e>
                      <m:sub>
                        <m:r>
                          <m:rPr>
                            <m:sty m:val="b"/>
                          </m:rPr>
                          <m:t>1</m:t>
                        </m:r>
                      </m:sub>
                    </m:sSub>
                    <m:r>
                      <m:rPr>
                        <m:sty m:val="p"/>
                      </m:rPr>
                      <m:t>−</m:t>
                    </m:r>
                    <m:sSub>
                      <m:e>
                        <m:r>
                          <m:rPr>
                            <m:sty m:val="b"/>
                          </m:rPr>
                          <m:t>X</m:t>
                        </m:r>
                      </m:e>
                      <m:sub>
                        <m:r>
                          <m:rPr>
                            <m:sty m:val="b"/>
                          </m:rPr>
                          <m:t>0</m:t>
                        </m:r>
                      </m:sub>
                    </m:sSub>
                    <m:r>
                      <m:rPr>
                        <m:sty m:val="b"/>
                      </m:rPr>
                      <m:t>W</m:t>
                    </m:r>
                  </m:e>
                </m:d>
              </m:oMath>
            </m:oMathPara>
          </w:p>
        </w:tc>
        <w:tc>
          <w:tcPr/>
          <w:tcPr>
            <w:vAlign w:val="center"/>
          </w:tcPr>
          <w:p>
            <w:pPr>
              <w:pStyle w:val="Compact"/>
              <w:jc w:val="right"/>
            </w:pPr>
            <m:oMathPara>
              <m:oMathParaPr>
                <m:jc m:val="center"/>
              </m:oMathParaPr>
              <m:oMath>
                <m:d>
                  <m:dPr>
                    <m:begChr m:val="("/>
                    <m:endChr m:val=")"/>
                    <m:sepChr m:val=""/>
                    <m:grow/>
                  </m:dPr>
                  <m:e>
                    <m:r>
                      <m:t>1</m:t>
                    </m:r>
                  </m:e>
                </m:d>
              </m:oMath>
            </m:oMathPara>
          </w:p>
        </w:tc>
      </w:tr>
    </w:tbl>
    <w:p>
      <w:pPr>
        <w:pStyle w:val="FirstParagraph"/>
      </w:pPr>
      <w:r>
        <w:t xml:space="preserve">where</w:t>
      </w:r>
      <w:r>
        <w:t xml:space="preserve"> </w:t>
      </w:r>
      <m:oMath>
        <m:sSup>
          <m:e>
            <m:r>
              <m:rPr>
                <m:sty m:val="b"/>
              </m:rPr>
              <m:t>W</m:t>
            </m:r>
          </m:e>
          <m:sup>
            <m:r>
              <m:rPr>
                <m:sty m:val="p"/>
              </m:rPr>
              <m:t>*</m:t>
            </m:r>
          </m:sup>
        </m:sSup>
        <m:d>
          <m:dPr>
            <m:begChr m:val="("/>
            <m:endChr m:val=")"/>
            <m:sepChr m:val=""/>
            <m:grow/>
          </m:dPr>
          <m:e>
            <m:r>
              <m:t>V</m:t>
            </m:r>
          </m:e>
        </m:d>
      </m:oMath>
      <w:r>
        <w:t xml:space="preserve"> </w:t>
      </w:r>
      <w:r>
        <w:t xml:space="preserve">is the vector of weights</w:t>
      </w:r>
      <w:r>
        <w:t xml:space="preserve"> </w:t>
      </w:r>
      <m:oMath>
        <m:r>
          <m:rPr>
            <m:sty m:val="b"/>
          </m:rPr>
          <m:t>W</m:t>
        </m:r>
      </m:oMath>
      <w:r>
        <w:t xml:space="preserve"> </w:t>
      </w:r>
      <w:r>
        <w:t xml:space="preserve">that minimizes the difference between the pre-treatment characteristics of the treated unit and the synthetic control, given</w:t>
      </w:r>
      <w:r>
        <w:t xml:space="preserve"> </w:t>
      </w:r>
      <m:oMath>
        <m:r>
          <m:rPr>
            <m:sty m:val="b"/>
          </m:rPr>
          <m:t>V</m:t>
        </m:r>
      </m:oMath>
      <w:r>
        <w:t xml:space="preserve">. That is,</w:t>
      </w:r>
      <w:r>
        <w:t xml:space="preserve"> </w:t>
      </w:r>
      <m:oMath>
        <m:sSup>
          <m:e>
            <m:r>
              <m:rPr>
                <m:sty m:val="b"/>
              </m:rPr>
              <m:t>W</m:t>
            </m:r>
          </m:e>
          <m:sup>
            <m:r>
              <m:rPr>
                <m:sty m:val="b"/>
              </m:rPr>
              <m:t>*</m:t>
            </m:r>
          </m:sup>
        </m:sSup>
      </m:oMath>
      <w:r>
        <w:t xml:space="preserve"> </w:t>
      </w:r>
      <w:r>
        <w:t xml:space="preserve">depends on the choice of</w:t>
      </w:r>
      <w:r>
        <w:t xml:space="preserve"> </w:t>
      </w:r>
      <m:oMath>
        <m:r>
          <m:rPr>
            <m:sty m:val="b"/>
          </m:rPr>
          <m:t>V</m:t>
        </m:r>
      </m:oMath>
      <w:r>
        <w:t xml:space="preserve"> </w:t>
      </w:r>
      <w:r>
        <w:t xml:space="preserve">–hence the notation</w:t>
      </w:r>
      <w:r>
        <w:t xml:space="preserve"> </w:t>
      </w:r>
      <m:oMath>
        <m:r>
          <m:rPr>
            <m:sty m:val="b"/>
          </m:rPr>
          <m:t>W</m:t>
        </m:r>
        <m:r>
          <m:rPr>
            <m:sty m:val="b"/>
          </m:rPr>
          <m:t>*</m:t>
        </m:r>
        <m:d>
          <m:dPr>
            <m:begChr m:val="("/>
            <m:endChr m:val=")"/>
            <m:sepChr m:val=""/>
            <m:grow/>
          </m:dPr>
          <m:e>
            <m:r>
              <m:rPr>
                <m:sty m:val="b"/>
              </m:rPr>
              <m:t>V</m:t>
            </m:r>
          </m:e>
        </m:d>
      </m:oMath>
      <w:r>
        <w:t xml:space="preserve">. Therefore, we choose</w:t>
      </w:r>
      <w:r>
        <w:t xml:space="preserve"> </w:t>
      </w:r>
      <m:oMath>
        <m:sSup>
          <m:e>
            <m:r>
              <m:rPr>
                <m:sty m:val="b"/>
              </m:rPr>
              <m:t>V</m:t>
            </m:r>
          </m:e>
          <m:sup>
            <m:r>
              <m:rPr>
                <m:sty m:val="b"/>
              </m:rPr>
              <m:t>*</m:t>
            </m:r>
          </m:sup>
        </m:sSup>
      </m:oMath>
      <w:r>
        <w:t xml:space="preserve"> </w:t>
      </w:r>
      <w:r>
        <w:t xml:space="preserve">to be the</w:t>
      </w:r>
      <w:r>
        <w:t xml:space="preserve"> </w:t>
      </w:r>
      <m:oMath>
        <m:r>
          <m:rPr>
            <m:sty m:val="b"/>
          </m:rPr>
          <m:t>V</m:t>
        </m:r>
      </m:oMath>
      <w:r>
        <w:t xml:space="preserve"> </w:t>
      </w:r>
      <w:r>
        <w:t xml:space="preserve">that results in</w:t>
      </w:r>
      <w:r>
        <w:t xml:space="preserve"> </w:t>
      </w:r>
      <m:oMath>
        <m:r>
          <m:rPr>
            <m:sty m:val="b"/>
          </m:rPr>
          <m:t>W</m:t>
        </m:r>
        <m:r>
          <m:rPr>
            <m:sty m:val="b"/>
          </m:rPr>
          <m:t>*</m:t>
        </m:r>
        <m:d>
          <m:dPr>
            <m:begChr m:val="("/>
            <m:endChr m:val=")"/>
            <m:sepChr m:val=""/>
            <m:grow/>
          </m:dPr>
          <m:e>
            <m:r>
              <m:rPr>
                <m:sty m:val="b"/>
              </m:rPr>
              <m:t>V</m:t>
            </m:r>
          </m:e>
        </m:d>
      </m:oMath>
      <w:r>
        <w:t xml:space="preserve"> </w:t>
      </w:r>
      <w:r>
        <w:t xml:space="preserve">that minimizes the following expression:</w:t>
      </w:r>
    </w:p>
    <w:tbl>
      <w:tblPr>
        <w:tblStyle w:val="Table"/>
        <w:tblW w:type="pct" w:w="4950"/>
        <w:tblLook w:firstRow="0" w:lastRow="0" w:firstColumn="0" w:lastColumn="0" w:noHBand="0" w:noVBand="0" w:val="0000"/>
      </w:tblPr>
      <w:tblGrid>
        <w:gridCol w:w="7128"/>
        <w:gridCol w:w="712"/>
      </w:tblGrid>
      <w:tr>
        <w:tc>
          <w:tcPr/>
          <w:p>
            <w:pPr>
              <w:pStyle w:val="Compact"/>
              <w:jc w:val="center"/>
            </w:pPr>
            <m:oMathPara>
              <m:oMathParaPr>
                <m:jc m:val="center"/>
              </m:oMathParaPr>
              <m:oMath>
                <m:sSup>
                  <m:e>
                    <m:r>
                      <m:rPr>
                        <m:sty m:val="b"/>
                      </m:rPr>
                      <m:t>V</m:t>
                    </m:r>
                  </m:e>
                  <m:sup>
                    <m:r>
                      <m:rPr>
                        <m:sty m:val="p"/>
                      </m:rPr>
                      <m:t>*</m:t>
                    </m:r>
                  </m:sup>
                </m:sSup>
                <m:r>
                  <m:rPr>
                    <m:sty m:val="p"/>
                  </m:rPr>
                  <m:t>=</m:t>
                </m:r>
                <m:limLow>
                  <m:e>
                    <m:r>
                      <m:rPr>
                        <m:sty m:val="p"/>
                      </m:rPr>
                      <m:t>argmin</m:t>
                    </m:r>
                  </m:e>
                  <m:lim>
                    <m:r>
                      <m:rPr>
                        <m:sty m:val="b"/>
                      </m:rPr>
                      <m:t>V</m:t>
                    </m:r>
                    <m:r>
                      <m:rPr>
                        <m:sty m:val="p"/>
                      </m:rPr>
                      <m:t>∈</m:t>
                    </m:r>
                    <m:r>
                      <m:rPr>
                        <m:sty m:val="p"/>
                        <m:scr m:val="script"/>
                      </m:rPr>
                      <m:t>V</m:t>
                    </m:r>
                  </m:lim>
                </m:limLow>
                <m:sSup>
                  <m:e>
                    <m:d>
                      <m:dPr>
                        <m:begChr m:val="("/>
                        <m:endChr m:val=")"/>
                        <m:sepChr m:val=""/>
                        <m:grow/>
                      </m:dPr>
                      <m:e>
                        <m:sSub>
                          <m:e>
                            <m:r>
                              <m:rPr>
                                <m:sty m:val="b"/>
                              </m:rPr>
                              <m:t>Z</m:t>
                            </m:r>
                          </m:e>
                          <m:sub>
                            <m:r>
                              <m:t>1</m:t>
                            </m:r>
                          </m:sub>
                        </m:sSub>
                        <m:r>
                          <m:rPr>
                            <m:sty m:val="p"/>
                          </m:rPr>
                          <m:t>−</m:t>
                        </m:r>
                        <m:sSub>
                          <m:e>
                            <m:r>
                              <m:rPr>
                                <m:sty m:val="b"/>
                              </m:rPr>
                              <m:t>Z</m:t>
                            </m:r>
                          </m:e>
                          <m:sub>
                            <m:r>
                              <m:t>0</m:t>
                            </m:r>
                          </m:sub>
                        </m:sSub>
                        <m:sSup>
                          <m:e>
                            <m:r>
                              <m:rPr>
                                <m:sty m:val="b"/>
                              </m:rPr>
                              <m:t>W</m:t>
                            </m:r>
                          </m:e>
                          <m:sup>
                            <m:r>
                              <m:rPr>
                                <m:sty m:val="p"/>
                              </m:rPr>
                              <m:t>*</m:t>
                            </m:r>
                          </m:sup>
                        </m:sSup>
                        <m:d>
                          <m:dPr>
                            <m:begChr m:val="("/>
                            <m:endChr m:val=")"/>
                            <m:sepChr m:val=""/>
                            <m:grow/>
                          </m:dPr>
                          <m:e>
                            <m:r>
                              <m:rPr>
                                <m:sty m:val="b"/>
                              </m:rPr>
                              <m:t>V</m:t>
                            </m:r>
                          </m:e>
                        </m:d>
                      </m:e>
                    </m:d>
                  </m:e>
                  <m:sup>
                    <m:r>
                      <m:rPr>
                        <m:sty m:val="p"/>
                      </m:rPr>
                      <m:t>′</m:t>
                    </m:r>
                  </m:sup>
                </m:sSup>
                <m:d>
                  <m:dPr>
                    <m:begChr m:val="("/>
                    <m:endChr m:val=")"/>
                    <m:sepChr m:val=""/>
                    <m:grow/>
                  </m:dPr>
                  <m:e>
                    <m:sSub>
                      <m:e>
                        <m:r>
                          <m:rPr>
                            <m:sty m:val="b"/>
                          </m:rPr>
                          <m:t>Z</m:t>
                        </m:r>
                      </m:e>
                      <m:sub>
                        <m:r>
                          <m:t>1</m:t>
                        </m:r>
                      </m:sub>
                    </m:sSub>
                    <m:r>
                      <m:rPr>
                        <m:sty m:val="p"/>
                      </m:rPr>
                      <m:t>−</m:t>
                    </m:r>
                    <m:sSub>
                      <m:e>
                        <m:r>
                          <m:rPr>
                            <m:sty m:val="b"/>
                          </m:rPr>
                          <m:t>Z</m:t>
                        </m:r>
                      </m:e>
                      <m:sub>
                        <m:r>
                          <m:t>0</m:t>
                        </m:r>
                      </m:sub>
                    </m:sSub>
                    <m:sSup>
                      <m:e>
                        <m:r>
                          <m:rPr>
                            <m:sty m:val="b"/>
                          </m:rPr>
                          <m:t>W</m:t>
                        </m:r>
                      </m:e>
                      <m:sup>
                        <m:r>
                          <m:rPr>
                            <m:sty m:val="p"/>
                          </m:rPr>
                          <m:t>*</m:t>
                        </m:r>
                      </m:sup>
                    </m:sSup>
                    <m:d>
                      <m:dPr>
                        <m:begChr m:val="("/>
                        <m:endChr m:val=")"/>
                        <m:sepChr m:val=""/>
                        <m:grow/>
                      </m:dPr>
                      <m:e>
                        <m:r>
                          <m:rPr>
                            <m:sty m:val="b"/>
                          </m:rPr>
                          <m:t>V</m:t>
                        </m:r>
                      </m:e>
                    </m:d>
                  </m:e>
                </m:d>
              </m:oMath>
            </m:oMathPara>
          </w:p>
        </w:tc>
        <w:tc>
          <w:tcPr/>
          <w:tcPr>
            <w:vAlign w:val="center"/>
          </w:tcPr>
          <w:p>
            <w:pPr>
              <w:pStyle w:val="Compact"/>
              <w:jc w:val="right"/>
            </w:pPr>
            <m:oMathPara>
              <m:oMathParaPr>
                <m:jc m:val="center"/>
              </m:oMathParaPr>
              <m:oMath>
                <m:d>
                  <m:dPr>
                    <m:begChr m:val="("/>
                    <m:endChr m:val=")"/>
                    <m:sepChr m:val=""/>
                    <m:grow/>
                  </m:dPr>
                  <m:e>
                    <m:r>
                      <m:t>2</m:t>
                    </m:r>
                  </m:e>
                </m:d>
              </m:oMath>
            </m:oMathPara>
          </w:p>
        </w:tc>
      </w:tr>
    </w:tbl>
    <w:p>
      <w:pPr>
        <w:pStyle w:val="FirstParagraph"/>
      </w:pPr>
      <w:r>
        <w:t xml:space="preserve">That is the minimum difference between the outcome of the treated unit and the synthetic control in the pre-treatment period, where</w:t>
      </w:r>
      <w:r>
        <w:t xml:space="preserve"> </w:t>
      </w:r>
      <m:oMath>
        <m:sSub>
          <m:e>
            <m:r>
              <m:rPr>
                <m:sty m:val="b"/>
              </m:rPr>
              <m:t>Z</m:t>
            </m:r>
          </m:e>
          <m:sub>
            <m:r>
              <m:t>1</m:t>
            </m:r>
          </m:sub>
        </m:sSub>
      </m:oMath>
      <w:r>
        <w:t xml:space="preserve"> </w:t>
      </w:r>
      <w:r>
        <w:t xml:space="preserve">is a (</w:t>
      </w:r>
      <m:oMath>
        <m:r>
          <m:t>1</m:t>
        </m:r>
        <m:r>
          <m:rPr>
            <m:sty m:val="p"/>
          </m:rPr>
          <m:t>*</m:t>
        </m:r>
        <m:sSub>
          <m:e>
            <m:r>
              <m:t>T</m:t>
            </m:r>
          </m:e>
          <m:sub>
            <m:r>
              <m:t>0</m:t>
            </m:r>
          </m:sub>
        </m:sSub>
      </m:oMath>
      <w:r>
        <w:t xml:space="preserve">) matrix containing every observation of the outcome for the treated unit in the pre-treatment period. Similarly, let</w:t>
      </w:r>
      <w:r>
        <w:t xml:space="preserve"> </w:t>
      </w:r>
      <m:oMath>
        <m:sSub>
          <m:e>
            <m:r>
              <m:rPr>
                <m:sty m:val="b"/>
              </m:rPr>
              <m:t>Z</m:t>
            </m:r>
          </m:e>
          <m:sub>
            <m:r>
              <m:t>0</m:t>
            </m:r>
          </m:sub>
        </m:sSub>
      </m:oMath>
      <w:r>
        <w:t xml:space="preserve"> </w:t>
      </w:r>
      <w:r>
        <w:t xml:space="preserve">be a (</w:t>
      </w:r>
      <m:oMath>
        <m:r>
          <m:t>k</m:t>
        </m:r>
        <m:r>
          <m:rPr>
            <m:sty m:val="p"/>
          </m:rPr>
          <m:t>*</m:t>
        </m:r>
        <m:sSub>
          <m:e>
            <m:r>
              <m:t>T</m:t>
            </m:r>
          </m:e>
          <m:sub>
            <m:r>
              <m:t>0</m:t>
            </m:r>
          </m:sub>
        </m:sSub>
      </m:oMath>
      <w:r>
        <w:t xml:space="preserve">) matrix containing the outcome for each control unit in the pre-treatment period, and</w:t>
      </w:r>
      <w:r>
        <w:t xml:space="preserve"> </w:t>
      </w:r>
      <m:oMath>
        <m:r>
          <m:t>k</m:t>
        </m:r>
      </m:oMath>
      <w:r>
        <w:t xml:space="preserve"> </w:t>
      </w:r>
      <w:r>
        <w:t xml:space="preserve">is the number of variables in the datasets.</w:t>
      </w:r>
      <w:r>
        <w:t xml:space="preserve"> </w:t>
      </w:r>
      <w:r>
        <w:t xml:space="preserve">The DSC method generalizes the difference-in-differences estimator and allows for time-varying individual-specific unobserved heterogeneity, with double robustness properties</w:t>
      </w:r>
      <w:r>
        <w:rPr>
          <w:vertAlign w:val="superscript"/>
        </w:rPr>
        <w:t xml:space="preserve">53,54</w:t>
      </w:r>
      <w:r>
        <w:t xml:space="preserve">.</w:t>
      </w:r>
    </w:p>
    <w:bookmarkEnd w:id="54"/>
    <w:bookmarkStart w:id="57" w:name="sec:model"/>
    <w:p>
      <w:pPr>
        <w:pStyle w:val="2"/>
      </w:pPr>
      <w:r>
        <w:rPr>
          <w:rStyle w:val="SectionNumber"/>
        </w:rPr>
        <w:t xml:space="preserve">5.5</w:t>
      </w:r>
      <w:r>
        <w:tab/>
      </w:r>
      <w:r>
        <w:t xml:space="preserve">Marginal benefits analysis</w:t>
      </w:r>
    </w:p>
    <w:p>
      <w:pPr>
        <w:pStyle w:val="FirstParagraph"/>
      </w:pPr>
      <w:r>
        <w:t xml:space="preserve">To infer the mechanisms underlying the results, we developed an marginal benefits analysis based on marginal revenue to analyze how the institutional shift could have led to differences in water use.</w:t>
      </w:r>
    </w:p>
    <w:p>
      <w:pPr>
        <w:pStyle w:val="a0"/>
      </w:pPr>
      <w:r>
        <w:rPr>
          <w:bCs/>
          <w:b/>
        </w:rPr>
        <w:t xml:space="preserve">Assumption 1</w:t>
      </w:r>
      <w:r>
        <w:t xml:space="preserve">.</w:t>
      </w:r>
      <w:r>
        <w:t xml:space="preserve"> </w:t>
      </w:r>
      <w:r>
        <w:t xml:space="preserve"> </w:t>
      </w:r>
      <w:r>
        <w:rPr>
          <w:iCs/>
          <w:i/>
        </w:rPr>
        <w:t xml:space="preserve">(Water-dependent production) Because of irreplaceably, water is assumed to be the only production function input with two production efficiency types.</w:t>
      </w:r>
    </w:p>
    <w:p>
      <w:pPr>
        <w:pStyle w:val="a0"/>
      </w:pPr>
      <w:r>
        <w:rPr>
          <w:bCs/>
          <w:b/>
        </w:rPr>
        <w:t xml:space="preserve">Assumption 2</w:t>
      </w:r>
      <w:r>
        <w:t xml:space="preserve">.</w:t>
      </w:r>
      <w:r>
        <w:t xml:space="preserve"> </w:t>
      </w:r>
      <w:r>
        <w:t xml:space="preserve"> </w:t>
      </w:r>
      <w:r>
        <w:rPr>
          <w:iCs/>
          <w:i/>
        </w:rPr>
        <w:t xml:space="preserve">(Ecological cost allocation) Under the assumption that the ecology is a single entity for the whole basin, the water use cost is equally assigned to each province.</w:t>
      </w:r>
    </w:p>
    <w:p>
      <w:pPr>
        <w:pStyle w:val="a0"/>
      </w:pPr>
      <w:r>
        <w:rPr>
          <w:bCs/>
          <w:b/>
        </w:rPr>
        <w:t xml:space="preserve">Assumption 3</w:t>
      </w:r>
      <w:r>
        <w:t xml:space="preserve">.</w:t>
      </w:r>
      <w:r>
        <w:t xml:space="preserve"> </w:t>
      </w:r>
      <w:r>
        <w:t xml:space="preserve"> </w:t>
      </w:r>
      <w:r>
        <w:rPr>
          <w:iCs/>
          <w:i/>
        </w:rPr>
        <w:t xml:space="preserve">(Multi-period settings) There are multiple settings periods with a constant discount factor for the expectation of future water use.</w:t>
      </w:r>
    </w:p>
    <w:p>
      <w:pPr>
        <w:pStyle w:val="a0"/>
      </w:pPr>
      <w:r>
        <w:t xml:space="preserve">Under the above-simplified assumptions, we demonstrate three cases -corresponding to the abstracted SES structures (Figure </w:t>
      </w:r>
      <w:hyperlink w:anchor="fig:structure">
        <w:r>
          <w:rPr>
            <w:rStyle w:val="ae"/>
          </w:rPr>
          <w:t xml:space="preserve">[fig:structure]</w:t>
        </w:r>
      </w:hyperlink>
      <w:r>
        <w:t xml:space="preserve"> C), inference of how SES structure alters the expected marginal benefits and costs of provinces making decisions.</w:t>
      </w:r>
      <w:r>
        <w:t xml:space="preserve"> </w:t>
      </w:r>
      <w:r>
        <w:t xml:space="preserve">As one of the possible interpretations for the causality between SES structure and institutional effects, the derivation of the model based on the above three assumptions can be found in</w:t>
      </w:r>
      <w:r>
        <w:t xml:space="preserve"> </w:t>
      </w:r>
      <w:r>
        <w:rPr>
          <w:iCs/>
          <w:i/>
        </w:rPr>
        <w:t xml:space="preserve">Appendix </w:t>
      </w:r>
      <w:r>
        <w:t xml:space="preserve">, and some simple model-based extensions are involved in</w:t>
      </w:r>
      <w:r>
        <w:t xml:space="preserve"> </w:t>
      </w:r>
      <w:r>
        <w:rPr>
          <w:iCs/>
          <w:i/>
        </w:rPr>
        <w:t xml:space="preserve">Appendix </w:t>
      </w:r>
      <w:r>
        <w:t xml:space="preserve">.</w:t>
      </w:r>
    </w:p>
    <w:p>
      <w:pPr>
        <w:pStyle w:val="a0"/>
      </w:pPr>
      <w:bookmarkStart w:id="55" w:name="bib"/>
      <w:r>
        <w:t xml:space="preserve">[bib]</w:t>
      </w:r>
      <w:bookmarkEnd w:id="55"/>
    </w:p>
    <w:p>
      <w:pPr>
        <w:pStyle w:val="a0"/>
      </w:pPr>
      <w:bookmarkStart w:id="56" w:name="appendix"/>
      <w:r>
        <w:t xml:space="preserve">[appendix]</w:t>
      </w:r>
      <w:bookmarkEnd w:id="56"/>
    </w:p>
    <w:bookmarkEnd w:id="57"/>
    <w:bookmarkEnd w:id="58"/>
    <w:bookmarkStart w:id="65" w:name="secS1"/>
    <w:p>
      <w:pPr>
        <w:pStyle w:val="1"/>
      </w:pPr>
      <w:r>
        <w:rPr>
          <w:rStyle w:val="SectionNumber"/>
        </w:rPr>
        <w:t xml:space="preserve">6</w:t>
      </w:r>
      <w:r>
        <w:tab/>
      </w:r>
      <w:r>
        <w:t xml:space="preserve">Appendix A: Contexts of institutional shifts</w:t>
      </w:r>
    </w:p>
    <w:p>
      <w:pPr>
        <w:pStyle w:val="FirstParagraph"/>
      </w:pPr>
      <w:r>
        <w:t xml:space="preserve">Water allocation institutions are widespread in large river basin management programs throughout the world (see</w:t>
      </w:r>
      <w:r>
        <w:t xml:space="preserve"> </w:t>
      </w:r>
      <w:r>
        <w:rPr>
          <w:iCs/>
          <w:i/>
        </w:rPr>
        <w:t xml:space="preserve">Appendix</w:t>
      </w:r>
      <w:r>
        <w:t xml:space="preserve"> </w:t>
      </w:r>
      <w:r>
        <w:t xml:space="preserve">Figure </w:t>
      </w:r>
      <w:hyperlink w:anchor="fig:world">
        <w:r>
          <w:rPr>
            <w:rStyle w:val="ae"/>
          </w:rPr>
          <w:t xml:space="preserve">[fig:world]</w:t>
        </w:r>
      </w:hyperlink>
      <w:r>
        <w:t xml:space="preserve">)</w:t>
      </w:r>
      <w:r>
        <w:rPr>
          <w:vertAlign w:val="superscript"/>
        </w:rPr>
        <w:t xml:space="preserve">47</w:t>
      </w:r>
      <w:r>
        <w:t xml:space="preserve">.</w:t>
      </w:r>
      <w:r>
        <w:t xml:space="preserve"> </w:t>
      </w:r>
      <w:r>
        <w:t xml:space="preserve">This was the first basin in China for which a water resource allocation institution was created, and institutional shifts can be traced through several documents released by the Chinese government (at the national level)</w:t>
      </w:r>
      <w:r>
        <w:rPr>
          <w:vertAlign w:val="superscript"/>
        </w:rPr>
        <w:t xml:space="preserve">30</w:t>
      </w:r>
      <w:r>
        <w:t xml:space="preserve">:</w:t>
      </w:r>
    </w:p>
    <w:p>
      <w:pPr>
        <w:numPr>
          <w:ilvl w:val="0"/>
          <w:numId w:val="1001"/>
        </w:numPr>
      </w:pPr>
      <w:r>
        <w:rPr>
          <w:bCs/>
          <w:b/>
        </w:rPr>
        <w:t xml:space="preserve">1982</w:t>
      </w:r>
      <w:r>
        <w:t xml:space="preserve">: The provinces and the Yellow River Water Conservancy Commission (YRCC) are required to develop a water resource plan for the Yellow River</w:t>
      </w:r>
      <w:r>
        <w:rPr>
          <w:vertAlign w:val="superscript"/>
        </w:rPr>
        <w:t xml:space="preserve">30,55</w:t>
      </w:r>
      <w:r>
        <w:t xml:space="preserve">.</w:t>
      </w:r>
    </w:p>
    <w:p>
      <w:pPr>
        <w:numPr>
          <w:ilvl w:val="0"/>
          <w:numId w:val="1001"/>
        </w:numPr>
      </w:pPr>
      <w:r>
        <w:rPr>
          <w:bCs/>
          <w:b/>
        </w:rPr>
        <w:t xml:space="preserve">1987</w:t>
      </w:r>
      <w:r>
        <w:t xml:space="preserve">: Implementation of the Allocation Plan. (</w:t>
      </w:r>
      <w:hyperlink r:id="rId59">
        <w:r>
          <w:rPr>
            <w:rStyle w:val="ae"/>
          </w:rPr>
          <w:t xml:space="preserve">http://www.mwr.gov.cn</w:t>
        </w:r>
      </w:hyperlink>
      <w:r>
        <w:t xml:space="preserve">, last access: ).</w:t>
      </w:r>
    </w:p>
    <w:p>
      <w:pPr>
        <w:numPr>
          <w:ilvl w:val="0"/>
          <w:numId w:val="1001"/>
        </w:numPr>
      </w:pPr>
      <w:r>
        <w:rPr>
          <w:bCs/>
          <w:b/>
        </w:rPr>
        <w:t xml:space="preserve">1998</w:t>
      </w:r>
      <w:r>
        <w:t xml:space="preserve">: Implementation of unified regulation. (</w:t>
      </w:r>
      <w:hyperlink r:id="rId60">
        <w:r>
          <w:rPr>
            <w:rStyle w:val="ae"/>
          </w:rPr>
          <w:t xml:space="preserve">http://www.mwr.gov.cn</w:t>
        </w:r>
      </w:hyperlink>
      <w:r>
        <w:t xml:space="preserve">, last access: ).</w:t>
      </w:r>
    </w:p>
    <w:p>
      <w:pPr>
        <w:numPr>
          <w:ilvl w:val="0"/>
          <w:numId w:val="1001"/>
        </w:numPr>
      </w:pPr>
      <w:r>
        <w:rPr>
          <w:bCs/>
          <w:b/>
        </w:rPr>
        <w:t xml:space="preserve">2008</w:t>
      </w:r>
      <w:r>
        <w:t xml:space="preserve">: Provinces are asked to draw up new water resources plans for the YRB to further refine water allocations</w:t>
      </w:r>
      <w:r>
        <w:rPr>
          <w:vertAlign w:val="superscript"/>
        </w:rPr>
        <w:t xml:space="preserve">30,55</w:t>
      </w:r>
      <w:r>
        <w:t xml:space="preserve">.</w:t>
      </w:r>
    </w:p>
    <w:p>
      <w:pPr>
        <w:numPr>
          <w:ilvl w:val="0"/>
          <w:numId w:val="1001"/>
        </w:numPr>
      </w:pPr>
      <w:r>
        <w:rPr>
          <w:bCs/>
          <w:b/>
        </w:rPr>
        <w:t xml:space="preserve">2021</w:t>
      </w:r>
      <w:r>
        <w:t xml:space="preserve">: A call for redesigning the water allocation institution (</w:t>
      </w:r>
      <w:hyperlink r:id="rId61">
        <w:r>
          <w:rPr>
            <w:rStyle w:val="ae"/>
          </w:rPr>
          <w:t xml:space="preserve">http://www.ccgp.gov.cn</w:t>
        </w:r>
      </w:hyperlink>
      <w:r>
        <w:t xml:space="preserve">, last access: ).</w:t>
      </w:r>
    </w:p>
    <w:p>
      <w:pPr>
        <w:pStyle w:val="FirstParagraph"/>
      </w:pPr>
      <w:r>
        <w:t xml:space="preserve">Since 1982, administrations attemptted to design a quota institution, and the 2008 document marked the maturity of the scheme (complete establishment of basin-level, provincial, and district water quotas).</w:t>
      </w:r>
      <w:r>
        <w:t xml:space="preserve"> </w:t>
      </w:r>
      <w:r>
        <w:t xml:space="preserve">Between the period, two significant institutional shits can be analyzed by using the 1987 (87-WAS) and 1998 (98-UBR) documents.</w:t>
      </w:r>
    </w:p>
    <w:p>
      <w:pPr>
        <w:pStyle w:val="a0"/>
      </w:pPr>
      <w:r>
        <w:t xml:space="preserve">The official documents in 1987 (</w:t>
      </w:r>
      <w:hyperlink r:id="rId59">
        <w:r>
          <w:rPr>
            <w:rStyle w:val="ae"/>
          </w:rPr>
          <w:t xml:space="preserve">http://www.mwr.gov.cn</w:t>
        </w:r>
      </w:hyperlink>
      <w:r>
        <w:t xml:space="preserve">, last access: ) convey the following key points:</w:t>
      </w:r>
    </w:p>
    <w:p>
      <w:pPr>
        <w:numPr>
          <w:ilvl w:val="0"/>
          <w:numId w:val="1002"/>
        </w:numPr>
      </w:pPr>
      <w:r>
        <w:t xml:space="preserve">The policy is aimed at related provinces (or regions at the same administrative level).</w:t>
      </w:r>
    </w:p>
    <w:p>
      <w:pPr>
        <w:numPr>
          <w:ilvl w:val="0"/>
          <w:numId w:val="1002"/>
        </w:numPr>
      </w:pPr>
      <w:r>
        <w:t xml:space="preserve">Depletion of the river is identified as the first consideration of this institution.</w:t>
      </w:r>
    </w:p>
    <w:p>
      <w:pPr>
        <w:numPr>
          <w:ilvl w:val="0"/>
          <w:numId w:val="1002"/>
        </w:numPr>
      </w:pPr>
      <w:r>
        <w:t xml:space="preserve">Provinces are encouraged to develop their water use plans based on a quota system.</w:t>
      </w:r>
    </w:p>
    <w:p>
      <w:pPr>
        <w:numPr>
          <w:ilvl w:val="0"/>
          <w:numId w:val="1002"/>
        </w:numPr>
      </w:pPr>
      <w:r>
        <w:t xml:space="preserve">Water in short supply is a common phenomenon in relevant provinces (regions).</w:t>
      </w:r>
    </w:p>
    <w:p>
      <w:pPr>
        <w:pStyle w:val="FirstParagraph"/>
      </w:pPr>
      <w:r>
        <w:t xml:space="preserve">The official documents in 1998</w:t>
      </w:r>
      <w:r>
        <w:t xml:space="preserve"> </w:t>
      </w:r>
      <w:r>
        <w:t xml:space="preserve">(</w:t>
      </w:r>
      <w:hyperlink r:id="rId60">
        <w:r>
          <w:rPr>
            <w:rStyle w:val="ae"/>
          </w:rPr>
          <w:t xml:space="preserve">http://www.mwr.gov.cn</w:t>
        </w:r>
      </w:hyperlink>
      <w:r>
        <w:t xml:space="preserve">, last access: ) convey the following key points:</w:t>
      </w:r>
    </w:p>
    <w:p>
      <w:pPr>
        <w:numPr>
          <w:ilvl w:val="0"/>
          <w:numId w:val="1003"/>
        </w:numPr>
      </w:pPr>
      <w:r>
        <w:t xml:space="preserve">The document points out that not only provinces and autonomous regions involved in water resources management (see</w:t>
      </w:r>
      <w:r>
        <w:t xml:space="preserve"> </w:t>
      </w:r>
      <w:r>
        <w:rPr>
          <w:iCs/>
          <w:i/>
        </w:rPr>
        <w:t xml:space="preserve">Article 3</w:t>
      </w:r>
      <w:r>
        <w:t xml:space="preserve">), the provinces’ and regions’ water use shall be declared, organized, and supervised by the YRCC (</w:t>
      </w:r>
      <w:r>
        <w:rPr>
          <w:iCs/>
          <w:i/>
        </w:rPr>
        <w:t xml:space="preserve">Article 11 and Chapter III to Chapter V, and Chapter VII</w:t>
      </w:r>
      <w:r>
        <w:t xml:space="preserve">).</w:t>
      </w:r>
    </w:p>
    <w:p>
      <w:pPr>
        <w:numPr>
          <w:ilvl w:val="0"/>
          <w:numId w:val="1003"/>
        </w:numPr>
      </w:pPr>
      <w:r>
        <w:t xml:space="preserve">Creating the overall plan of water use in the upper, middle, and lower reaches is identified as the first consideration of this institution (</w:t>
      </w:r>
      <w:r>
        <w:rPr>
          <w:iCs/>
          <w:i/>
        </w:rPr>
        <w:t xml:space="preserve">Article 1</w:t>
      </w:r>
      <w:r>
        <w:t xml:space="preserve">).</w:t>
      </w:r>
    </w:p>
    <w:p>
      <w:pPr>
        <w:numPr>
          <w:ilvl w:val="0"/>
          <w:numId w:val="1003"/>
        </w:numPr>
      </w:pPr>
      <w:r>
        <w:t xml:space="preserve">With the same quota as used in the 1987 policy, provinces were encouraged to further distribute their quota into lower-level administrations (see</w:t>
      </w:r>
      <w:r>
        <w:t xml:space="preserve"> </w:t>
      </w:r>
      <w:r>
        <w:rPr>
          <w:iCs/>
          <w:i/>
        </w:rPr>
        <w:t xml:space="preserve">Article 6 and Article 41</w:t>
      </w:r>
      <w:r>
        <w:t xml:space="preserve">).</w:t>
      </w:r>
    </w:p>
    <w:p>
      <w:pPr>
        <w:numPr>
          <w:ilvl w:val="0"/>
          <w:numId w:val="1003"/>
        </w:numPr>
      </w:pPr>
      <w:r>
        <w:t xml:space="preserve">They emphasize that supply is determined by total quantity, and water use should not exceed the quota proposed in 1987 (see</w:t>
      </w:r>
      <w:r>
        <w:t xml:space="preserve"> </w:t>
      </w:r>
      <w:r>
        <w:rPr>
          <w:iCs/>
          <w:i/>
        </w:rPr>
        <w:t xml:space="preserve">Article 2</w:t>
      </w:r>
      <w:r>
        <w:t xml:space="preserve">).</w:t>
      </w:r>
    </w:p>
    <w:p>
      <w:pPr>
        <w:pStyle w:val="FirstParagraph"/>
      </w:pPr>
      <w:r>
        <w:drawing>
          <wp:inline>
            <wp:extent cx="4319999" cy="3646238"/>
            <wp:effectExtent b="0" l="0" r="0" t="0"/>
            <wp:docPr descr="image" title="" id="63" name="Picture"/>
            <a:graphic>
              <a:graphicData uri="http://schemas.openxmlformats.org/drawingml/2006/picture">
                <pic:pic>
                  <pic:nvPicPr>
                    <pic:cNvPr descr="/Users/songshgeo/Documents/Pycharm/WAInstitution_YRB_2021/figs/diagrams/world_institutions.pdf" id="64" name="Picture"/>
                    <pic:cNvPicPr>
                      <a:picLocks noChangeArrowheads="1" noChangeAspect="1"/>
                    </pic:cNvPicPr>
                  </pic:nvPicPr>
                  <pic:blipFill>
                    <a:blip r:embed="rId62"/>
                    <a:stretch>
                      <a:fillRect/>
                    </a:stretch>
                  </pic:blipFill>
                  <pic:spPr bwMode="auto">
                    <a:xfrm>
                      <a:off x="0" y="0"/>
                      <a:ext cx="4319999" cy="3646238"/>
                    </a:xfrm>
                    <a:prstGeom prst="rect">
                      <a:avLst/>
                    </a:prstGeom>
                    <a:noFill/>
                    <a:ln w="9525">
                      <a:noFill/>
                      <a:headEnd/>
                      <a:tailEnd/>
                    </a:ln>
                  </pic:spPr>
                </pic:pic>
              </a:graphicData>
            </a:graphic>
          </wp:inline>
        </w:drawing>
      </w:r>
    </w:p>
    <w:p>
      <w:pPr>
        <w:pStyle w:val="a0"/>
      </w:pPr>
      <w:r>
        <w:t xml:space="preserve">Based on the above documents, we abstracted the structural changes of SES (see</w:t>
      </w:r>
      <w:r>
        <w:t xml:space="preserve"> </w:t>
      </w:r>
      <w:r>
        <w:rPr>
          <w:iCs/>
          <w:i/>
        </w:rPr>
        <w:t xml:space="preserve">Appendix S2</w:t>
      </w:r>
      <w:r>
        <w:t xml:space="preserve">) after the two institutional changes, as shown in Figure </w:t>
      </w:r>
      <w:hyperlink w:anchor="fig:structure">
        <w:r>
          <w:rPr>
            <w:rStyle w:val="ae"/>
          </w:rPr>
          <w:t xml:space="preserve">[fig:structure]</w:t>
        </w:r>
      </w:hyperlink>
      <w:r>
        <w:t xml:space="preserve"> C.</w:t>
      </w:r>
    </w:p>
    <w:p>
      <w:pPr>
        <w:pStyle w:val="a0"/>
      </w:pPr>
      <w:r>
        <w:t xml:space="preserve">[a]</w:t>
      </w:r>
      <w:r>
        <w:br/>
      </w:r>
      <w:r>
        <w:t xml:space="preserve">[b]</w:t>
      </w:r>
    </w:p>
    <w:bookmarkEnd w:id="65"/>
    <w:bookmarkStart w:id="82" w:name="secS2"/>
    <w:p>
      <w:pPr>
        <w:pStyle w:val="1"/>
      </w:pPr>
      <w:r>
        <w:rPr>
          <w:rStyle w:val="SectionNumber"/>
        </w:rPr>
        <w:t xml:space="preserve">7</w:t>
      </w:r>
      <w:r>
        <w:tab/>
      </w:r>
      <w:r>
        <w:t xml:space="preserve">Appendix B: Robustness of DSC method</w:t>
      </w:r>
    </w:p>
    <w:p>
      <w:pPr>
        <w:pStyle w:val="FirstParagraph"/>
      </w:pPr>
      <w:r>
        <w:t xml:space="preserve">Explanatory variables are the key to constructing a robust synthetic control method.</w:t>
      </w:r>
      <w:r>
        <w:t xml:space="preserve"> </w:t>
      </w:r>
      <w:r>
        <w:t xml:space="preserve">We used a total of</w:t>
      </w:r>
      <w:r>
        <w:t xml:space="preserve"> </w:t>
      </w:r>
      <m:oMath>
        <m:r>
          <m:t>24</m:t>
        </m:r>
      </m:oMath>
      <w:r>
        <w:t xml:space="preserve"> </w:t>
      </w:r>
      <w:r>
        <w:t xml:space="preserve">variables related to water consumption Table </w:t>
      </w:r>
      <w:hyperlink w:anchor="tab:variables">
        <w:r>
          <w:rPr>
            <w:rStyle w:val="ae"/>
          </w:rPr>
          <w:t xml:space="preserve">[tab:variables]</w:t>
        </w:r>
      </w:hyperlink>
      <w:r>
        <w:t xml:space="preserve">, which datasets have been used in previous studies to explain changes in water use in China</w:t>
      </w:r>
      <w:r>
        <w:rPr>
          <w:vertAlign w:val="superscript"/>
        </w:rPr>
        <w:t xml:space="preserve">49</w:t>
      </w:r>
      <w:r>
        <w:t xml:space="preserve">.</w:t>
      </w:r>
      <w:r>
        <w:t xml:space="preserve"> </w:t>
      </w:r>
      <w:r>
        <w:t xml:space="preserve">In addition, we selected</w:t>
      </w:r>
      <w:r>
        <w:t xml:space="preserve"> </w:t>
      </w:r>
      <m:oMath>
        <m:r>
          <m:t>5</m:t>
        </m:r>
      </m:oMath>
      <w:r>
        <w:t xml:space="preserve"> </w:t>
      </w:r>
      <w:r>
        <w:t xml:space="preserve">principal components as input by the elbow method because selection in autocorrelated variables reduces dimensions and then enhances the robustness of the DSC (Figure </w:t>
      </w:r>
      <w:hyperlink w:anchor="fig:elbow">
        <w:r>
          <w:rPr>
            <w:rStyle w:val="ae"/>
          </w:rPr>
          <w:t xml:space="preserve">[fig:elbow]</w:t>
        </w:r>
      </w:hyperlink>
      <w:r>
        <w:t xml:space="preserve">).</w:t>
      </w:r>
    </w:p>
    <w:p>
      <w:pPr>
        <w:pStyle w:val="a0"/>
      </w:pPr>
      <w:r>
        <w:t xml:space="preserve">There are two approaches to validity testing of the DSC: (1) comparing the post-treated and pre-treated reconstructions and (2) testing robustness through placebo analysis.</w:t>
      </w:r>
      <w:r>
        <w:t xml:space="preserve"> </w:t>
      </w:r>
      <w:r>
        <w:t xml:space="preserve">For (1), differences between each province and their synthetic are significant in post-treated periods and small in pre-treated periods (Figure </w:t>
      </w:r>
      <w:hyperlink w:anchor="fig:87panel">
        <w:r>
          <w:rPr>
            <w:rStyle w:val="ae"/>
          </w:rPr>
          <w:t xml:space="preserve">[fig:87panel]</w:t>
        </w:r>
      </w:hyperlink>
      <w:r>
        <w:t xml:space="preserve"> </w:t>
      </w:r>
      <w:r>
        <w:t xml:space="preserve">and figure </w:t>
      </w:r>
      <w:hyperlink w:anchor="fig:98panel">
        <w:r>
          <w:rPr>
            <w:rStyle w:val="ae"/>
          </w:rPr>
          <w:t xml:space="preserve">[fig:98panel]</w:t>
        </w:r>
      </w:hyperlink>
      <w:r>
        <w:t xml:space="preserve">), which show good reconstructions of their water use changes’ estimation.</w:t>
      </w:r>
      <w:r>
        <w:t xml:space="preserve"> </w:t>
      </w:r>
      <w:r>
        <w:t xml:space="preserve">For (2), we applied the in-place placebo analysis described by</w:t>
      </w:r>
      <w:r>
        <w:rPr>
          <w:vertAlign w:val="superscript"/>
        </w:rPr>
        <w:t xml:space="preserve">51</w:t>
      </w:r>
      <w:r>
        <w:t xml:space="preserve">. In most provinces, ratios of post-MSPE to pre-MSPE are higher than the median of other placebo units, which suggests the institutional shifts in treated time (1987 and 1998 here) influenced them more than most of the other provinces (figure </w:t>
      </w:r>
      <w:hyperlink w:anchor="fig:87placebo">
        <w:r>
          <w:rPr>
            <w:rStyle w:val="ae"/>
          </w:rPr>
          <w:t xml:space="preserve">[fig:87placebo]</w:t>
        </w:r>
      </w:hyperlink>
      <w:r>
        <w:t xml:space="preserve">, figure </w:t>
      </w:r>
      <w:hyperlink w:anchor="fig:98placebo">
        <w:r>
          <w:rPr>
            <w:rStyle w:val="ae"/>
          </w:rPr>
          <w:t xml:space="preserve">[fig:98placebo]</w:t>
        </w:r>
      </w:hyperlink>
      <w:r>
        <w:t xml:space="preserve">, Table </w:t>
      </w:r>
      <w:hyperlink w:anchor="tab:DSC_summary">
        <w:r>
          <w:rPr>
            <w:rStyle w:val="ae"/>
          </w:rPr>
          <w:t xml:space="preserve">[tab:DSC_summary]</w:t>
        </w:r>
      </w:hyperlink>
      <w:r>
        <w:t xml:space="preserve">).</w:t>
      </w:r>
    </w:p>
    <w:p>
      <w:pPr>
        <w:pStyle w:val="a0"/>
      </w:pPr>
      <w:r>
        <w:drawing>
          <wp:inline>
            <wp:extent cx="5727700" cy="2863850"/>
            <wp:effectExtent b="0" l="0" r="0" t="0"/>
            <wp:docPr descr="image" title="" id="67" name="Picture"/>
            <a:graphic>
              <a:graphicData uri="http://schemas.openxmlformats.org/drawingml/2006/picture">
                <pic:pic>
                  <pic:nvPicPr>
                    <pic:cNvPr descr="outputs/87panel.pdf" id="68" name="Picture"/>
                    <pic:cNvPicPr>
                      <a:picLocks noChangeArrowheads="1" noChangeAspect="1"/>
                    </pic:cNvPicPr>
                  </pic:nvPicPr>
                  <pic:blipFill>
                    <a:blip r:embed="rId66"/>
                    <a:stretch>
                      <a:fillRect/>
                    </a:stretch>
                  </pic:blipFill>
                  <pic:spPr bwMode="auto">
                    <a:xfrm>
                      <a:off x="0" y="0"/>
                      <a:ext cx="5727700" cy="2863850"/>
                    </a:xfrm>
                    <a:prstGeom prst="rect">
                      <a:avLst/>
                    </a:prstGeom>
                    <a:noFill/>
                    <a:ln w="9525">
                      <a:noFill/>
                      <a:headEnd/>
                      <a:tailEnd/>
                    </a:ln>
                  </pic:spPr>
                </pic:pic>
              </a:graphicData>
            </a:graphic>
          </wp:inline>
        </w:drawing>
      </w:r>
    </w:p>
    <w:p>
      <w:pPr>
        <w:pStyle w:val="a0"/>
      </w:pPr>
      <w:r>
        <w:drawing>
          <wp:inline>
            <wp:extent cx="5727700" cy="2863850"/>
            <wp:effectExtent b="0" l="0" r="0" t="0"/>
            <wp:docPr descr="image" title="" id="70" name="Picture"/>
            <a:graphic>
              <a:graphicData uri="http://schemas.openxmlformats.org/drawingml/2006/picture">
                <pic:pic>
                  <pic:nvPicPr>
                    <pic:cNvPr descr="outputs/98panel.pdf" id="71" name="Picture"/>
                    <pic:cNvPicPr>
                      <a:picLocks noChangeArrowheads="1" noChangeAspect="1"/>
                    </pic:cNvPicPr>
                  </pic:nvPicPr>
                  <pic:blipFill>
                    <a:blip r:embed="rId69"/>
                    <a:stretch>
                      <a:fillRect/>
                    </a:stretch>
                  </pic:blipFill>
                  <pic:spPr bwMode="auto">
                    <a:xfrm>
                      <a:off x="0" y="0"/>
                      <a:ext cx="5727700" cy="2863850"/>
                    </a:xfrm>
                    <a:prstGeom prst="rect">
                      <a:avLst/>
                    </a:prstGeom>
                    <a:noFill/>
                    <a:ln w="9525">
                      <a:noFill/>
                      <a:headEnd/>
                      <a:tailEnd/>
                    </a:ln>
                  </pic:spPr>
                </pic:pic>
              </a:graphicData>
            </a:graphic>
          </wp:inline>
        </w:drawing>
      </w:r>
    </w:p>
    <w:p>
      <w:pPr>
        <w:pStyle w:val="a0"/>
      </w:pPr>
      <w:r>
        <w:drawing>
          <wp:inline>
            <wp:extent cx="5727700" cy="2863850"/>
            <wp:effectExtent b="0" l="0" r="0" t="0"/>
            <wp:docPr descr="image" title="" id="73" name="Picture"/>
            <a:graphic>
              <a:graphicData uri="http://schemas.openxmlformats.org/drawingml/2006/picture">
                <pic:pic>
                  <pic:nvPicPr>
                    <pic:cNvPr descr="outputs/87placebo.pdf" id="74" name="Picture"/>
                    <pic:cNvPicPr>
                      <a:picLocks noChangeArrowheads="1" noChangeAspect="1"/>
                    </pic:cNvPicPr>
                  </pic:nvPicPr>
                  <pic:blipFill>
                    <a:blip r:embed="rId72"/>
                    <a:stretch>
                      <a:fillRect/>
                    </a:stretch>
                  </pic:blipFill>
                  <pic:spPr bwMode="auto">
                    <a:xfrm>
                      <a:off x="0" y="0"/>
                      <a:ext cx="5727700" cy="2863850"/>
                    </a:xfrm>
                    <a:prstGeom prst="rect">
                      <a:avLst/>
                    </a:prstGeom>
                    <a:noFill/>
                    <a:ln w="9525">
                      <a:noFill/>
                      <a:headEnd/>
                      <a:tailEnd/>
                    </a:ln>
                  </pic:spPr>
                </pic:pic>
              </a:graphicData>
            </a:graphic>
          </wp:inline>
        </w:drawing>
      </w:r>
    </w:p>
    <w:p>
      <w:pPr>
        <w:pStyle w:val="a0"/>
      </w:pPr>
      <w:r>
        <w:drawing>
          <wp:inline>
            <wp:extent cx="5727700" cy="2863850"/>
            <wp:effectExtent b="0" l="0" r="0" t="0"/>
            <wp:docPr descr="image" title="" id="76" name="Picture"/>
            <a:graphic>
              <a:graphicData uri="http://schemas.openxmlformats.org/drawingml/2006/picture">
                <pic:pic>
                  <pic:nvPicPr>
                    <pic:cNvPr descr="outputs/98placebo.pdf" id="77" name="Picture"/>
                    <pic:cNvPicPr>
                      <a:picLocks noChangeArrowheads="1" noChangeAspect="1"/>
                    </pic:cNvPicPr>
                  </pic:nvPicPr>
                  <pic:blipFill>
                    <a:blip r:embed="rId75"/>
                    <a:stretch>
                      <a:fillRect/>
                    </a:stretch>
                  </pic:blipFill>
                  <pic:spPr bwMode="auto">
                    <a:xfrm>
                      <a:off x="0" y="0"/>
                      <a:ext cx="5727700" cy="2863850"/>
                    </a:xfrm>
                    <a:prstGeom prst="rect">
                      <a:avLst/>
                    </a:prstGeom>
                    <a:noFill/>
                    <a:ln w="9525">
                      <a:noFill/>
                      <a:headEnd/>
                      <a:tailEnd/>
                    </a:ln>
                  </pic:spPr>
                </pic:pic>
              </a:graphicData>
            </a:graphic>
          </wp:inline>
        </w:drawing>
      </w:r>
    </w:p>
    <w:p>
      <w:pPr>
        <w:pStyle w:val="a0"/>
      </w:pPr>
      <w:bookmarkStart w:id="78" w:name="tab:variables"/>
      <w:r>
        <w:t xml:space="preserve">[tab:variables]</w:t>
      </w:r>
      <w:bookmarkEnd w:id="78"/>
    </w:p>
    <w:p>
      <w:pPr>
        <w:pStyle w:val="a0"/>
      </w:pPr>
      <w:r>
        <w:drawing>
          <wp:inline>
            <wp:extent cx="5727700" cy="3818466"/>
            <wp:effectExtent b="0" l="0" r="0" t="0"/>
            <wp:docPr descr="image" title="" id="80" name="Picture"/>
            <a:graphic>
              <a:graphicData uri="http://schemas.openxmlformats.org/drawingml/2006/picture">
                <pic:pic>
                  <pic:nvPicPr>
                    <pic:cNvPr descr="outputs/elbow.pdf" id="81" name="Picture"/>
                    <pic:cNvPicPr>
                      <a:picLocks noChangeArrowheads="1" noChangeAspect="1"/>
                    </pic:cNvPicPr>
                  </pic:nvPicPr>
                  <pic:blipFill>
                    <a:blip r:embed="rId79"/>
                    <a:stretch>
                      <a:fillRect/>
                    </a:stretch>
                  </pic:blipFill>
                  <pic:spPr bwMode="auto">
                    <a:xfrm>
                      <a:off x="0" y="0"/>
                      <a:ext cx="5727700" cy="3818466"/>
                    </a:xfrm>
                    <a:prstGeom prst="rect">
                      <a:avLst/>
                    </a:prstGeom>
                    <a:noFill/>
                    <a:ln w="9525">
                      <a:noFill/>
                      <a:headEnd/>
                      <a:tailEnd/>
                    </a:ln>
                  </pic:spPr>
                </pic:pic>
              </a:graphicData>
            </a:graphic>
          </wp:inline>
        </w:drawing>
      </w:r>
    </w:p>
    <w:p>
      <w:pPr>
        <w:pStyle w:val="a0"/>
      </w:pPr>
      <w:r>
        <w:t xml:space="preserve">[a]</w:t>
      </w:r>
      <w:r>
        <w:br/>
      </w:r>
    </w:p>
    <w:bookmarkEnd w:id="82"/>
    <w:bookmarkStart w:id="84" w:name="secS4"/>
    <w:p>
      <w:pPr>
        <w:pStyle w:val="1"/>
      </w:pPr>
      <w:r>
        <w:rPr>
          <w:rStyle w:val="SectionNumber"/>
        </w:rPr>
        <w:t xml:space="preserve">8</w:t>
      </w:r>
      <w:r>
        <w:tab/>
      </w:r>
      <w:r>
        <w:t xml:space="preserve">Appendix C: Optimization model for water use</w:t>
      </w:r>
    </w:p>
    <w:bookmarkStart w:id="83" w:name="setup"/>
    <w:p>
      <w:pPr>
        <w:pStyle w:val="4"/>
      </w:pPr>
      <w:r>
        <w:rPr>
          <w:rStyle w:val="SectionNumber"/>
        </w:rPr>
        <w:t xml:space="preserve">8.0.0.1</w:t>
      </w:r>
      <w:r>
        <w:tab/>
      </w:r>
      <w:r>
        <w:t xml:space="preserve">Setup</w:t>
      </w:r>
    </w:p>
    <w:p>
      <w:pPr>
        <w:pStyle w:val="FirstParagraph"/>
      </w:pPr>
      <w:r>
        <w:t xml:space="preserve">To understand the mechanisms through which the SES structure impacts provincial water use, we developed a dynamic marginal benefits analysis to analyze how institutional mismatch could have led to the changes in water use, especially among provinces with high incentives for excess water use. Specifically, we modeled individual provincial decision-making in water resources before quota execution.</w:t>
      </w:r>
    </w:p>
    <w:p>
      <w:pPr>
        <w:pStyle w:val="a0"/>
      </w:pPr>
      <w:r>
        <w:t xml:space="preserve">We proposed three intuitive and general assumptions:</w:t>
      </w:r>
    </w:p>
    <w:p>
      <w:pPr>
        <w:pStyle w:val="a0"/>
      </w:pPr>
      <w:r>
        <w:rPr>
          <w:bCs/>
          <w:b/>
        </w:rPr>
        <w:t xml:space="preserve">Assumption 4</w:t>
      </w:r>
      <w:r>
        <w:t xml:space="preserve">.</w:t>
      </w:r>
      <w:r>
        <w:t xml:space="preserve"> </w:t>
      </w:r>
      <w:r>
        <w:t xml:space="preserve"> </w:t>
      </w:r>
      <w:r>
        <w:rPr>
          <w:iCs/>
          <w:i/>
        </w:rPr>
        <w:t xml:space="preserve">(Water-dependent production) Because of irreplaceability, water is assumed to be the only input of the production function with two types of production efficiency. The production function of a high-incentive province is</w:t>
      </w:r>
      <w:r>
        <w:rPr>
          <w:iCs/>
          <w:i/>
        </w:rPr>
        <w:t xml:space="preserve"> </w:t>
      </w:r>
      <m:oMath>
        <m:sSub>
          <m:e>
            <m:r>
              <m:t>A</m:t>
            </m:r>
          </m:e>
          <m:sub>
            <m:r>
              <m:t>H</m:t>
            </m:r>
          </m:sub>
        </m:sSub>
        <m:r>
          <m:t>F</m:t>
        </m:r>
        <m:d>
          <m:dPr>
            <m:begChr m:val="("/>
            <m:endChr m:val=")"/>
            <m:sepChr m:val=""/>
            <m:grow/>
          </m:dPr>
          <m:e>
            <m:r>
              <m:t>x</m:t>
            </m:r>
          </m:e>
        </m:d>
      </m:oMath>
      <w:r>
        <w:rPr>
          <w:iCs/>
          <w:i/>
        </w:rPr>
        <w:t xml:space="preserve">, and the production function of a low-incentive province is</w:t>
      </w:r>
      <w:r>
        <w:rPr>
          <w:iCs/>
          <w:i/>
        </w:rPr>
        <w:t xml:space="preserve"> </w:t>
      </w:r>
      <m:oMath>
        <m:sSub>
          <m:e>
            <m:r>
              <m:t>A</m:t>
            </m:r>
          </m:e>
          <m:sub>
            <m:r>
              <m:t>L</m:t>
            </m:r>
          </m:sub>
        </m:sSub>
        <m:r>
          <m:t>F</m:t>
        </m:r>
        <m:d>
          <m:dPr>
            <m:begChr m:val="("/>
            <m:endChr m:val=")"/>
            <m:sepChr m:val=""/>
            <m:grow/>
          </m:dPr>
          <m:e>
            <m:r>
              <m:t>x</m:t>
            </m:r>
          </m:e>
        </m:d>
      </m:oMath>
      <w:r>
        <w:rPr>
          <w:iCs/>
          <w:i/>
        </w:rPr>
        <w:t xml:space="preserve"> </w:t>
      </w:r>
      <w:r>
        <w:rPr>
          <w:iCs/>
          <w:i/>
        </w:rPr>
        <w:t xml:space="preserve">(</w:t>
      </w:r>
      <m:oMath>
        <m:sSub>
          <m:e>
            <m:r>
              <m:t>A</m:t>
            </m:r>
          </m:e>
          <m:sub>
            <m:r>
              <m:t>H</m:t>
            </m:r>
          </m:sub>
        </m:sSub>
        <m:r>
          <m:rPr>
            <m:sty m:val="p"/>
          </m:rPr>
          <m:t>&gt;</m:t>
        </m:r>
        <m:sSub>
          <m:e>
            <m:r>
              <m:t>A</m:t>
            </m:r>
          </m:e>
          <m:sub>
            <m:r>
              <m:t>L</m:t>
            </m:r>
          </m:sub>
        </m:sSub>
      </m:oMath>
      <w:r>
        <w:rPr>
          <w:iCs/>
          <w:i/>
        </w:rPr>
        <w:t xml:space="preserve">). F(x) is continuous,</w:t>
      </w:r>
      <w:r>
        <w:rPr>
          <w:iCs/>
          <w:i/>
        </w:rPr>
        <w:t xml:space="preserve"> </w:t>
      </w:r>
      <m:oMath>
        <m:r>
          <m:t>F</m:t>
        </m:r>
        <m:r>
          <m:rPr>
            <m:sty m:val="p"/>
          </m:rPr>
          <m:t>′</m:t>
        </m:r>
        <m:d>
          <m:dPr>
            <m:begChr m:val="("/>
            <m:endChr m:val=")"/>
            <m:sepChr m:val=""/>
            <m:grow/>
          </m:dPr>
          <m:e>
            <m:r>
              <m:t>0</m:t>
            </m:r>
          </m:e>
        </m:d>
        <m:r>
          <m:rPr>
            <m:sty m:val="p"/>
          </m:rPr>
          <m:t>=</m:t>
        </m:r>
        <m:r>
          <m:rPr>
            <m:sty m:val="p"/>
          </m:rPr>
          <m:t>∞</m:t>
        </m:r>
      </m:oMath>
      <w:r>
        <w:rPr>
          <w:iCs/>
          <w:i/>
        </w:rPr>
        <w:t xml:space="preserve">,</w:t>
      </w:r>
      <w:r>
        <w:rPr>
          <w:iCs/>
          <w:i/>
        </w:rPr>
        <w:t xml:space="preserve"> </w:t>
      </w:r>
      <m:oMath>
        <m:r>
          <m:t>F</m:t>
        </m:r>
        <m:r>
          <m:rPr>
            <m:sty m:val="p"/>
          </m:rPr>
          <m:t>′</m:t>
        </m:r>
        <m:d>
          <m:dPr>
            <m:begChr m:val="("/>
            <m:endChr m:val=")"/>
            <m:sepChr m:val=""/>
            <m:grow/>
          </m:dPr>
          <m:e>
            <m:r>
              <m:rPr>
                <m:sty m:val="p"/>
              </m:rPr>
              <m:t>∞</m:t>
            </m:r>
          </m:e>
        </m:d>
        <m:r>
          <m:rPr>
            <m:sty m:val="p"/>
          </m:rPr>
          <m:t>=</m:t>
        </m:r>
        <m:r>
          <m:t>0</m:t>
        </m:r>
      </m:oMath>
      <w:r>
        <w:rPr>
          <w:iCs/>
          <w:i/>
        </w:rPr>
        <w:t xml:space="preserve">,</w:t>
      </w:r>
      <w:r>
        <w:rPr>
          <w:iCs/>
          <w:i/>
        </w:rPr>
        <w:t xml:space="preserve"> </w:t>
      </w:r>
      <m:oMath>
        <m:r>
          <m:t>F</m:t>
        </m:r>
        <m:r>
          <m:rPr>
            <m:sty m:val="p"/>
          </m:rPr>
          <m:t>′</m:t>
        </m:r>
        <m:d>
          <m:dPr>
            <m:begChr m:val="("/>
            <m:endChr m:val=")"/>
            <m:sepChr m:val=""/>
            <m:grow/>
          </m:dPr>
          <m:e>
            <m:r>
              <m:t>x</m:t>
            </m:r>
          </m:e>
        </m:d>
        <m:r>
          <m:rPr>
            <m:sty m:val="p"/>
          </m:rPr>
          <m:t>&gt;</m:t>
        </m:r>
        <m:r>
          <m:t>0</m:t>
        </m:r>
      </m:oMath>
      <w:r>
        <w:rPr>
          <w:iCs/>
          <w:i/>
        </w:rPr>
        <w:t xml:space="preserve">, and</w:t>
      </w:r>
      <w:r>
        <w:rPr>
          <w:iCs/>
          <w:i/>
        </w:rPr>
        <w:t xml:space="preserve"> </w:t>
      </w:r>
      <m:oMath>
        <m:r>
          <m:t>F</m:t>
        </m:r>
        <m:r>
          <m:rPr>
            <m:sty m:val="p"/>
          </m:rPr>
          <m:t>″</m:t>
        </m:r>
        <m:d>
          <m:dPr>
            <m:begChr m:val="("/>
            <m:endChr m:val=")"/>
            <m:sepChr m:val=""/>
            <m:grow/>
          </m:dPr>
          <m:e>
            <m:r>
              <m:t>x</m:t>
            </m:r>
          </m:e>
        </m:d>
        <m:r>
          <m:rPr>
            <m:sty m:val="p"/>
          </m:rPr>
          <m:t>&lt;</m:t>
        </m:r>
        <m:r>
          <m:t>0</m:t>
        </m:r>
      </m:oMath>
      <w:r>
        <w:rPr>
          <w:iCs/>
          <w:i/>
        </w:rPr>
        <w:t xml:space="preserve">. The production output is under perfect competition, with a constant unit price of</w:t>
      </w:r>
      <w:r>
        <w:rPr>
          <w:iCs/>
          <w:i/>
        </w:rPr>
        <w:t xml:space="preserve"> </w:t>
      </w:r>
      <m:oMath>
        <m:r>
          <m:t>P</m:t>
        </m:r>
      </m:oMath>
      <w:r>
        <w:rPr>
          <w:iCs/>
          <w:i/>
        </w:rPr>
        <w:t xml:space="preserve">.</w:t>
      </w:r>
    </w:p>
    <w:p>
      <w:pPr>
        <w:pStyle w:val="a0"/>
      </w:pPr>
      <w:r>
        <w:rPr>
          <w:bCs/>
          <w:b/>
        </w:rPr>
        <w:t xml:space="preserve">Assumption 5</w:t>
      </w:r>
      <w:r>
        <w:t xml:space="preserve">.</w:t>
      </w:r>
      <w:r>
        <w:t xml:space="preserve"> </w:t>
      </w:r>
      <w:r>
        <w:t xml:space="preserve"> </w:t>
      </w:r>
      <w:r>
        <w:rPr>
          <w:iCs/>
          <w:i/>
        </w:rPr>
        <w:t xml:space="preserve">(Ecological cost allocation) Under the assumption that the ecology is a single entity for the whole basin involved in</w:t>
      </w:r>
      <w:r>
        <w:rPr>
          <w:iCs/>
          <w:i/>
        </w:rPr>
        <w:t xml:space="preserve"> </w:t>
      </w:r>
      <m:oMath>
        <m:r>
          <m:t>N</m:t>
        </m:r>
      </m:oMath>
      <w:r>
        <w:rPr>
          <w:iCs/>
          <w:i/>
        </w:rPr>
        <w:t xml:space="preserve"> </w:t>
      </w:r>
      <w:r>
        <w:rPr>
          <w:iCs/>
          <w:i/>
        </w:rPr>
        <w:t xml:space="preserve">provinces, the cost of water use is equally assigned to each province under any water use. The unit cost of water is a constant</w:t>
      </w:r>
      <w:r>
        <w:rPr>
          <w:iCs/>
          <w:i/>
        </w:rPr>
        <w:t xml:space="preserve"> </w:t>
      </w:r>
      <m:oMath>
        <m:r>
          <m:t>C</m:t>
        </m:r>
      </m:oMath>
      <w:r>
        <w:rPr>
          <w:iCs/>
          <w:i/>
        </w:rPr>
        <w:t xml:space="preserve">.</w:t>
      </w:r>
    </w:p>
    <w:p>
      <w:pPr>
        <w:pStyle w:val="a0"/>
      </w:pPr>
      <w:r>
        <w:rPr>
          <w:bCs/>
          <w:b/>
        </w:rPr>
        <w:t xml:space="preserve">Assumption 6</w:t>
      </w:r>
      <w:r>
        <w:t xml:space="preserve">.</w:t>
      </w:r>
      <w:r>
        <w:t xml:space="preserve"> </w:t>
      </w:r>
      <w:r>
        <w:t xml:space="preserve"> </w:t>
      </w:r>
      <w:r>
        <w:rPr>
          <w:iCs/>
          <w:i/>
        </w:rPr>
        <w:t xml:space="preserve">(Multi-period settings) There are infinite periods with a constant discount factor</w:t>
      </w:r>
      <w:r>
        <w:rPr>
          <w:iCs/>
          <w:i/>
        </w:rPr>
        <w:t xml:space="preserve"> </w:t>
      </w:r>
      <m:oMath>
        <m:r>
          <m:t>β</m:t>
        </m:r>
      </m:oMath>
      <w:r>
        <w:rPr>
          <w:iCs/>
          <w:i/>
        </w:rPr>
        <w:t xml:space="preserve"> </w:t>
      </w:r>
      <w:r>
        <w:rPr>
          <w:iCs/>
          <w:i/>
        </w:rPr>
        <w:t xml:space="preserve">lying in (0,1). There is no cross-period smoothing in water use.</w:t>
      </w:r>
    </w:p>
    <w:p>
      <w:pPr>
        <w:pStyle w:val="a0"/>
      </w:pPr>
      <w:r>
        <w:t xml:space="preserve">Under the above assumptions, we can demonstrate three cases to simulate the water use decision-making and water use patterns in a whole basin.</w:t>
      </w:r>
    </w:p>
    <w:p>
      <w:pPr>
        <w:pStyle w:val="a0"/>
      </w:pPr>
      <w:r>
        <w:t xml:space="preserve">Under the above assumptions, we can demonstrate three cases consisting of local governments in a whole basin to simulate their water use decision-making and water use patterns.</w:t>
      </w:r>
    </w:p>
    <w:p>
      <w:pPr>
        <w:pStyle w:val="a0"/>
      </w:pPr>
      <w:r>
        <w:rPr>
          <w:bCs/>
          <w:b/>
        </w:rPr>
        <w:t xml:space="preserve">Case 1</w:t>
      </w:r>
      <w:r>
        <w:t xml:space="preserve">.</w:t>
      </w:r>
      <w:r>
        <w:t xml:space="preserve"> </w:t>
      </w:r>
      <w:r>
        <w:t xml:space="preserve"> </w:t>
      </w:r>
      <w:r>
        <w:rPr>
          <w:iCs/>
          <w:i/>
        </w:rPr>
        <w:t xml:space="preserve">Dentralized decision: This case corresponds to a situation without any high-level water allocation institution.</w:t>
      </w:r>
    </w:p>
    <w:p>
      <w:pPr>
        <w:pStyle w:val="a0"/>
      </w:pPr>
      <w:r>
        <w:rPr>
          <w:iCs/>
          <w:i/>
        </w:rPr>
        <w:t xml:space="preserve">When each province independently decides on its water use, the optimal water use</w:t>
      </w:r>
      <w:r>
        <w:rPr>
          <w:iCs/>
          <w:i/>
        </w:rPr>
        <w:t xml:space="preserve"> </w:t>
      </w:r>
      <m:oMath>
        <m:sSubSup>
          <m:e>
            <m:r>
              <m:t>x</m:t>
            </m:r>
          </m:e>
          <m:sub>
            <m:r>
              <m:t>i</m:t>
            </m:r>
          </m:sub>
          <m:sup>
            <m:r>
              <m:rPr>
                <m:sty m:val="p"/>
              </m:rPr>
              <m:t>*</m:t>
            </m:r>
          </m:sup>
        </m:sSubSup>
      </m:oMath>
      <w:r>
        <w:rPr>
          <w:iCs/>
          <w:i/>
        </w:rPr>
        <w:t xml:space="preserve"> </w:t>
      </w:r>
      <w:r>
        <w:rPr>
          <w:iCs/>
          <w:i/>
        </w:rPr>
        <w:t xml:space="preserve">in province</w:t>
      </w:r>
      <w:r>
        <w:rPr>
          <w:iCs/>
          <w:i/>
        </w:rPr>
        <w:t xml:space="preserve"> </w:t>
      </w:r>
      <m:oMath>
        <m:r>
          <m:t>i</m:t>
        </m:r>
      </m:oMath>
      <w:r>
        <w:rPr>
          <w:iCs/>
          <w:i/>
        </w:rPr>
        <w:t xml:space="preserve"> </w:t>
      </w:r>
      <w:r>
        <w:rPr>
          <w:iCs/>
          <w:i/>
        </w:rPr>
        <w:t xml:space="preserve">satisfies:</w:t>
      </w:r>
    </w:p>
    <w:p>
      <w:pPr>
        <w:pStyle w:val="a0"/>
      </w:pPr>
      <m:oMath>
        <m:r>
          <m:t>A</m:t>
        </m:r>
        <m:r>
          <m:t>F</m:t>
        </m:r>
        <m:r>
          <m:rPr>
            <m:sty m:val="p"/>
          </m:rPr>
          <m:t>′</m:t>
        </m:r>
        <m:d>
          <m:dPr>
            <m:begChr m:val="("/>
            <m:endChr m:val=")"/>
            <m:sepChr m:val=""/>
            <m:grow/>
          </m:dPr>
          <m:e>
            <m:r>
              <m:t>x</m:t>
            </m:r>
          </m:e>
        </m:d>
        <m:r>
          <m:rPr>
            <m:sty m:val="p"/>
          </m:rPr>
          <m:t>=</m:t>
        </m:r>
        <m:f>
          <m:fPr>
            <m:type m:val="bar"/>
          </m:fPr>
          <m:num>
            <m:r>
              <m:t>C</m:t>
            </m:r>
          </m:num>
          <m:den>
            <m:r>
              <m:t>P</m:t>
            </m:r>
          </m:den>
        </m:f>
      </m:oMath>
      <w:r>
        <w:rPr>
          <w:iCs/>
          <w:i/>
        </w:rPr>
        <w:t xml:space="preserve">,</w:t>
      </w:r>
    </w:p>
    <w:p>
      <w:pPr>
        <w:pStyle w:val="a0"/>
      </w:pPr>
      <w:r>
        <w:rPr>
          <w:iCs/>
          <w:i/>
        </w:rPr>
        <w:t xml:space="preserve">where</w:t>
      </w:r>
      <w:r>
        <w:rPr>
          <w:iCs/>
          <w:i/>
        </w:rPr>
        <w:t xml:space="preserve"> </w:t>
      </w:r>
      <m:oMath>
        <m:sSub>
          <m:e>
            <m:r>
              <m:t>A</m:t>
            </m:r>
          </m:e>
          <m:sub>
            <m:r>
              <m:t>H</m:t>
            </m:r>
          </m:sub>
        </m:sSub>
      </m:oMath>
      <w:r>
        <w:rPr>
          <w:iCs/>
          <w:i/>
        </w:rPr>
        <w:t xml:space="preserve"> </w:t>
      </w:r>
      <w:r>
        <w:rPr>
          <w:iCs/>
          <w:i/>
        </w:rPr>
        <w:t xml:space="preserve">and</w:t>
      </w:r>
      <w:r>
        <w:rPr>
          <w:iCs/>
          <w:i/>
        </w:rPr>
        <w:t xml:space="preserve"> </w:t>
      </w:r>
      <m:oMath>
        <m:sSub>
          <m:e>
            <m:r>
              <m:t>A</m:t>
            </m:r>
          </m:e>
          <m:sub>
            <m:r>
              <m:t>L</m:t>
            </m:r>
          </m:sub>
        </m:sSub>
      </m:oMath>
      <w:r>
        <w:rPr>
          <w:iCs/>
          <w:i/>
        </w:rPr>
        <w:t xml:space="preserve"> </w:t>
      </w:r>
      <w:r>
        <w:rPr>
          <w:iCs/>
          <w:i/>
        </w:rPr>
        <w:t xml:space="preserve">denote high-incentive and low-incentive provinces, respectively.</w:t>
      </w:r>
    </w:p>
    <w:p>
      <w:pPr>
        <w:pStyle w:val="a0"/>
      </w:pPr>
      <w:r>
        <w:rPr>
          <w:iCs/>
          <w:i/>
        </w:rPr>
        <w:t xml:space="preserve">When the decisions in different periods are independent, for</w:t>
      </w:r>
      <w:r>
        <w:rPr>
          <w:iCs/>
          <w:i/>
        </w:rPr>
        <w:t xml:space="preserve"> </w:t>
      </w:r>
      <m:oMath>
        <m:r>
          <m:t>t</m:t>
        </m:r>
      </m:oMath>
      <w:r>
        <w:rPr>
          <w:iCs/>
          <w:i/>
        </w:rPr>
        <w:t xml:space="preserve"> </w:t>
      </w:r>
      <w:r>
        <w:rPr>
          <w:iCs/>
          <w:i/>
        </w:rPr>
        <w:t xml:space="preserve">=</w:t>
      </w:r>
      <w:r>
        <w:rPr>
          <w:iCs/>
          <w:i/>
        </w:rPr>
        <w:t xml:space="preserve"> </w:t>
      </w:r>
      <m:oMath>
        <m:r>
          <m:t>0</m:t>
        </m:r>
        <m:r>
          <m:rPr>
            <m:sty m:val="p"/>
          </m:rPr>
          <m:t>,</m:t>
        </m:r>
        <m:r>
          <m:t>1</m:t>
        </m:r>
        <m:r>
          <m:rPr>
            <m:sty m:val="p"/>
          </m:rPr>
          <m:t>,</m:t>
        </m:r>
        <m:r>
          <m:t>2</m:t>
        </m:r>
        <m:r>
          <m:rPr>
            <m:sty m:val="p"/>
          </m:rPr>
          <m:t>⋯</m:t>
        </m:r>
      </m:oMath>
      <w:r>
        <w:rPr>
          <w:iCs/>
          <w:i/>
        </w:rPr>
        <w:t xml:space="preserve">, then:</w:t>
      </w:r>
    </w:p>
    <w:p>
      <w:pPr>
        <w:pStyle w:val="a0"/>
      </w:pPr>
      <m:oMath>
        <m:sSubSup>
          <m:e>
            <m:r>
              <m:t>x</m:t>
            </m:r>
          </m:e>
          <m:sub>
            <m:r>
              <m:t>i</m:t>
            </m:r>
            <m:r>
              <m:t>t</m:t>
            </m:r>
          </m:sub>
          <m:sup>
            <m:r>
              <m:rPr>
                <m:sty m:val="p"/>
              </m:rPr>
              <m:t>*</m:t>
            </m:r>
          </m:sup>
        </m:sSubSup>
        <m:r>
          <m:rPr>
            <m:sty m:val="p"/>
          </m:rPr>
          <m:t>=</m:t>
        </m:r>
        <m:sSubSup>
          <m:e>
            <m:r>
              <m:t>x</m:t>
            </m:r>
          </m:e>
          <m:sub>
            <m:r>
              <m:t>i</m:t>
            </m:r>
          </m:sub>
          <m:sup>
            <m:r>
              <m:rPr>
                <m:sty m:val="p"/>
              </m:rPr>
              <m:t>*</m:t>
            </m:r>
          </m:sup>
        </m:sSubSup>
      </m:oMath>
    </w:p>
    <w:p>
      <w:pPr>
        <w:pStyle w:val="a0"/>
      </w:pPr>
      <w:r>
        <w:rPr>
          <w:bCs/>
          <w:b/>
        </w:rPr>
        <w:t xml:space="preserve">Case 2</w:t>
      </w:r>
      <w:r>
        <w:t xml:space="preserve">.</w:t>
      </w:r>
      <w:r>
        <w:t xml:space="preserve"> </w:t>
      </w:r>
      <w:r>
        <w:t xml:space="preserve"> </w:t>
      </w:r>
      <w:r>
        <w:rPr>
          <w:iCs/>
          <w:i/>
        </w:rPr>
        <w:t xml:space="preserve">Mismatched institution: This case corresponds to an SES structure where fragmented stakeholders are linked to unified river reaches.</w:t>
      </w:r>
    </w:p>
    <w:p>
      <w:pPr>
        <w:pStyle w:val="a0"/>
      </w:pPr>
      <w:r>
        <w:rPr>
          <w:iCs/>
          <w:i/>
        </w:rPr>
        <w:t xml:space="preserve">The water quota is determined at</w:t>
      </w:r>
      <w:r>
        <w:rPr>
          <w:iCs/>
          <w:i/>
        </w:rPr>
        <w:t xml:space="preserve"> </w:t>
      </w:r>
      <m:oMath>
        <m:r>
          <m:t>t</m:t>
        </m:r>
      </m:oMath>
      <w:r>
        <w:rPr>
          <w:iCs/>
          <w:i/>
        </w:rPr>
        <w:t xml:space="preserve">=0 and imposed in</w:t>
      </w:r>
      <w:r>
        <w:rPr>
          <w:iCs/>
          <w:i/>
        </w:rPr>
        <w:t xml:space="preserve"> </w:t>
      </w:r>
      <m:oMath>
        <m:r>
          <m:t>t</m:t>
        </m:r>
      </m:oMath>
      <w:r>
        <w:rPr>
          <w:iCs/>
          <w:i/>
        </w:rPr>
        <w:t xml:space="preserve">=1,2,... Under the subjective expectation of each province that current water use may influence the future water allocation determined by high-level authorities, the total quota is a constant denoted as Q, and the quota for province</w:t>
      </w:r>
      <w:r>
        <w:rPr>
          <w:iCs/>
          <w:i/>
        </w:rPr>
        <w:t xml:space="preserve"> </w:t>
      </w:r>
      <m:oMath>
        <m:r>
          <m:t>i</m:t>
        </m:r>
      </m:oMath>
      <w:r>
        <w:rPr>
          <w:iCs/>
          <w:i/>
        </w:rPr>
        <w:t xml:space="preserve"> </w:t>
      </w:r>
      <w:r>
        <w:rPr>
          <w:iCs/>
          <w:i/>
        </w:rPr>
        <w:t xml:space="preserve">is determined in a proportional form:</w:t>
      </w:r>
    </w:p>
    <w:p>
      <w:pPr>
        <w:pStyle w:val="a0"/>
      </w:pPr>
      <m:oMath>
        <m:sSub>
          <m:e>
            <m:r>
              <m:t>Q</m:t>
            </m:r>
          </m:e>
          <m:sub>
            <m:r>
              <m:t>i</m:t>
            </m:r>
          </m:sub>
        </m:sSub>
        <m:r>
          <m:rPr>
            <m:sty m:val="p"/>
          </m:rPr>
          <m:t>=</m:t>
        </m:r>
        <m:r>
          <m:t>Q</m:t>
        </m:r>
        <m:r>
          <m:rPr>
            <m:sty m:val="p"/>
          </m:rPr>
          <m:t>⋅</m:t>
        </m:r>
        <m:f>
          <m:fPr>
            <m:type m:val="bar"/>
          </m:fPr>
          <m:num>
            <m:sSub>
              <m:e>
                <m:r>
                  <m:t>x</m:t>
                </m:r>
              </m:e>
              <m:sub>
                <m:r>
                  <m:t>i</m:t>
                </m:r>
              </m:sub>
            </m:sSub>
          </m:num>
          <m:den>
            <m:sSub>
              <m:e>
                <m:r>
                  <m:t>x</m:t>
                </m:r>
              </m:e>
              <m:sub>
                <m:r>
                  <m:t>i</m:t>
                </m:r>
              </m:sub>
            </m:sSub>
            <m:r>
              <m:rPr>
                <m:sty m:val="p"/>
              </m:rPr>
              <m:t>+</m:t>
            </m:r>
            <m:m>
              <m:mPr>
                <m:baseJc m:val="center"/>
                <m:plcHide m:val="1"/>
                <m:mcs>
                  <m:mc>
                    <m:mcPr>
                      <m:mcJc m:val="center"/>
                      <m:count m:val="1"/>
                    </m:mcPr>
                  </m:mc>
                </m:mcs>
              </m:mPr>
              <m:mr>
                <m:e>
                  <m:r>
                    <m:rPr>
                      <m:sty m:val="p"/>
                    </m:rPr>
                    <m:t>∑</m:t>
                  </m:r>
                  <m:sSub>
                    <m:e>
                      <m:r>
                        <m:t>x</m:t>
                      </m:r>
                    </m:e>
                    <m:sub>
                      <m:r>
                        <m:rPr>
                          <m:sty m:val="p"/>
                        </m:rPr>
                        <m:t>−</m:t>
                      </m:r>
                      <m:r>
                        <m:t>i</m:t>
                      </m:r>
                    </m:sub>
                  </m:sSub>
                </m:e>
              </m:mr>
            </m:m>
          </m:den>
        </m:f>
      </m:oMath>
      <w:r>
        <w:rPr>
          <w:iCs/>
          <w:i/>
        </w:rPr>
        <w:t xml:space="preserve">.</w:t>
      </w:r>
    </w:p>
    <w:p>
      <w:pPr>
        <w:pStyle w:val="a0"/>
      </w:pPr>
      <w:r>
        <w:rPr>
          <w:iCs/>
          <w:i/>
        </w:rPr>
        <w:t xml:space="preserve">Under a scenario with decentralized decision-making with a water quota, given other provinces’ decisions on water use remain unchanged, the optimal water use of province</w:t>
      </w:r>
      <w:r>
        <w:rPr>
          <w:iCs/>
          <w:i/>
        </w:rPr>
        <w:t xml:space="preserve"> </w:t>
      </w:r>
      <m:oMath>
        <m:r>
          <m:t>i</m:t>
        </m:r>
      </m:oMath>
      <w:r>
        <w:rPr>
          <w:iCs/>
          <w:i/>
        </w:rPr>
        <w:t xml:space="preserve"> </w:t>
      </w:r>
      <w:r>
        <w:rPr>
          <w:iCs/>
          <w:i/>
        </w:rPr>
        <w:t xml:space="preserve">at</w:t>
      </w:r>
      <w:r>
        <w:rPr>
          <w:iCs/>
          <w:i/>
        </w:rPr>
        <w:t xml:space="preserve"> </w:t>
      </w:r>
      <m:oMath>
        <m:r>
          <m:t>t</m:t>
        </m:r>
      </m:oMath>
      <w:r>
        <w:rPr>
          <w:iCs/>
          <w:i/>
        </w:rPr>
        <w:t xml:space="preserve">=0 satisfies:</w:t>
      </w:r>
    </w:p>
    <w:p>
      <w:pPr>
        <w:pStyle w:val="a0"/>
      </w:pPr>
      <m:oMath>
        <m:r>
          <m:t>A</m:t>
        </m:r>
        <m:r>
          <m:t>F</m:t>
        </m:r>
        <m:r>
          <m:rPr>
            <m:sty m:val="p"/>
          </m:rPr>
          <m:t>′</m:t>
        </m:r>
        <m:d>
          <m:dPr>
            <m:begChr m:val="("/>
            <m:endChr m:val=")"/>
            <m:sepChr m:val=""/>
            <m:grow/>
          </m:dPr>
          <m:e>
            <m:sSub>
              <m:e>
                <m:r>
                  <m:t>x</m:t>
                </m:r>
              </m:e>
              <m:sub>
                <m:r>
                  <m:t>i</m:t>
                </m:r>
                <m:r>
                  <m:rPr>
                    <m:sty m:val="p"/>
                  </m:rPr>
                  <m:t>,</m:t>
                </m:r>
                <m:r>
                  <m:t>0</m:t>
                </m:r>
              </m:sub>
            </m:sSub>
          </m:e>
        </m:d>
        <m:r>
          <m:rPr>
            <m:sty m:val="p"/>
          </m:rPr>
          <m:t>=</m:t>
        </m:r>
        <m:f>
          <m:fPr>
            <m:type m:val="bar"/>
          </m:fPr>
          <m:num>
            <m:r>
              <m:t>C</m:t>
            </m:r>
          </m:num>
          <m:den>
            <m:r>
              <m:t>P</m:t>
            </m:r>
            <m:r>
              <m:rPr>
                <m:sty m:val="p"/>
              </m:rPr>
              <m:t>⋅</m:t>
            </m:r>
            <m:r>
              <m:t>N</m:t>
            </m:r>
          </m:den>
        </m:f>
        <m:r>
          <m:rPr>
            <m:sty m:val="p"/>
          </m:rPr>
          <m:t>−</m:t>
        </m:r>
        <m:f>
          <m:fPr>
            <m:type m:val="bar"/>
          </m:fPr>
          <m:num>
            <m:r>
              <m:t>β</m:t>
            </m:r>
          </m:num>
          <m:den>
            <m:r>
              <m:t>1</m:t>
            </m:r>
            <m:r>
              <m:rPr>
                <m:sty m:val="p"/>
              </m:rPr>
              <m:t>−</m:t>
            </m:r>
            <m:r>
              <m:t>β</m:t>
            </m:r>
          </m:den>
        </m:f>
        <m:r>
          <m:rPr>
            <m:sty m:val="p"/>
          </m:rPr>
          <m:t>⋅</m:t>
        </m:r>
        <m:r>
          <m:t>A</m:t>
        </m:r>
        <m:r>
          <m:rPr>
            <m:sty m:val="p"/>
          </m:rPr>
          <m:t>⋅</m:t>
        </m:r>
        <m:r>
          <m:t>f</m:t>
        </m:r>
        <m:d>
          <m:dPr>
            <m:begChr m:val="("/>
            <m:endChr m:val=")"/>
            <m:sepChr m:val=""/>
            <m:grow/>
          </m:dPr>
          <m:e>
            <m:r>
              <m:t>Q</m:t>
            </m:r>
            <m:r>
              <m:rPr>
                <m:sty m:val="p"/>
              </m:rPr>
              <m:t>⋅</m:t>
            </m:r>
            <m:f>
              <m:fPr>
                <m:type m:val="bar"/>
              </m:fPr>
              <m:num>
                <m:sSub>
                  <m:e>
                    <m:r>
                      <m:t>x</m:t>
                    </m:r>
                  </m:e>
                  <m:sub>
                    <m:r>
                      <m:t>i</m:t>
                    </m:r>
                    <m:r>
                      <m:rPr>
                        <m:sty m:val="p"/>
                      </m:rPr>
                      <m:t>,</m:t>
                    </m:r>
                    <m:r>
                      <m:t>0</m:t>
                    </m:r>
                  </m:sub>
                </m:sSub>
              </m:num>
              <m:den>
                <m:m>
                  <m:mPr>
                    <m:baseJc m:val="center"/>
                    <m:plcHide m:val="1"/>
                    <m:mcs>
                      <m:mc>
                        <m:mcPr>
                          <m:mcJc m:val="center"/>
                          <m:count m:val="1"/>
                        </m:mcPr>
                      </m:mc>
                    </m:mcs>
                  </m:mPr>
                  <m:mr>
                    <m:e>
                      <m:sSub>
                        <m:e>
                          <m:r>
                            <m:t>x</m:t>
                          </m:r>
                        </m:e>
                        <m:sub>
                          <m:r>
                            <m:t>i</m:t>
                          </m:r>
                          <m:r>
                            <m:rPr>
                              <m:sty m:val="p"/>
                            </m:rPr>
                            <m:t>,</m:t>
                          </m:r>
                          <m:r>
                            <m:t>0</m:t>
                          </m:r>
                        </m:sub>
                      </m:sSub>
                      <m:r>
                        <m:rPr>
                          <m:sty m:val="p"/>
                        </m:rPr>
                        <m:t>+</m:t>
                      </m:r>
                      <m:r>
                        <m:rPr>
                          <m:sty m:val="p"/>
                        </m:rPr>
                        <m:t>∑</m:t>
                      </m:r>
                      <m:sSub>
                        <m:e>
                          <m:r>
                            <m:t>x</m:t>
                          </m:r>
                        </m:e>
                        <m:sub>
                          <m:r>
                            <m:rPr>
                              <m:sty m:val="p"/>
                            </m:rPr>
                            <m:t>−</m:t>
                          </m:r>
                          <m:r>
                            <m:t>i</m:t>
                          </m:r>
                          <m:r>
                            <m:rPr>
                              <m:sty m:val="p"/>
                            </m:rPr>
                            <m:t>,</m:t>
                          </m:r>
                          <m:r>
                            <m:t>0</m:t>
                          </m:r>
                        </m:sub>
                      </m:sSub>
                    </m:e>
                  </m:mr>
                </m:m>
              </m:den>
            </m:f>
          </m:e>
        </m:d>
        <m:r>
          <m:rPr>
            <m:sty m:val="p"/>
          </m:rPr>
          <m:t>⋅</m:t>
        </m:r>
        <m:r>
          <m:t>Q</m:t>
        </m:r>
        <m:r>
          <m:rPr>
            <m:sty m:val="p"/>
          </m:rPr>
          <m:t>⋅</m:t>
        </m:r>
        <m:f>
          <m:fPr>
            <m:type m:val="bar"/>
          </m:fPr>
          <m:num>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num>
          <m:den>
            <m:sSup>
              <m:e>
                <m:d>
                  <m:dPr>
                    <m:begChr m:val="("/>
                    <m:endChr m:val=")"/>
                    <m:sepChr m:val=""/>
                    <m:grow/>
                  </m:dPr>
                  <m:e>
                    <m:m>
                      <m:mPr>
                        <m:baseJc m:val="center"/>
                        <m:plcHide m:val="1"/>
                        <m:mcs>
                          <m:mc>
                            <m:mcPr>
                              <m:mcJc m:val="center"/>
                              <m:count m:val="1"/>
                            </m:mcPr>
                          </m:mc>
                        </m:mcs>
                      </m:mPr>
                      <m:mr>
                        <m:e>
                          <m:sSub>
                            <m:e>
                              <m:r>
                                <m:t>x</m:t>
                              </m:r>
                            </m:e>
                            <m:sub>
                              <m:r>
                                <m:t>i</m:t>
                              </m:r>
                              <m:r>
                                <m:rPr>
                                  <m:sty m:val="p"/>
                                </m:rPr>
                                <m:t>,</m:t>
                              </m:r>
                              <m:r>
                                <m:t>0</m:t>
                              </m:r>
                            </m:sub>
                          </m:sSub>
                          <m:r>
                            <m:rPr>
                              <m:sty m:val="p"/>
                            </m:rPr>
                            <m:t>+</m:t>
                          </m:r>
                          <m:r>
                            <m:rPr>
                              <m:sty m:val="p"/>
                            </m:rPr>
                            <m:t>∑</m:t>
                          </m:r>
                          <m:sSub>
                            <m:e>
                              <m:r>
                                <m:t>x</m:t>
                              </m:r>
                            </m:e>
                            <m:sub>
                              <m:r>
                                <m:rPr>
                                  <m:sty m:val="p"/>
                                </m:rPr>
                                <m:t>−</m:t>
                              </m:r>
                              <m:r>
                                <m:t>i</m:t>
                              </m:r>
                              <m:r>
                                <m:rPr>
                                  <m:sty m:val="p"/>
                                </m:rPr>
                                <m:t>,</m:t>
                              </m:r>
                              <m:r>
                                <m:t>0</m:t>
                              </m:r>
                            </m:sub>
                          </m:sSub>
                        </m:e>
                      </m:mr>
                    </m:m>
                  </m:e>
                </m:d>
              </m:e>
              <m:sup>
                <m:r>
                  <m:t>2</m:t>
                </m:r>
              </m:sup>
            </m:sSup>
          </m:den>
        </m:f>
      </m:oMath>
      <w:r>
        <w:rPr>
          <w:iCs/>
          <w:i/>
        </w:rPr>
        <w:t xml:space="preserve">,</w:t>
      </w:r>
    </w:p>
    <w:p>
      <w:pPr>
        <w:pStyle w:val="a0"/>
      </w:pPr>
      <w:r>
        <w:rPr>
          <w:iCs/>
          <w:i/>
        </w:rPr>
        <w:t xml:space="preserve">where</w:t>
      </w:r>
      <w:r>
        <w:rPr>
          <w:iCs/>
          <w:i/>
        </w:rPr>
        <w:t xml:space="preserve"> </w:t>
      </w:r>
      <m:oMath>
        <m:sSub>
          <m:e>
            <m:r>
              <m:t>A</m:t>
            </m:r>
          </m:e>
          <m:sub>
            <m:r>
              <m:t>H</m:t>
            </m:r>
          </m:sub>
        </m:sSub>
      </m:oMath>
      <w:r>
        <w:rPr>
          <w:iCs/>
          <w:i/>
        </w:rPr>
        <w:t xml:space="preserve"> </w:t>
      </w:r>
      <w:r>
        <w:rPr>
          <w:iCs/>
          <w:i/>
        </w:rPr>
        <w:t xml:space="preserve">denotes a high-incentive province and</w:t>
      </w:r>
      <w:r>
        <w:rPr>
          <w:iCs/>
          <w:i/>
        </w:rPr>
        <w:t xml:space="preserve"> </w:t>
      </w:r>
      <m:oMath>
        <m:sSub>
          <m:e>
            <m:r>
              <m:t>A</m:t>
            </m:r>
          </m:e>
          <m:sub>
            <m:r>
              <m:t>L</m:t>
            </m:r>
          </m:sub>
        </m:sSub>
      </m:oMath>
      <w:r>
        <w:rPr>
          <w:iCs/>
          <w:i/>
        </w:rPr>
        <w:t xml:space="preserve"> </w:t>
      </w:r>
      <w:r>
        <w:rPr>
          <w:iCs/>
          <w:i/>
        </w:rPr>
        <w:t xml:space="preserve">denotes a low-incentive province.</w:t>
      </w:r>
    </w:p>
    <w:p>
      <w:pPr>
        <w:pStyle w:val="a0"/>
      </w:pPr>
      <w:r>
        <w:rPr>
          <w:bCs/>
          <w:b/>
        </w:rPr>
        <w:t xml:space="preserve">Case 3</w:t>
      </w:r>
      <w:r>
        <w:t xml:space="preserve">.</w:t>
      </w:r>
      <w:r>
        <w:t xml:space="preserve"> </w:t>
      </w:r>
      <w:r>
        <w:t xml:space="preserve"> </w:t>
      </w:r>
      <w:r>
        <w:rPr>
          <w:iCs/>
          <w:i/>
        </w:rPr>
        <w:t xml:space="preserve">Matched institution: This case corresponds to the institution under which water use in a basin is centrally managed.</w:t>
      </w:r>
    </w:p>
    <w:p>
      <w:pPr>
        <w:pStyle w:val="a0"/>
      </w:pPr>
      <w:r>
        <w:rPr>
          <w:iCs/>
          <w:i/>
        </w:rPr>
        <w:t xml:space="preserve">When the</w:t>
      </w:r>
      <w:r>
        <w:rPr>
          <w:iCs/>
          <w:i/>
        </w:rPr>
        <w:t xml:space="preserve"> </w:t>
      </w:r>
      <m:oMath>
        <m:r>
          <m:t>N</m:t>
        </m:r>
      </m:oMath>
      <w:r>
        <w:rPr>
          <w:iCs/>
          <w:i/>
        </w:rPr>
        <w:t xml:space="preserve"> </w:t>
      </w:r>
      <w:r>
        <w:rPr>
          <w:iCs/>
          <w:i/>
        </w:rPr>
        <w:t xml:space="preserve">provinces decide on water use as a unified whole (e.g., the central government completely decides and controls the water use in each province), the optimal water use</w:t>
      </w:r>
      <w:r>
        <w:rPr>
          <w:iCs/>
          <w:i/>
        </w:rPr>
        <w:t xml:space="preserve"> </w:t>
      </w:r>
      <m:oMath>
        <m:sSubSup>
          <m:e>
            <m:r>
              <m:t>x</m:t>
            </m:r>
          </m:e>
          <m:sub>
            <m:r>
              <m:t>i</m:t>
            </m:r>
          </m:sub>
          <m:sup>
            <m:r>
              <m:rPr>
                <m:sty m:val="p"/>
              </m:rPr>
              <m:t>*</m:t>
            </m:r>
          </m:sup>
        </m:sSubSup>
      </m:oMath>
      <w:r>
        <w:rPr>
          <w:iCs/>
          <w:i/>
        </w:rPr>
        <w:t xml:space="preserve"> </w:t>
      </w:r>
      <w:r>
        <w:rPr>
          <w:iCs/>
          <w:i/>
        </w:rPr>
        <w:t xml:space="preserve">of province</w:t>
      </w:r>
      <w:r>
        <w:rPr>
          <w:iCs/>
          <w:i/>
        </w:rPr>
        <w:t xml:space="preserve"> </w:t>
      </w:r>
      <m:oMath>
        <m:r>
          <m:t>i</m:t>
        </m:r>
      </m:oMath>
      <w:r>
        <w:rPr>
          <w:iCs/>
          <w:i/>
        </w:rPr>
        <w:t xml:space="preserve"> </w:t>
      </w:r>
      <w:r>
        <w:rPr>
          <w:iCs/>
          <w:i/>
        </w:rPr>
        <w:t xml:space="preserve">satisfies:</w:t>
      </w:r>
    </w:p>
    <w:p>
      <w:pPr>
        <w:pStyle w:val="a0"/>
      </w:pPr>
      <m:oMath>
        <m:r>
          <m:t>F</m:t>
        </m:r>
        <m:r>
          <m:rPr>
            <m:sty m:val="p"/>
          </m:rPr>
          <m:t>′</m:t>
        </m:r>
        <m:d>
          <m:dPr>
            <m:begChr m:val="("/>
            <m:endChr m:val=")"/>
            <m:sepChr m:val=""/>
            <m:grow/>
          </m:dPr>
          <m:e>
            <m:r>
              <m:t>x</m:t>
            </m:r>
          </m:e>
        </m:d>
        <m:r>
          <m:rPr>
            <m:sty m:val="p"/>
          </m:rPr>
          <m:t>=</m:t>
        </m:r>
        <m:f>
          <m:fPr>
            <m:type m:val="bar"/>
          </m:fPr>
          <m:num>
            <m:r>
              <m:t>C</m:t>
            </m:r>
          </m:num>
          <m:den>
            <m:r>
              <m:t>P</m:t>
            </m:r>
          </m:den>
        </m:f>
      </m:oMath>
      <w:r>
        <w:rPr>
          <w:iCs/>
          <w:i/>
        </w:rPr>
        <w:t xml:space="preserve">.</w:t>
      </w:r>
    </w:p>
    <w:p>
      <w:pPr>
        <w:pStyle w:val="a0"/>
      </w:pPr>
      <w:r>
        <w:t xml:space="preserve">We propose Proposition 1 and Proposition 2:</w:t>
      </w:r>
    </w:p>
    <w:p>
      <w:pPr>
        <w:pStyle w:val="a0"/>
      </w:pPr>
      <w:r>
        <w:t xml:space="preserve">Proposition 1: Compared with the decentralized institution, a matched institution with unified management decreases total water use.</w:t>
      </w:r>
    </w:p>
    <w:p>
      <w:pPr>
        <w:pStyle w:val="a0"/>
      </w:pPr>
      <w:r>
        <w:t xml:space="preserve">The optimal water use under the three cases implies that mismatched institutions cause incentive distortions and lead to resource overuse.</w:t>
      </w:r>
    </w:p>
    <w:p>
      <w:pPr>
        <w:pStyle w:val="a0"/>
      </w:pPr>
      <w:r>
        <w:t xml:space="preserve">Proposition 2: Water overuse is higher among provinces with high water use incentives than low- water use incentives under a mismatched institution.</w:t>
      </w:r>
    </w:p>
    <w:p>
      <w:pPr>
        <w:pStyle w:val="a0"/>
      </w:pPr>
      <w:r>
        <w:t xml:space="preserve">The intuition for this proposition is straightforward in that all provinces would use up their allocated quota under a relatively small</w:t>
      </w:r>
      <w:r>
        <w:t xml:space="preserve"> </w:t>
      </w:r>
      <m:oMath>
        <m:r>
          <m:t>Q</m:t>
        </m:r>
      </m:oMath>
      <w:r>
        <w:t xml:space="preserve">. As production efficiency increases, the marginal benefits of a unit quota increase, and the quota would provide higher future benefits for a pre-emptive water use strategy. Provinces with high production efficiency have higher optimal water use values under the decentralized decision. The divergence in water use would be exaggerated when the water quota is expected to be implemented with greater competition.</w:t>
      </w:r>
    </w:p>
    <w:p>
      <w:pPr>
        <w:pStyle w:val="a0"/>
      </w:pPr>
      <w:r>
        <w:t xml:space="preserve">Extensions of the model are shown in Supplementary Material S3.</w:t>
      </w:r>
    </w:p>
    <w:p>
      <w:pPr>
        <w:pStyle w:val="a0"/>
      </w:pPr>
      <w:r>
        <w:t xml:space="preserve">Appendix: Water Use Optimization</w:t>
      </w:r>
    </w:p>
    <w:p>
      <w:pPr>
        <w:pStyle w:val="a0"/>
      </w:pPr>
      <w:r>
        <w:rPr>
          <w:bCs/>
          <w:b/>
        </w:rPr>
        <w:t xml:space="preserve">Case 1</w:t>
      </w:r>
      <w:r>
        <w:t xml:space="preserve">.</w:t>
      </w:r>
      <w:r>
        <w:t xml:space="preserve"> </w:t>
      </w:r>
      <w:r>
        <w:t xml:space="preserve"> </w:t>
      </w:r>
      <w:r>
        <w:rPr>
          <w:iCs/>
          <w:i/>
        </w:rPr>
        <w:t xml:space="preserve">Centralized decision</w:t>
      </w:r>
    </w:p>
    <w:p>
      <w:pPr>
        <w:pStyle w:val="a0"/>
      </w:pPr>
      <w:r>
        <w:rPr>
          <w:iCs/>
          <w:i/>
        </w:rPr>
        <w:t xml:space="preserve">When the N provinces decide on water uses as a unity, the marginal cost is C, equal to its fixed unit cost.</w:t>
      </w:r>
      <w:r>
        <w:rPr>
          <w:iCs/>
          <w:i/>
        </w:rPr>
        <w:t xml:space="preserve"> </w:t>
      </w:r>
      <w:r>
        <w:rPr>
          <w:iCs/>
          <w:i/>
        </w:rPr>
        <w:t xml:space="preserve">The water use of province</w:t>
      </w:r>
      <w:r>
        <w:rPr>
          <w:iCs/>
          <w:i/>
        </w:rPr>
        <w:t xml:space="preserve"> </w:t>
      </w:r>
      <m:oMath>
        <m:r>
          <m:t>i</m:t>
        </m:r>
      </m:oMath>
      <w:r>
        <w:rPr>
          <w:iCs/>
          <w:i/>
        </w:rPr>
        <w:t xml:space="preserve"> </w:t>
      </w:r>
      <w:r>
        <w:rPr>
          <w:iCs/>
          <w:i/>
        </w:rPr>
        <w:t xml:space="preserve">aims to maximize</w:t>
      </w:r>
      <w:r>
        <w:rPr>
          <w:iCs/>
          <w:i/>
        </w:rPr>
        <w:t xml:space="preserve"> </w:t>
      </w:r>
      <m:oMath>
        <m:r>
          <m:t>P</m:t>
        </m:r>
        <m:r>
          <m:rPr>
            <m:sty m:val="p"/>
          </m:rPr>
          <m:t>⋅</m:t>
        </m:r>
        <m:r>
          <m:t>A</m:t>
        </m:r>
        <m:r>
          <m:rPr>
            <m:sty m:val="p"/>
          </m:rPr>
          <m:t>⋅</m:t>
        </m:r>
        <m:r>
          <m:t>F</m:t>
        </m:r>
        <m:d>
          <m:dPr>
            <m:begChr m:val="("/>
            <m:endChr m:val=")"/>
            <m:sepChr m:val=""/>
            <m:grow/>
          </m:dPr>
          <m:e>
            <m:r>
              <m:t>x</m:t>
            </m:r>
          </m:e>
        </m:d>
        <m:r>
          <m:rPr>
            <m:sty m:val="p"/>
          </m:rPr>
          <m:t>−</m:t>
        </m:r>
        <m:r>
          <m:t>C</m:t>
        </m:r>
      </m:oMath>
      <w:r>
        <w:rPr>
          <w:iCs/>
          <w:i/>
        </w:rPr>
        <w:t xml:space="preserve">.</w:t>
      </w:r>
      <w:r>
        <w:rPr>
          <w:iCs/>
          <w:i/>
        </w:rPr>
        <w:t xml:space="preserve"> </w:t>
      </w:r>
      <w:r>
        <w:rPr>
          <w:iCs/>
          <w:i/>
        </w:rPr>
        <w:t xml:space="preserve">Hence,</w:t>
      </w:r>
      <w:r>
        <w:rPr>
          <w:iCs/>
          <w:i/>
        </w:rPr>
        <w:t xml:space="preserve"> </w:t>
      </w:r>
      <m:oMath>
        <m:sSubSup>
          <m:e>
            <m:r>
              <m:t>x</m:t>
            </m:r>
          </m:e>
          <m:sub>
            <m:r>
              <m:t>i</m:t>
            </m:r>
          </m:sub>
          <m:sup>
            <m:r>
              <m:rPr>
                <m:sty m:val="p"/>
              </m:rPr>
              <m:t>*</m:t>
            </m:r>
          </m:sup>
        </m:sSubSup>
      </m:oMath>
      <w:r>
        <w:rPr>
          <w:iCs/>
          <w:i/>
        </w:rPr>
        <w:t xml:space="preserve"> </w:t>
      </w:r>
      <w:r>
        <w:rPr>
          <w:iCs/>
          <w:i/>
        </w:rPr>
        <w:t xml:space="preserve">satisfies</w:t>
      </w:r>
      <w:r>
        <w:rPr>
          <w:iCs/>
          <w:i/>
        </w:rPr>
        <w:t xml:space="preserve"> </w:t>
      </w:r>
      <m:oMath>
        <m:r>
          <m:t>P</m:t>
        </m:r>
        <m:r>
          <m:rPr>
            <m:sty m:val="p"/>
          </m:rPr>
          <m:t>⋅</m:t>
        </m:r>
        <m:r>
          <m:t>A</m:t>
        </m:r>
        <m:r>
          <m:rPr>
            <m:sty m:val="p"/>
          </m:rPr>
          <m:t>⋅</m:t>
        </m:r>
        <m:r>
          <m:t>F</m:t>
        </m:r>
        <m:r>
          <m:rPr>
            <m:sty m:val="p"/>
          </m:rPr>
          <m:t>′</m:t>
        </m:r>
        <m:d>
          <m:dPr>
            <m:begChr m:val="("/>
            <m:endChr m:val=")"/>
            <m:sepChr m:val=""/>
            <m:grow/>
          </m:dPr>
          <m:e>
            <m:r>
              <m:t>x</m:t>
            </m:r>
          </m:e>
        </m:d>
        <m:r>
          <m:rPr>
            <m:sty m:val="p"/>
          </m:rPr>
          <m:t>=</m:t>
        </m:r>
        <m:r>
          <m:t>C</m:t>
        </m:r>
      </m:oMath>
      <w:r>
        <w:rPr>
          <w:iCs/>
          <w:i/>
        </w:rPr>
        <w:t xml:space="preserve">, i.e.,</w:t>
      </w:r>
      <w:r>
        <w:rPr>
          <w:iCs/>
          <w:i/>
        </w:rPr>
        <w:t xml:space="preserve"> </w:t>
      </w:r>
      <m:oMath>
        <m:r>
          <m:t>A</m:t>
        </m:r>
        <m:r>
          <m:t>F</m:t>
        </m:r>
        <m:r>
          <m:rPr>
            <m:sty m:val="p"/>
          </m:rPr>
          <m:t>′</m:t>
        </m:r>
        <m:d>
          <m:dPr>
            <m:begChr m:val="("/>
            <m:endChr m:val=")"/>
            <m:sepChr m:val=""/>
            <m:grow/>
          </m:dPr>
          <m:e>
            <m:r>
              <m:t>x</m:t>
            </m:r>
          </m:e>
        </m:d>
        <m:r>
          <m:rPr>
            <m:sty m:val="p"/>
          </m:rPr>
          <m:t>=</m:t>
        </m:r>
        <m:f>
          <m:fPr>
            <m:type m:val="bar"/>
          </m:fPr>
          <m:num>
            <m:r>
              <m:t>C</m:t>
            </m:r>
          </m:num>
          <m:den>
            <m:r>
              <m:t>P</m:t>
            </m:r>
          </m:den>
        </m:f>
      </m:oMath>
      <w:r>
        <w:rPr>
          <w:iCs/>
          <w:i/>
        </w:rPr>
        <w:t xml:space="preserve">, where A denotes</w:t>
      </w:r>
      <w:r>
        <w:rPr>
          <w:iCs/>
          <w:i/>
        </w:rPr>
        <w:t xml:space="preserve"> </w:t>
      </w:r>
      <m:oMath>
        <m:sSub>
          <m:e>
            <m:r>
              <m:t>A</m:t>
            </m:r>
          </m:e>
          <m:sub>
            <m:r>
              <m:t>H</m:t>
            </m:r>
          </m:sub>
        </m:sSub>
      </m:oMath>
      <w:r>
        <w:rPr>
          <w:iCs/>
          <w:i/>
        </w:rPr>
        <w:t xml:space="preserve"> </w:t>
      </w:r>
      <w:r>
        <w:rPr>
          <w:iCs/>
          <w:i/>
        </w:rPr>
        <w:t xml:space="preserve">for a high-incentive province and</w:t>
      </w:r>
      <w:r>
        <w:rPr>
          <w:iCs/>
          <w:i/>
        </w:rPr>
        <w:t xml:space="preserve"> </w:t>
      </w:r>
      <m:oMath>
        <m:sSub>
          <m:e>
            <m:r>
              <m:t>A</m:t>
            </m:r>
          </m:e>
          <m:sub>
            <m:r>
              <m:t>L</m:t>
            </m:r>
          </m:sub>
        </m:sSub>
      </m:oMath>
      <w:r>
        <w:rPr>
          <w:iCs/>
          <w:i/>
        </w:rPr>
        <w:t xml:space="preserve"> </w:t>
      </w:r>
      <w:r>
        <w:rPr>
          <w:iCs/>
          <w:i/>
        </w:rPr>
        <w:t xml:space="preserve">for a low-incentive province.</w:t>
      </w:r>
    </w:p>
    <w:p>
      <w:pPr>
        <w:pStyle w:val="a0"/>
      </w:pPr>
      <w:r>
        <w:rPr>
          <w:bCs/>
          <w:b/>
        </w:rPr>
        <w:t xml:space="preserve">Case 2</w:t>
      </w:r>
      <w:r>
        <w:t xml:space="preserve">.</w:t>
      </w:r>
      <w:r>
        <w:t xml:space="preserve"> </w:t>
      </w:r>
      <w:r>
        <w:t xml:space="preserve"> </w:t>
      </w:r>
      <w:r>
        <w:rPr>
          <w:iCs/>
          <w:i/>
        </w:rPr>
        <w:t xml:space="preserve">Decentralized decision</w:t>
      </w:r>
    </w:p>
    <w:p>
      <w:pPr>
        <w:pStyle w:val="a0"/>
      </w:pPr>
      <w:r>
        <w:rPr>
          <w:iCs/>
          <w:i/>
        </w:rPr>
        <w:t xml:space="preserve">When each of the N provinces independently decides on its water use, the marginal cost of water use would be</w:t>
      </w:r>
      <w:r>
        <w:rPr>
          <w:iCs/>
          <w:i/>
        </w:rPr>
        <w:t xml:space="preserve"> </w:t>
      </w:r>
      <m:oMath>
        <m:f>
          <m:fPr>
            <m:type m:val="bar"/>
          </m:fPr>
          <m:num>
            <m:r>
              <m:t>C</m:t>
            </m:r>
          </m:num>
          <m:den>
            <m:r>
              <m:t>N</m:t>
            </m:r>
          </m:den>
        </m:f>
      </m:oMath>
      <w:r>
        <w:rPr>
          <w:iCs/>
          <w:i/>
        </w:rPr>
        <w:t xml:space="preserve"> </w:t>
      </w:r>
      <w:r>
        <w:rPr>
          <w:iCs/>
          <w:i/>
        </w:rPr>
        <w:t xml:space="preserve">as a result of cost-sharing with others.</w:t>
      </w:r>
      <w:r>
        <w:rPr>
          <w:iCs/>
          <w:i/>
        </w:rPr>
        <w:t xml:space="preserve"> </w:t>
      </w:r>
      <w:r>
        <w:rPr>
          <w:iCs/>
          <w:i/>
        </w:rPr>
        <w:t xml:space="preserve">Hence, the optimal water use in province i at period t, denoted as</w:t>
      </w:r>
      <w:r>
        <w:rPr>
          <w:iCs/>
          <w:i/>
        </w:rPr>
        <w:t xml:space="preserve"> </w:t>
      </w:r>
      <m:oMath>
        <m:sSubSup>
          <m:e>
            <m:acc>
              <m:accPr>
                <m:chr m:val="̂"/>
              </m:accPr>
              <m:e>
                <m:r>
                  <m:t>x</m:t>
                </m:r>
              </m:e>
            </m:acc>
          </m:e>
          <m:sub>
            <m:r>
              <m:t>i</m:t>
            </m:r>
          </m:sub>
          <m:sup>
            <m:r>
              <m:rPr>
                <m:sty m:val="p"/>
              </m:rPr>
              <m:t>*</m:t>
            </m:r>
          </m:sup>
        </m:sSubSup>
      </m:oMath>
      <w:r>
        <w:rPr>
          <w:iCs/>
          <w:i/>
        </w:rPr>
        <w:t xml:space="preserve">, satisfies</w:t>
      </w:r>
      <w:r>
        <w:rPr>
          <w:iCs/>
          <w:i/>
        </w:rPr>
        <w:t xml:space="preserve"> </w:t>
      </w:r>
      <m:oMath>
        <m:r>
          <m:t>P</m:t>
        </m:r>
        <m:r>
          <m:rPr>
            <m:sty m:val="p"/>
          </m:rPr>
          <m:t>⋅</m:t>
        </m:r>
        <m:r>
          <m:t>A</m:t>
        </m:r>
        <m:r>
          <m:rPr>
            <m:sty m:val="p"/>
          </m:rPr>
          <m:t>⋅</m:t>
        </m:r>
        <m:r>
          <m:t>F</m:t>
        </m:r>
        <m:r>
          <m:rPr>
            <m:sty m:val="p"/>
          </m:rPr>
          <m:t>′</m:t>
        </m:r>
        <m:d>
          <m:dPr>
            <m:begChr m:val="("/>
            <m:endChr m:val=")"/>
            <m:sepChr m:val=""/>
            <m:grow/>
          </m:dPr>
          <m:e>
            <m:sSub>
              <m:e>
                <m:r>
                  <m:t>x</m:t>
                </m:r>
              </m:e>
              <m:sub>
                <m:r>
                  <m:t>i</m:t>
                </m:r>
                <m:r>
                  <m:t>t</m:t>
                </m:r>
              </m:sub>
            </m:sSub>
          </m:e>
        </m:d>
        <m:r>
          <m:rPr>
            <m:sty m:val="p"/>
          </m:rPr>
          <m:t>=</m:t>
        </m:r>
        <m:f>
          <m:fPr>
            <m:type m:val="bar"/>
          </m:fPr>
          <m:num>
            <m:r>
              <m:t>C</m:t>
            </m:r>
          </m:num>
          <m:den>
            <m:r>
              <m:t>N</m:t>
            </m:r>
          </m:den>
        </m:f>
      </m:oMath>
      <w:r>
        <w:rPr>
          <w:iCs/>
          <w:i/>
        </w:rPr>
        <w:t xml:space="preserve">, i.e.,</w:t>
      </w:r>
      <w:r>
        <w:rPr>
          <w:iCs/>
          <w:i/>
        </w:rPr>
        <w:t xml:space="preserve"> </w:t>
      </w:r>
      <m:oMath>
        <m:r>
          <m:t>A</m:t>
        </m:r>
        <m:r>
          <m:rPr>
            <m:sty m:val="p"/>
          </m:rPr>
          <m:t>⋅</m:t>
        </m:r>
        <m:r>
          <m:t>F</m:t>
        </m:r>
        <m:r>
          <m:rPr>
            <m:sty m:val="p"/>
          </m:rPr>
          <m:t>′</m:t>
        </m:r>
        <m:d>
          <m:dPr>
            <m:begChr m:val="("/>
            <m:endChr m:val=")"/>
            <m:sepChr m:val=""/>
            <m:grow/>
          </m:dPr>
          <m:e>
            <m:r>
              <m:t>x</m:t>
            </m:r>
          </m:e>
        </m:d>
        <m:r>
          <m:rPr>
            <m:sty m:val="p"/>
          </m:rPr>
          <m:t>=</m:t>
        </m:r>
        <m:f>
          <m:fPr>
            <m:type m:val="bar"/>
          </m:fPr>
          <m:num>
            <m:r>
              <m:t>C</m:t>
            </m:r>
          </m:num>
          <m:den>
            <m:r>
              <m:t>P</m:t>
            </m:r>
            <m:r>
              <m:rPr>
                <m:sty m:val="p"/>
              </m:rPr>
              <m:t>⋅</m:t>
            </m:r>
            <m:r>
              <m:t>N</m:t>
            </m:r>
          </m:den>
        </m:f>
      </m:oMath>
      <w:r>
        <w:rPr>
          <w:iCs/>
          <w:i/>
        </w:rPr>
        <w:t xml:space="preserve">.</w:t>
      </w:r>
      <w:r>
        <w:rPr>
          <w:iCs/>
          <w:i/>
        </w:rPr>
        <w:t xml:space="preserve"> </w:t>
      </w:r>
      <w:r>
        <w:rPr>
          <w:iCs/>
          <w:i/>
        </w:rPr>
        <w:t xml:space="preserve">Since</w:t>
      </w:r>
      <w:r>
        <w:rPr>
          <w:iCs/>
          <w:i/>
        </w:rPr>
        <w:t xml:space="preserve"> </w:t>
      </w:r>
      <m:oMath>
        <m:r>
          <m:t>F</m:t>
        </m:r>
        <m:r>
          <m:rPr>
            <m:sty m:val="p"/>
          </m:rPr>
          <m:t>′</m:t>
        </m:r>
      </m:oMath>
      <w:r>
        <w:rPr>
          <w:iCs/>
          <w:i/>
        </w:rPr>
        <w:t xml:space="preserve"> </w:t>
      </w:r>
      <w:r>
        <w:rPr>
          <w:iCs/>
          <w:i/>
        </w:rPr>
        <w:t xml:space="preserve">is monotonically decreasing,</w:t>
      </w:r>
      <w:r>
        <w:rPr>
          <w:iCs/>
          <w:i/>
        </w:rPr>
        <w:t xml:space="preserve"> </w:t>
      </w:r>
      <m:oMath>
        <m:sSubSup>
          <m:e>
            <m:acc>
              <m:accPr>
                <m:chr m:val="̂"/>
              </m:accPr>
              <m:e>
                <m:r>
                  <m:t>x</m:t>
                </m:r>
              </m:e>
            </m:acc>
          </m:e>
          <m:sub>
            <m:r>
              <m:t>i</m:t>
            </m:r>
            <m:r>
              <m:t>t</m:t>
            </m:r>
          </m:sub>
          <m:sup>
            <m:r>
              <m:rPr>
                <m:sty m:val="p"/>
              </m:rPr>
              <m:t>*</m:t>
            </m:r>
          </m:sup>
        </m:sSubSup>
        <m:r>
          <m:rPr>
            <m:sty m:val="p"/>
          </m:rPr>
          <m:t>&gt;</m:t>
        </m:r>
        <m:sSubSup>
          <m:e>
            <m:r>
              <m:t>x</m:t>
            </m:r>
          </m:e>
          <m:sub>
            <m:r>
              <m:t>i</m:t>
            </m:r>
          </m:sub>
          <m:sup>
            <m:r>
              <m:rPr>
                <m:sty m:val="p"/>
              </m:rPr>
              <m:t>*</m:t>
            </m:r>
          </m:sup>
        </m:sSubSup>
      </m:oMath>
      <w:r>
        <w:rPr>
          <w:iCs/>
          <w:i/>
        </w:rPr>
        <w:t xml:space="preserve">.</w:t>
      </w:r>
    </w:p>
    <w:p>
      <w:pPr>
        <w:pStyle w:val="a0"/>
      </w:pPr>
      <w:r>
        <w:rPr>
          <w:bCs/>
          <w:b/>
        </w:rPr>
        <w:t xml:space="preserve">Case 3</w:t>
      </w:r>
      <w:r>
        <w:t xml:space="preserve">.</w:t>
      </w:r>
      <w:r>
        <w:t xml:space="preserve"> </w:t>
      </w:r>
      <w:r>
        <w:t xml:space="preserve"> </w:t>
      </w:r>
      <w:r>
        <w:rPr>
          <w:iCs/>
          <w:i/>
        </w:rPr>
        <w:t xml:space="preserve">Forward-looking decentralized decision under quota restrictions</w:t>
      </w:r>
    </w:p>
    <w:p>
      <w:pPr>
        <w:pStyle w:val="a0"/>
      </w:pPr>
      <w:r>
        <w:rPr>
          <w:iCs/>
          <w:i/>
        </w:rPr>
        <w:t xml:space="preserve">When the water quota would constrain future water use, the dynamic optimization problem of province i is shown as follows. In</w:t>
      </w:r>
      <w:r>
        <w:rPr>
          <w:iCs/>
          <w:i/>
        </w:rPr>
        <w:t xml:space="preserve"> </w:t>
      </w:r>
      <m:oMath>
        <m:r>
          <m:t>t</m:t>
        </m:r>
        <m:r>
          <m:rPr>
            <m:sty m:val="p"/>
          </m:rPr>
          <m:t>=</m:t>
        </m:r>
        <m:r>
          <m:t>1</m:t>
        </m:r>
        <m:r>
          <m:rPr>
            <m:sty m:val="p"/>
          </m:rPr>
          <m:t>,</m:t>
        </m:r>
        <m:r>
          <m:t>2</m:t>
        </m:r>
        <m:r>
          <m:rPr>
            <m:sty m:val="p"/>
          </m:rPr>
          <m:t>,</m:t>
        </m:r>
        <m:r>
          <m:rPr>
            <m:sty m:val="p"/>
          </m:rPr>
          <m:t>⋯</m:t>
        </m:r>
      </m:oMath>
      <w:r>
        <w:rPr>
          <w:iCs/>
          <w:i/>
        </w:rPr>
        <w:t xml:space="preserve">, there would be no relevant cost when the quota is bound that each province takes ongoing costs of</w:t>
      </w:r>
      <w:r>
        <w:rPr>
          <w:iCs/>
          <w:i/>
        </w:rPr>
        <w:t xml:space="preserve"> </w:t>
      </w:r>
      <m:oMath>
        <m:f>
          <m:fPr>
            <m:type m:val="bar"/>
          </m:fPr>
          <m:num>
            <m:r>
              <m:t>P</m:t>
            </m:r>
            <m:r>
              <m:rPr>
                <m:sty m:val="p"/>
              </m:rPr>
              <m:t>⋅</m:t>
            </m:r>
            <m:r>
              <m:t>Q</m:t>
            </m:r>
          </m:num>
          <m:den>
            <m:r>
              <m:t>N</m:t>
            </m:r>
          </m:den>
        </m:f>
      </m:oMath>
      <w:r>
        <w:rPr>
          <w:iCs/>
          <w:i/>
        </w:rPr>
        <w:t xml:space="preserve"> </w:t>
      </w:r>
      <w:r>
        <w:rPr>
          <w:iCs/>
          <w:i/>
        </w:rPr>
        <w:t xml:space="preserve">regardless of the allocation. Therefore, it is sufficient to consider only the total water quota is less than total water use in Case 2 since a</w:t>
      </w:r>
      <w:r>
        <w:rPr>
          <w:iCs/>
          <w:i/>
        </w:rPr>
        <w:t xml:space="preserve"> </w:t>
      </w:r>
      <w:r>
        <w:rPr>
          <w:iCs/>
          <w:i/>
        </w:rPr>
        <w:t xml:space="preserve">“</w:t>
      </w:r>
      <w:r>
        <w:rPr>
          <w:iCs/>
          <w:i/>
        </w:rPr>
        <w:t xml:space="preserve">too large</w:t>
      </w:r>
      <w:r>
        <w:rPr>
          <w:iCs/>
          <w:i/>
        </w:rPr>
        <w:t xml:space="preserve">”</w:t>
      </w:r>
      <w:r>
        <w:rPr>
          <w:iCs/>
          <w:i/>
        </w:rPr>
        <w:t xml:space="preserve"> </w:t>
      </w:r>
      <w:r>
        <w:rPr>
          <w:iCs/>
          <w:i/>
        </w:rPr>
        <w:t xml:space="preserve">quota doesn’t make sense for ecological policies.</w:t>
      </w:r>
    </w:p>
    <w:p>
      <w:pPr>
        <w:pStyle w:val="a0"/>
      </w:pPr>
      <m:oMath>
        <m:r>
          <m:t>m</m:t>
        </m:r>
        <m:r>
          <m:t>a</m:t>
        </m:r>
        <m:r>
          <m:t>x</m:t>
        </m:r>
        <m:r>
          <m:t> </m:t>
        </m:r>
        <m:r>
          <m:t>P</m:t>
        </m:r>
        <m:r>
          <m:rPr>
            <m:sty m:val="p"/>
          </m:rPr>
          <m:t>⋅</m:t>
        </m:r>
        <m:r>
          <m:t>A</m:t>
        </m:r>
        <m:r>
          <m:rPr>
            <m:sty m:val="p"/>
          </m:rPr>
          <m:t>⋅</m:t>
        </m:r>
        <m:r>
          <m:t>F</m:t>
        </m:r>
        <m:d>
          <m:dPr>
            <m:begChr m:val="("/>
            <m:endChr m:val=")"/>
            <m:sepChr m:val=""/>
            <m:grow/>
          </m:dPr>
          <m:e>
            <m:sSub>
              <m:e>
                <m:r>
                  <m:t>x</m:t>
                </m:r>
              </m:e>
              <m:sub>
                <m:r>
                  <m:t>i</m:t>
                </m:r>
                <m:r>
                  <m:rPr>
                    <m:sty m:val="p"/>
                  </m:rPr>
                  <m:t>,</m:t>
                </m:r>
                <m:r>
                  <m:t>0</m:t>
                </m:r>
              </m:sub>
            </m:sSub>
          </m:e>
        </m:d>
        <m:r>
          <m:rPr>
            <m:sty m:val="p"/>
          </m:rPr>
          <m:t>−</m:t>
        </m:r>
        <m:f>
          <m:fPr>
            <m:type m:val="bar"/>
          </m:fPr>
          <m:num>
            <m:r>
              <m:t>C</m:t>
            </m:r>
            <m:r>
              <m:rPr>
                <m:sty m:val="p"/>
              </m:rPr>
              <m:t>⋅</m:t>
            </m:r>
            <m:m>
              <m:mPr>
                <m:baseJc m:val="center"/>
                <m:plcHide m:val="1"/>
                <m:mcs>
                  <m:mc>
                    <m:mcPr>
                      <m:mcJc m:val="center"/>
                      <m:count m:val="1"/>
                    </m:mcPr>
                  </m:mc>
                </m:mcs>
              </m:mPr>
              <m:mr>
                <m:e>
                  <m:r>
                    <m:rPr>
                      <m:sty m:val="p"/>
                    </m:rPr>
                    <m:t>∑</m:t>
                  </m:r>
                  <m:sSub>
                    <m:e>
                      <m:r>
                        <m:t>x</m:t>
                      </m:r>
                    </m:e>
                    <m:sub>
                      <m:r>
                        <m:t>i</m:t>
                      </m:r>
                      <m:r>
                        <m:rPr>
                          <m:sty m:val="p"/>
                        </m:rPr>
                        <m:t>,</m:t>
                      </m:r>
                      <m:r>
                        <m:t>0</m:t>
                      </m:r>
                    </m:sub>
                  </m:sSub>
                  <m:r>
                    <m:rPr>
                      <m:sty m:val="p"/>
                    </m:rPr>
                    <m:t>+</m:t>
                  </m:r>
                  <m:sSub>
                    <m:e>
                      <m:r>
                        <m:t>x</m:t>
                      </m:r>
                    </m:e>
                    <m:sub>
                      <m:r>
                        <m:rPr>
                          <m:sty m:val="p"/>
                        </m:rPr>
                        <m:t>−</m:t>
                      </m:r>
                      <m:r>
                        <m:t>i</m:t>
                      </m:r>
                      <m:r>
                        <m:rPr>
                          <m:sty m:val="p"/>
                        </m:rPr>
                        <m:t>,</m:t>
                      </m:r>
                      <m:r>
                        <m:t>0</m:t>
                      </m:r>
                    </m:sub>
                  </m:sSub>
                </m:e>
              </m:mr>
            </m:m>
          </m:num>
          <m:den>
            <m:r>
              <m:t>N</m:t>
            </m:r>
          </m:den>
        </m:f>
        <m:r>
          <m:rPr>
            <m:sty m:val="p"/>
          </m:rPr>
          <m:t>+</m:t>
        </m:r>
        <m:r>
          <m:t>β</m:t>
        </m:r>
        <m:r>
          <m:t>P</m:t>
        </m:r>
        <m:r>
          <m:rPr>
            <m:sty m:val="p"/>
          </m:rPr>
          <m:t>⋅</m:t>
        </m:r>
        <m:r>
          <m:t>A</m:t>
        </m:r>
        <m:r>
          <m:rPr>
            <m:sty m:val="p"/>
          </m:rPr>
          <m:t>⋅</m:t>
        </m:r>
        <m:r>
          <m:t>F</m:t>
        </m:r>
        <m:d>
          <m:dPr>
            <m:begChr m:val="("/>
            <m:endChr m:val=")"/>
            <m:sepChr m:val=""/>
            <m:grow/>
          </m:dPr>
          <m:e>
            <m:sSub>
              <m:e>
                <m:r>
                  <m:t>x</m:t>
                </m:r>
              </m:e>
              <m:sub>
                <m:r>
                  <m:t>i</m:t>
                </m:r>
                <m:r>
                  <m:rPr>
                    <m:sty m:val="p"/>
                  </m:rPr>
                  <m:t>,</m:t>
                </m:r>
                <m:r>
                  <m:t>1</m:t>
                </m:r>
              </m:sub>
            </m:sSub>
          </m:e>
        </m:d>
        <m:r>
          <m:rPr>
            <m:sty m:val="p"/>
          </m:rPr>
          <m:t>+</m:t>
        </m:r>
        <m:sSup>
          <m:e>
            <m:r>
              <m:t>β</m:t>
            </m:r>
          </m:e>
          <m:sup>
            <m:r>
              <m:t>2</m:t>
            </m:r>
          </m:sup>
        </m:sSup>
        <m:r>
          <m:t>P</m:t>
        </m:r>
        <m:r>
          <m:rPr>
            <m:sty m:val="p"/>
          </m:rPr>
          <m:t>⋅</m:t>
        </m:r>
        <m:r>
          <m:t>A</m:t>
        </m:r>
        <m:r>
          <m:rPr>
            <m:sty m:val="p"/>
          </m:rPr>
          <m:t>⋅</m:t>
        </m:r>
        <m:r>
          <m:t>F</m:t>
        </m:r>
        <m:d>
          <m:dPr>
            <m:begChr m:val="("/>
            <m:endChr m:val=")"/>
            <m:sepChr m:val=""/>
            <m:grow/>
          </m:dPr>
          <m:e>
            <m:sSub>
              <m:e>
                <m:r>
                  <m:t>x</m:t>
                </m:r>
              </m:e>
              <m:sub>
                <m:r>
                  <m:t>i</m:t>
                </m:r>
                <m:r>
                  <m:rPr>
                    <m:sty m:val="p"/>
                  </m:rPr>
                  <m:t>,</m:t>
                </m:r>
                <m:r>
                  <m:t>2</m:t>
                </m:r>
              </m:sub>
            </m:sSub>
          </m:e>
        </m:d>
        <m:r>
          <m:rPr>
            <m:sty m:val="p"/>
          </m:rPr>
          <m:t>+</m:t>
        </m:r>
        <m:r>
          <m:rPr>
            <m:sty m:val="p"/>
          </m:rPr>
          <m:t>.</m:t>
        </m:r>
        <m:r>
          <m:rPr>
            <m:sty m:val="p"/>
          </m:rPr>
          <m:t>.</m:t>
        </m:r>
        <m:r>
          <m:rPr>
            <m:sty m:val="p"/>
          </m:rPr>
          <m:t>.</m:t>
        </m:r>
      </m:oMath>
    </w:p>
    <w:p>
      <w:pPr>
        <w:pStyle w:val="a0"/>
      </w:pPr>
      <m:oMath>
        <m:r>
          <m:rPr>
            <m:sty m:val="p"/>
          </m:rPr>
          <m:t>=</m:t>
        </m:r>
        <m:r>
          <m:t>P</m:t>
        </m:r>
        <m:r>
          <m:rPr>
            <m:sty m:val="p"/>
          </m:rPr>
          <m:t>⋅</m:t>
        </m:r>
        <m:r>
          <m:t>A</m:t>
        </m:r>
        <m:r>
          <m:rPr>
            <m:sty m:val="p"/>
          </m:rPr>
          <m:t>⋅</m:t>
        </m:r>
        <m:r>
          <m:t>F</m:t>
        </m:r>
        <m:d>
          <m:dPr>
            <m:begChr m:val="("/>
            <m:endChr m:val=")"/>
            <m:sepChr m:val=""/>
            <m:grow/>
          </m:dPr>
          <m:e>
            <m:sSub>
              <m:e>
                <m:r>
                  <m:t>x</m:t>
                </m:r>
              </m:e>
              <m:sub>
                <m:r>
                  <m:t>i</m:t>
                </m:r>
                <m:r>
                  <m:rPr>
                    <m:sty m:val="p"/>
                  </m:rPr>
                  <m:t>,</m:t>
                </m:r>
                <m:r>
                  <m:t>0</m:t>
                </m:r>
              </m:sub>
            </m:sSub>
          </m:e>
        </m:d>
        <m:r>
          <m:rPr>
            <m:sty m:val="p"/>
          </m:rPr>
          <m:t>−</m:t>
        </m:r>
        <m:r>
          <m:t>C</m:t>
        </m:r>
        <m:r>
          <m:rPr>
            <m:sty m:val="p"/>
          </m:rPr>
          <m:t>⋅</m:t>
        </m:r>
        <m:f>
          <m:fPr>
            <m:type m:val="bar"/>
          </m:fPr>
          <m:num>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num>
          <m:den>
            <m:r>
              <m:t>N</m:t>
            </m:r>
          </m:den>
        </m:f>
        <m:r>
          <m:rPr>
            <m:sty m:val="p"/>
          </m:rPr>
          <m:t>+</m:t>
        </m:r>
        <m:f>
          <m:fPr>
            <m:type m:val="bar"/>
          </m:fPr>
          <m:num>
            <m:r>
              <m:t>β</m:t>
            </m:r>
          </m:num>
          <m:den>
            <m:r>
              <m:t>1</m:t>
            </m:r>
            <m:r>
              <m:rPr>
                <m:sty m:val="p"/>
              </m:rPr>
              <m:t>−</m:t>
            </m:r>
            <m:r>
              <m:t>β</m:t>
            </m:r>
          </m:den>
        </m:f>
        <m:r>
          <m:t>P</m:t>
        </m:r>
        <m:r>
          <m:rPr>
            <m:sty m:val="p"/>
          </m:rPr>
          <m:t>⋅</m:t>
        </m:r>
        <m:r>
          <m:t>A</m:t>
        </m:r>
        <m:r>
          <m:rPr>
            <m:sty m:val="p"/>
          </m:rPr>
          <m:t>⋅</m:t>
        </m:r>
        <m:r>
          <m:t>F</m:t>
        </m:r>
        <m:d>
          <m:dPr>
            <m:begChr m:val="("/>
            <m:endChr m:val=")"/>
            <m:sepChr m:val=""/>
            <m:grow/>
          </m:dPr>
          <m:e>
            <m:r>
              <m:t>Q</m:t>
            </m:r>
            <m:r>
              <m:rPr>
                <m:sty m:val="p"/>
              </m:rPr>
              <m:t>⋅</m:t>
            </m:r>
            <m:f>
              <m:fPr>
                <m:type m:val="bar"/>
              </m:fPr>
              <m:num>
                <m:sSub>
                  <m:e>
                    <m:r>
                      <m:t>x</m:t>
                    </m:r>
                  </m:e>
                  <m:sub>
                    <m:r>
                      <m:t>i</m:t>
                    </m:r>
                    <m:r>
                      <m:rPr>
                        <m:sty m:val="p"/>
                      </m:rPr>
                      <m:t>,</m:t>
                    </m:r>
                    <m:r>
                      <m:t>0</m:t>
                    </m:r>
                  </m:sub>
                </m:sSub>
              </m:num>
              <m:den>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den>
            </m:f>
          </m:e>
        </m:d>
      </m:oMath>
    </w:p>
    <w:p>
      <w:pPr>
        <w:pStyle w:val="a0"/>
      </w:pPr>
      <w:r>
        <w:rPr>
          <w:iCs/>
          <w:i/>
        </w:rPr>
        <w:t xml:space="preserve">First-order condition:</w:t>
      </w:r>
      <w:r>
        <w:rPr>
          <w:iCs/>
          <w:i/>
        </w:rPr>
        <w:t xml:space="preserve"> </w:t>
      </w:r>
      <m:oMath>
        <m:r>
          <m:t>P</m:t>
        </m:r>
        <m:r>
          <m:rPr>
            <m:sty m:val="p"/>
          </m:rPr>
          <m:t>⋅</m:t>
        </m:r>
        <m:r>
          <m:t>A</m:t>
        </m:r>
        <m:r>
          <m:rPr>
            <m:sty m:val="p"/>
          </m:rPr>
          <m:t>⋅</m:t>
        </m:r>
        <m:r>
          <m:t>F</m:t>
        </m:r>
        <m:r>
          <m:rPr>
            <m:sty m:val="p"/>
          </m:rPr>
          <m:t>′</m:t>
        </m:r>
        <m:d>
          <m:dPr>
            <m:begChr m:val="("/>
            <m:endChr m:val=")"/>
            <m:sepChr m:val=""/>
            <m:grow/>
          </m:dPr>
          <m:e>
            <m:sSub>
              <m:e>
                <m:r>
                  <m:t>x</m:t>
                </m:r>
              </m:e>
              <m:sub>
                <m:r>
                  <m:t>i</m:t>
                </m:r>
                <m:r>
                  <m:rPr>
                    <m:sty m:val="p"/>
                  </m:rPr>
                  <m:t>,</m:t>
                </m:r>
                <m:r>
                  <m:t>0</m:t>
                </m:r>
              </m:sub>
            </m:sSub>
          </m:e>
        </m:d>
        <m:r>
          <m:rPr>
            <m:sty m:val="p"/>
          </m:rPr>
          <m:t>−</m:t>
        </m:r>
        <m:f>
          <m:fPr>
            <m:type m:val="bar"/>
          </m:fPr>
          <m:num>
            <m:r>
              <m:t>C</m:t>
            </m:r>
          </m:num>
          <m:den>
            <m:r>
              <m:t>N</m:t>
            </m:r>
          </m:den>
        </m:f>
        <m:r>
          <m:rPr>
            <m:sty m:val="p"/>
          </m:rPr>
          <m:t>+</m:t>
        </m:r>
        <m:f>
          <m:fPr>
            <m:type m:val="bar"/>
          </m:fPr>
          <m:num>
            <m:r>
              <m:t>β</m:t>
            </m:r>
          </m:num>
          <m:den>
            <m:r>
              <m:t>1</m:t>
            </m:r>
            <m:r>
              <m:rPr>
                <m:sty m:val="p"/>
              </m:rPr>
              <m:t>−</m:t>
            </m:r>
            <m:r>
              <m:t>β</m:t>
            </m:r>
          </m:den>
        </m:f>
        <m:d>
          <m:dPr>
            <m:begChr m:val="["/>
            <m:endChr m:val="]"/>
            <m:sepChr m:val=""/>
            <m:grow/>
          </m:dPr>
          <m:e>
            <m:r>
              <m:t>P</m:t>
            </m:r>
            <m:r>
              <m:rPr>
                <m:sty m:val="p"/>
              </m:rPr>
              <m:t>⋅</m:t>
            </m:r>
            <m:r>
              <m:t>A</m:t>
            </m:r>
            <m:r>
              <m:rPr>
                <m:sty m:val="p"/>
              </m:rPr>
              <m:t>⋅</m:t>
            </m:r>
            <m:r>
              <m:t>f</m:t>
            </m:r>
            <m:d>
              <m:dPr>
                <m:begChr m:val="("/>
                <m:endChr m:val=")"/>
                <m:sepChr m:val=""/>
                <m:grow/>
              </m:dPr>
              <m:e>
                <m:r>
                  <m:t>Q</m:t>
                </m:r>
                <m:r>
                  <m:rPr>
                    <m:sty m:val="p"/>
                  </m:rPr>
                  <m:t>⋅</m:t>
                </m:r>
                <m:f>
                  <m:fPr>
                    <m:type m:val="bar"/>
                  </m:fPr>
                  <m:num>
                    <m:sSub>
                      <m:e>
                        <m:r>
                          <m:t>x</m:t>
                        </m:r>
                      </m:e>
                      <m:sub>
                        <m:r>
                          <m:t>i</m:t>
                        </m:r>
                        <m:r>
                          <m:rPr>
                            <m:sty m:val="p"/>
                          </m:rPr>
                          <m:t>,</m:t>
                        </m:r>
                        <m:r>
                          <m:t>0</m:t>
                        </m:r>
                      </m:sub>
                    </m:sSub>
                  </m:num>
                  <m:den>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den>
                </m:f>
              </m:e>
            </m:d>
            <m:r>
              <m:rPr>
                <m:sty m:val="p"/>
              </m:rPr>
              <m:t>⋅</m:t>
            </m:r>
            <m:r>
              <m:t>Q</m:t>
            </m:r>
            <m:r>
              <m:rPr>
                <m:sty m:val="p"/>
              </m:rPr>
              <m:t>⋅</m:t>
            </m:r>
            <m:f>
              <m:fPr>
                <m:type m:val="bar"/>
              </m:fPr>
              <m:num>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num>
              <m:den>
                <m:sSup>
                  <m:e>
                    <m:d>
                      <m:dPr>
                        <m:begChr m:val="("/>
                        <m:endChr m:val=")"/>
                        <m:sepChr m:val=""/>
                        <m:grow/>
                      </m:dPr>
                      <m:e>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e>
                    </m:d>
                  </m:e>
                  <m:sup>
                    <m:r>
                      <m:t>2</m:t>
                    </m:r>
                  </m:sup>
                </m:sSup>
              </m:den>
            </m:f>
          </m:e>
        </m:d>
        <m:r>
          <m:rPr>
            <m:sty m:val="p"/>
          </m:rPr>
          <m:t>=</m:t>
        </m:r>
        <m:r>
          <m:t>0</m:t>
        </m:r>
      </m:oMath>
    </w:p>
    <w:p>
      <w:pPr>
        <w:pStyle w:val="a0"/>
      </w:pPr>
      <w:r>
        <w:rPr>
          <w:iCs/>
          <w:i/>
        </w:rPr>
        <w:t xml:space="preserve">where</w:t>
      </w:r>
      <w:r>
        <w:rPr>
          <w:iCs/>
          <w:i/>
        </w:rPr>
        <w:t xml:space="preserve"> </w:t>
      </w:r>
      <m:oMath>
        <m:r>
          <m:t>f</m:t>
        </m:r>
        <m:d>
          <m:dPr>
            <m:begChr m:val="("/>
            <m:endChr m:val=")"/>
            <m:sepChr m:val=""/>
            <m:grow/>
          </m:dPr>
          <m:e>
            <m:r>
              <m:rPr>
                <m:sty m:val="p"/>
              </m:rPr>
              <m:t>⋅</m:t>
            </m:r>
          </m:e>
        </m:d>
      </m:oMath>
      <w:r>
        <w:rPr>
          <w:iCs/>
          <w:i/>
        </w:rPr>
        <w:t xml:space="preserve"> </w:t>
      </w:r>
      <w:r>
        <w:rPr>
          <w:iCs/>
          <w:i/>
        </w:rPr>
        <w:t xml:space="preserve">is the differential function of</w:t>
      </w:r>
      <w:r>
        <w:rPr>
          <w:iCs/>
          <w:i/>
        </w:rPr>
        <w:t xml:space="preserve"> </w:t>
      </w:r>
      <m:oMath>
        <m:r>
          <m:t>F</m:t>
        </m:r>
        <m:d>
          <m:dPr>
            <m:begChr m:val="("/>
            <m:endChr m:val=")"/>
            <m:sepChr m:val=""/>
            <m:grow/>
          </m:dPr>
          <m:e>
            <m:r>
              <m:rPr>
                <m:sty m:val="p"/>
              </m:rPr>
              <m:t>⋅</m:t>
            </m:r>
          </m:e>
        </m:d>
      </m:oMath>
      <w:r>
        <w:rPr>
          <w:iCs/>
          <w:i/>
        </w:rPr>
        <w:t xml:space="preserve">.</w:t>
      </w:r>
    </w:p>
    <w:p>
      <w:pPr>
        <w:pStyle w:val="a0"/>
      </w:pPr>
      <w:r>
        <w:rPr>
          <w:iCs/>
          <w:i/>
        </w:rPr>
        <w:t xml:space="preserve">The optimal water use in province i at t=0</w:t>
      </w:r>
      <w:r>
        <w:rPr>
          <w:iCs/>
          <w:i/>
        </w:rPr>
        <w:t xml:space="preserve"> </w:t>
      </w:r>
      <m:oMath>
        <m:sSubSup>
          <m:e>
            <m:acc>
              <m:accPr>
                <m:chr m:val="̃"/>
              </m:accPr>
              <m:e>
                <m:r>
                  <m:t>x</m:t>
                </m:r>
              </m:e>
            </m:acc>
          </m:e>
          <m:sub>
            <m:r>
              <m:t>i</m:t>
            </m:r>
            <m:r>
              <m:rPr>
                <m:sty m:val="p"/>
              </m:rPr>
              <m:t>,</m:t>
            </m:r>
            <m:r>
              <m:t>0</m:t>
            </m:r>
          </m:sub>
          <m:sup>
            <m:r>
              <m:rPr>
                <m:sty m:val="p"/>
              </m:rPr>
              <m:t>*</m:t>
            </m:r>
          </m:sup>
        </m:sSubSup>
      </m:oMath>
      <w:r>
        <w:rPr>
          <w:iCs/>
          <w:i/>
        </w:rPr>
        <w:t xml:space="preserve"> </w:t>
      </w:r>
      <w:r>
        <w:rPr>
          <w:iCs/>
          <w:i/>
        </w:rPr>
        <w:t xml:space="preserve">satisfies</w:t>
      </w:r>
      <w:r>
        <w:rPr>
          <w:iCs/>
          <w:i/>
        </w:rPr>
        <w:t xml:space="preserve"> </w:t>
      </w:r>
      <m:oMath>
        <m:r>
          <m:t>P</m:t>
        </m:r>
        <m:r>
          <m:rPr>
            <m:sty m:val="p"/>
          </m:rPr>
          <m:t>⋅</m:t>
        </m:r>
        <m:r>
          <m:t>A</m:t>
        </m:r>
        <m:r>
          <m:rPr>
            <m:sty m:val="p"/>
          </m:rPr>
          <m:t>⋅</m:t>
        </m:r>
        <m:r>
          <m:t>F</m:t>
        </m:r>
        <m:r>
          <m:rPr>
            <m:sty m:val="p"/>
          </m:rPr>
          <m:t>′</m:t>
        </m:r>
        <m:d>
          <m:dPr>
            <m:begChr m:val="("/>
            <m:endChr m:val=")"/>
            <m:sepChr m:val=""/>
            <m:grow/>
          </m:dPr>
          <m:e>
            <m:sSub>
              <m:e>
                <m:r>
                  <m:t>x</m:t>
                </m:r>
              </m:e>
              <m:sub>
                <m:r>
                  <m:t>i</m:t>
                </m:r>
                <m:r>
                  <m:rPr>
                    <m:sty m:val="p"/>
                  </m:rPr>
                  <m:t>,</m:t>
                </m:r>
                <m:r>
                  <m:t>0</m:t>
                </m:r>
              </m:sub>
            </m:sSub>
          </m:e>
        </m:d>
        <m:r>
          <m:rPr>
            <m:sty m:val="p"/>
          </m:rPr>
          <m:t>=</m:t>
        </m:r>
        <m:f>
          <m:fPr>
            <m:type m:val="bar"/>
          </m:fPr>
          <m:num>
            <m:r>
              <m:t>C</m:t>
            </m:r>
          </m:num>
          <m:den>
            <m:r>
              <m:t>N</m:t>
            </m:r>
          </m:den>
        </m:f>
        <m:r>
          <m:rPr>
            <m:sty m:val="p"/>
          </m:rPr>
          <m:t>−</m:t>
        </m:r>
        <m:f>
          <m:fPr>
            <m:type m:val="bar"/>
          </m:fPr>
          <m:num>
            <m:r>
              <m:t>β</m:t>
            </m:r>
          </m:num>
          <m:den>
            <m:r>
              <m:t>1</m:t>
            </m:r>
            <m:r>
              <m:rPr>
                <m:sty m:val="p"/>
              </m:rPr>
              <m:t>−</m:t>
            </m:r>
            <m:r>
              <m:t>β</m:t>
            </m:r>
          </m:den>
        </m:f>
        <m:r>
          <m:rPr>
            <m:sty m:val="p"/>
          </m:rPr>
          <m:t>⋅</m:t>
        </m:r>
        <m:r>
          <m:t>P</m:t>
        </m:r>
        <m:r>
          <m:rPr>
            <m:sty m:val="p"/>
          </m:rPr>
          <m:t>⋅</m:t>
        </m:r>
        <m:r>
          <m:t>A</m:t>
        </m:r>
        <m:r>
          <m:rPr>
            <m:sty m:val="p"/>
          </m:rPr>
          <m:t>⋅</m:t>
        </m:r>
        <m:r>
          <m:t>f</m:t>
        </m:r>
        <m:d>
          <m:dPr>
            <m:begChr m:val="("/>
            <m:endChr m:val=")"/>
            <m:sepChr m:val=""/>
            <m:grow/>
          </m:dPr>
          <m:e>
            <m:r>
              <m:t>Q</m:t>
            </m:r>
            <m:r>
              <m:rPr>
                <m:sty m:val="p"/>
              </m:rPr>
              <m:t>⋅</m:t>
            </m:r>
            <m:f>
              <m:fPr>
                <m:type m:val="bar"/>
              </m:fPr>
              <m:num>
                <m:sSub>
                  <m:e>
                    <m:r>
                      <m:t>x</m:t>
                    </m:r>
                  </m:e>
                  <m:sub>
                    <m:r>
                      <m:t>i</m:t>
                    </m:r>
                    <m:r>
                      <m:rPr>
                        <m:sty m:val="p"/>
                      </m:rPr>
                      <m:t>,</m:t>
                    </m:r>
                    <m:r>
                      <m:t>0</m:t>
                    </m:r>
                  </m:sub>
                </m:sSub>
              </m:num>
              <m:den>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den>
            </m:f>
          </m:e>
        </m:d>
        <m:r>
          <m:rPr>
            <m:sty m:val="p"/>
          </m:rPr>
          <m:t>⋅</m:t>
        </m:r>
        <m:r>
          <m:t>Q</m:t>
        </m:r>
        <m:r>
          <m:rPr>
            <m:sty m:val="p"/>
          </m:rPr>
          <m:t>⋅</m:t>
        </m:r>
        <m:f>
          <m:fPr>
            <m:type m:val="bar"/>
          </m:fPr>
          <m:num>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num>
          <m:den>
            <m:sSup>
              <m:e>
                <m:d>
                  <m:dPr>
                    <m:begChr m:val="("/>
                    <m:endChr m:val=")"/>
                    <m:sepChr m:val=""/>
                    <m:grow/>
                  </m:dPr>
                  <m:e>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e>
                </m:d>
              </m:e>
              <m:sup>
                <m:r>
                  <m:t>2</m:t>
                </m:r>
              </m:sup>
            </m:sSup>
          </m:den>
        </m:f>
      </m:oMath>
      <w:r>
        <w:rPr>
          <w:iCs/>
          <w:i/>
        </w:rPr>
        <w:t xml:space="preserve">,</w:t>
      </w:r>
      <w:r>
        <w:rPr>
          <w:iCs/>
          <w:i/>
        </w:rPr>
        <w:t xml:space="preserve"> </w:t>
      </w:r>
      <w:r>
        <w:rPr>
          <w:iCs/>
          <w:i/>
        </w:rPr>
        <w:t xml:space="preserve">i.e.,</w:t>
      </w:r>
      <w:r>
        <w:rPr>
          <w:iCs/>
          <w:i/>
        </w:rPr>
        <w:t xml:space="preserve"> </w:t>
      </w:r>
      <m:oMath>
        <m:r>
          <m:t>A</m:t>
        </m:r>
        <m:r>
          <m:rPr>
            <m:sty m:val="p"/>
          </m:rPr>
          <m:t>⋅</m:t>
        </m:r>
        <m:r>
          <m:t>F</m:t>
        </m:r>
        <m:r>
          <m:rPr>
            <m:sty m:val="p"/>
          </m:rPr>
          <m:t>′</m:t>
        </m:r>
        <m:d>
          <m:dPr>
            <m:begChr m:val="("/>
            <m:endChr m:val=")"/>
            <m:sepChr m:val=""/>
            <m:grow/>
          </m:dPr>
          <m:e>
            <m:sSub>
              <m:e>
                <m:r>
                  <m:t>x</m:t>
                </m:r>
              </m:e>
              <m:sub>
                <m:r>
                  <m:t>i</m:t>
                </m:r>
                <m:r>
                  <m:rPr>
                    <m:sty m:val="p"/>
                  </m:rPr>
                  <m:t>,</m:t>
                </m:r>
                <m:r>
                  <m:t>0</m:t>
                </m:r>
              </m:sub>
            </m:sSub>
          </m:e>
        </m:d>
        <m:r>
          <m:rPr>
            <m:sty m:val="p"/>
          </m:rPr>
          <m:t>=</m:t>
        </m:r>
        <m:f>
          <m:fPr>
            <m:type m:val="bar"/>
          </m:fPr>
          <m:num>
            <m:r>
              <m:t>C</m:t>
            </m:r>
          </m:num>
          <m:den>
            <m:r>
              <m:t>P</m:t>
            </m:r>
            <m:r>
              <m:rPr>
                <m:sty m:val="p"/>
              </m:rPr>
              <m:t>⋅</m:t>
            </m:r>
            <m:r>
              <m:t>N</m:t>
            </m:r>
          </m:den>
        </m:f>
        <m:r>
          <m:rPr>
            <m:sty m:val="p"/>
          </m:rPr>
          <m:t>−</m:t>
        </m:r>
        <m:f>
          <m:fPr>
            <m:type m:val="bar"/>
          </m:fPr>
          <m:num>
            <m:r>
              <m:t>β</m:t>
            </m:r>
          </m:num>
          <m:den>
            <m:r>
              <m:t>1</m:t>
            </m:r>
            <m:r>
              <m:rPr>
                <m:sty m:val="p"/>
              </m:rPr>
              <m:t>−</m:t>
            </m:r>
            <m:r>
              <m:t>β</m:t>
            </m:r>
          </m:den>
        </m:f>
        <m:r>
          <m:rPr>
            <m:sty m:val="p"/>
          </m:rPr>
          <m:t>⋅</m:t>
        </m:r>
        <m:r>
          <m:t>A</m:t>
        </m:r>
        <m:r>
          <m:rPr>
            <m:sty m:val="p"/>
          </m:rPr>
          <m:t>⋅</m:t>
        </m:r>
        <m:r>
          <m:t>f</m:t>
        </m:r>
        <m:d>
          <m:dPr>
            <m:begChr m:val="("/>
            <m:endChr m:val=")"/>
            <m:sepChr m:val=""/>
            <m:grow/>
          </m:dPr>
          <m:e>
            <m:r>
              <m:t>Q</m:t>
            </m:r>
            <m:r>
              <m:rPr>
                <m:sty m:val="p"/>
              </m:rPr>
              <m:t>⋅</m:t>
            </m:r>
            <m:f>
              <m:fPr>
                <m:type m:val="bar"/>
              </m:fPr>
              <m:num>
                <m:sSub>
                  <m:e>
                    <m:r>
                      <m:t>x</m:t>
                    </m:r>
                  </m:e>
                  <m:sub>
                    <m:r>
                      <m:t>i</m:t>
                    </m:r>
                    <m:r>
                      <m:rPr>
                        <m:sty m:val="p"/>
                      </m:rPr>
                      <m:t>,</m:t>
                    </m:r>
                    <m:r>
                      <m:t>0</m:t>
                    </m:r>
                  </m:sub>
                </m:sSub>
              </m:num>
              <m:den>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den>
            </m:f>
          </m:e>
        </m:d>
        <m:r>
          <m:rPr>
            <m:sty m:val="p"/>
          </m:rPr>
          <m:t>⋅</m:t>
        </m:r>
        <m:r>
          <m:t>Q</m:t>
        </m:r>
        <m:r>
          <m:rPr>
            <m:sty m:val="p"/>
          </m:rPr>
          <m:t>⋅</m:t>
        </m:r>
        <m:f>
          <m:fPr>
            <m:type m:val="bar"/>
          </m:fPr>
          <m:num>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num>
          <m:den>
            <m:sSup>
              <m:e>
                <m:d>
                  <m:dPr>
                    <m:begChr m:val="("/>
                    <m:endChr m:val=")"/>
                    <m:sepChr m:val=""/>
                    <m:grow/>
                  </m:dPr>
                  <m:e>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e>
                </m:d>
              </m:e>
              <m:sup>
                <m:r>
                  <m:t>2</m:t>
                </m:r>
              </m:sup>
            </m:sSup>
          </m:den>
        </m:f>
      </m:oMath>
      <w:r>
        <w:rPr>
          <w:iCs/>
          <w:i/>
        </w:rPr>
        <w:t xml:space="preserve">.</w:t>
      </w:r>
    </w:p>
    <w:p>
      <w:pPr>
        <w:pStyle w:val="a0"/>
      </w:pPr>
      <w:r>
        <w:rPr>
          <w:iCs/>
          <w:i/>
        </w:rPr>
        <w:t xml:space="preserve">Since</w:t>
      </w:r>
      <w:r>
        <w:rPr>
          <w:iCs/>
          <w:i/>
        </w:rPr>
        <w:t xml:space="preserve"> </w:t>
      </w:r>
      <m:oMath>
        <m:r>
          <m:t>F</m:t>
        </m:r>
        <m:r>
          <m:rPr>
            <m:sty m:val="p"/>
          </m:rPr>
          <m:t>′</m:t>
        </m:r>
        <m:r>
          <m:rPr>
            <m:sty m:val="p"/>
          </m:rPr>
          <m:t>&gt;</m:t>
        </m:r>
        <m:r>
          <m:t>0</m:t>
        </m:r>
      </m:oMath>
      <w:r>
        <w:rPr>
          <w:iCs/>
          <w:i/>
        </w:rPr>
        <w:t xml:space="preserve"> </w:t>
      </w:r>
      <w:r>
        <w:rPr>
          <w:iCs/>
          <w:i/>
        </w:rPr>
        <w:t xml:space="preserve">and</w:t>
      </w:r>
      <w:r>
        <w:rPr>
          <w:iCs/>
          <w:i/>
        </w:rPr>
        <w:t xml:space="preserve"> </w:t>
      </w:r>
      <m:oMath>
        <m:r>
          <m:t>F</m:t>
        </m:r>
        <m:r>
          <m:rPr>
            <m:sty m:val="p"/>
          </m:rPr>
          <m:t>″</m:t>
        </m:r>
        <m:r>
          <m:rPr>
            <m:sty m:val="p"/>
          </m:rPr>
          <m:t>&lt;</m:t>
        </m:r>
        <m:r>
          <m:t>0</m:t>
        </m:r>
      </m:oMath>
      <w:r>
        <w:rPr>
          <w:iCs/>
          <w:i/>
        </w:rPr>
        <w:t xml:space="preserve">,</w:t>
      </w:r>
      <w:r>
        <w:rPr>
          <w:iCs/>
          <w:i/>
        </w:rPr>
        <w:t xml:space="preserve"> </w:t>
      </w:r>
      <m:oMath>
        <m:sSubSup>
          <m:e>
            <m:acc>
              <m:accPr>
                <m:chr m:val="̃"/>
              </m:accPr>
              <m:e>
                <m:r>
                  <m:t>x</m:t>
                </m:r>
              </m:e>
            </m:acc>
          </m:e>
          <m:sub>
            <m:r>
              <m:t>i</m:t>
            </m:r>
          </m:sub>
          <m:sup>
            <m:r>
              <m:rPr>
                <m:sty m:val="p"/>
              </m:rPr>
              <m:t>*</m:t>
            </m:r>
          </m:sup>
        </m:sSubSup>
        <m:r>
          <m:rPr>
            <m:sty m:val="p"/>
          </m:rPr>
          <m:t>&gt;</m:t>
        </m:r>
        <m:sSubSup>
          <m:e>
            <m:acc>
              <m:accPr>
                <m:chr m:val="̂"/>
              </m:accPr>
              <m:e>
                <m:r>
                  <m:t>x</m:t>
                </m:r>
              </m:e>
            </m:acc>
          </m:e>
          <m:sub>
            <m:r>
              <m:t>i</m:t>
            </m:r>
          </m:sub>
          <m:sup>
            <m:r>
              <m:rPr>
                <m:sty m:val="p"/>
              </m:rPr>
              <m:t>*</m:t>
            </m:r>
          </m:sup>
        </m:sSubSup>
        <m:r>
          <m:rPr>
            <m:sty m:val="p"/>
          </m:rPr>
          <m:t>&gt;</m:t>
        </m:r>
        <m:sSubSup>
          <m:e>
            <m:r>
              <m:t>x</m:t>
            </m:r>
          </m:e>
          <m:sub>
            <m:r>
              <m:t>i</m:t>
            </m:r>
          </m:sub>
          <m:sup>
            <m:r>
              <m:rPr>
                <m:sty m:val="p"/>
              </m:rPr>
              <m:t>*</m:t>
            </m:r>
          </m:sup>
        </m:sSubSup>
      </m:oMath>
      <w:r>
        <w:rPr>
          <w:iCs/>
          <w:i/>
        </w:rPr>
        <w:t xml:space="preserve">, taken others’ water use</w:t>
      </w:r>
      <w:r>
        <w:rPr>
          <w:iCs/>
          <w:i/>
        </w:rPr>
        <w:t xml:space="preserve"> </w:t>
      </w:r>
      <m:oMath>
        <m:sSub>
          <m:e>
            <m:r>
              <m:t>x</m:t>
            </m:r>
          </m:e>
          <m:sub>
            <m:r>
              <m:rPr>
                <m:sty m:val="p"/>
              </m:rPr>
              <m:t>−</m:t>
            </m:r>
            <m:r>
              <m:t>i</m:t>
            </m:r>
            <m:r>
              <m:rPr>
                <m:sty m:val="p"/>
              </m:rPr>
              <m:t>,</m:t>
            </m:r>
            <m:r>
              <m:t>0</m:t>
            </m:r>
          </m:sub>
        </m:sSub>
      </m:oMath>
      <w:r>
        <w:rPr>
          <w:iCs/>
          <w:i/>
        </w:rPr>
        <w:t xml:space="preserve"> </w:t>
      </w:r>
      <w:r>
        <w:rPr>
          <w:iCs/>
          <w:i/>
        </w:rPr>
        <w:t xml:space="preserve">as given. Since the provincial water use decisions are exactly symmetric, total water use would increase when each province has higher incentives for current water use.</w:t>
      </w:r>
    </w:p>
    <w:p>
      <w:pPr>
        <w:pStyle w:val="a0"/>
      </w:pPr>
      <w:r>
        <w:rPr>
          <w:iCs/>
          <w:i/>
        </w:rPr>
        <w:t xml:space="preserve">Proof of Proposition 1:</w:t>
      </w:r>
    </w:p>
    <w:p>
      <w:pPr>
        <w:pStyle w:val="a0"/>
      </w:pPr>
      <w:r>
        <w:rPr>
          <w:iCs/>
          <w:i/>
        </w:rPr>
        <w:t xml:space="preserve">Because</w:t>
      </w:r>
      <w:r>
        <w:rPr>
          <w:iCs/>
          <w:i/>
        </w:rPr>
        <w:t xml:space="preserve"> </w:t>
      </w:r>
      <m:oMath>
        <m:r>
          <m:t>F</m:t>
        </m:r>
        <m:r>
          <m:rPr>
            <m:sty m:val="p"/>
          </m:rPr>
          <m:t>′</m:t>
        </m:r>
        <m:r>
          <m:rPr>
            <m:sty m:val="p"/>
          </m:rPr>
          <m:t>&gt;</m:t>
        </m:r>
        <m:r>
          <m:t>0</m:t>
        </m:r>
      </m:oMath>
      <w:r>
        <w:rPr>
          <w:iCs/>
          <w:i/>
        </w:rPr>
        <w:t xml:space="preserve"> </w:t>
      </w:r>
      <w:r>
        <w:rPr>
          <w:iCs/>
          <w:i/>
        </w:rPr>
        <w:t xml:space="preserve">and</w:t>
      </w:r>
      <w:r>
        <w:rPr>
          <w:iCs/>
          <w:i/>
        </w:rPr>
        <w:t xml:space="preserve"> </w:t>
      </w:r>
      <m:oMath>
        <m:r>
          <m:t>F</m:t>
        </m:r>
        <m:r>
          <m:rPr>
            <m:sty m:val="p"/>
          </m:rPr>
          <m:t>″</m:t>
        </m:r>
        <m:d>
          <m:dPr>
            <m:begChr m:val="("/>
            <m:endChr m:val=")"/>
            <m:sepChr m:val=""/>
            <m:grow/>
          </m:dPr>
          <m:e>
            <m:r>
              <m:t>x</m:t>
            </m:r>
          </m:e>
        </m:d>
        <m:r>
          <m:rPr>
            <m:sty m:val="p"/>
          </m:rPr>
          <m:t>&lt;</m:t>
        </m:r>
        <m:r>
          <m:t>0</m:t>
        </m:r>
      </m:oMath>
      <w:r>
        <w:rPr>
          <w:iCs/>
          <w:i/>
        </w:rPr>
        <w:t xml:space="preserve"> </w:t>
      </w:r>
      <w:r>
        <w:rPr>
          <w:iCs/>
          <w:i/>
        </w:rPr>
        <w:t xml:space="preserve">is monotonically decreasing, based on a comparison of costs and benefits for stakeholders (provinces) in the three cases,</w:t>
      </w:r>
    </w:p>
    <w:p>
      <w:pPr>
        <w:pStyle w:val="a0"/>
      </w:pPr>
      <m:oMath>
        <m:sSubSup>
          <m:e>
            <m:acc>
              <m:accPr>
                <m:chr m:val="̃"/>
              </m:accPr>
              <m:e>
                <m:r>
                  <m:t>x</m:t>
                </m:r>
              </m:e>
            </m:acc>
          </m:e>
          <m:sub>
            <m:r>
              <m:t>i</m:t>
            </m:r>
          </m:sub>
          <m:sup>
            <m:r>
              <m:rPr>
                <m:sty m:val="p"/>
              </m:rPr>
              <m:t>*</m:t>
            </m:r>
          </m:sup>
        </m:sSubSup>
        <m:r>
          <m:rPr>
            <m:sty m:val="p"/>
          </m:rPr>
          <m:t>&gt;</m:t>
        </m:r>
        <m:sSubSup>
          <m:e>
            <m:acc>
              <m:accPr>
                <m:chr m:val="̂"/>
              </m:accPr>
              <m:e>
                <m:r>
                  <m:t>x</m:t>
                </m:r>
              </m:e>
            </m:acc>
          </m:e>
          <m:sub>
            <m:r>
              <m:t>i</m:t>
            </m:r>
          </m:sub>
          <m:sup>
            <m:r>
              <m:rPr>
                <m:sty m:val="p"/>
              </m:rPr>
              <m:t>*</m:t>
            </m:r>
          </m:sup>
        </m:sSubSup>
        <m:r>
          <m:rPr>
            <m:sty m:val="p"/>
          </m:rPr>
          <m:t>&gt;</m:t>
        </m:r>
        <m:sSubSup>
          <m:e>
            <m:r>
              <m:t>x</m:t>
            </m:r>
          </m:e>
          <m:sub>
            <m:r>
              <m:t>i</m:t>
            </m:r>
          </m:sub>
          <m:sup>
            <m:r>
              <m:rPr>
                <m:sty m:val="p"/>
              </m:rPr>
              <m:t>*</m:t>
            </m:r>
          </m:sup>
        </m:sSubSup>
      </m:oMath>
      <w:r>
        <w:rPr>
          <w:iCs/>
          <w:i/>
        </w:rPr>
        <w:t xml:space="preserve">.</w:t>
      </w:r>
    </w:p>
    <w:p>
      <w:pPr>
        <w:pStyle w:val="a0"/>
      </w:pPr>
      <w:r>
        <w:rPr>
          <w:iCs/>
          <w:i/>
        </w:rPr>
        <w:t xml:space="preserve">The result of</w:t>
      </w:r>
      <w:r>
        <w:rPr>
          <w:iCs/>
          <w:i/>
        </w:rPr>
        <w:t xml:space="preserve"> </w:t>
      </w:r>
      <m:oMath>
        <m:sSubSup>
          <m:e>
            <m:acc>
              <m:accPr>
                <m:chr m:val="̂"/>
              </m:accPr>
              <m:e>
                <m:r>
                  <m:t>x</m:t>
                </m:r>
              </m:e>
            </m:acc>
          </m:e>
          <m:sub>
            <m:r>
              <m:t>i</m:t>
            </m:r>
          </m:sub>
          <m:sup>
            <m:r>
              <m:rPr>
                <m:sty m:val="p"/>
              </m:rPr>
              <m:t>*</m:t>
            </m:r>
          </m:sup>
        </m:sSubSup>
        <m:r>
          <m:rPr>
            <m:sty m:val="p"/>
          </m:rPr>
          <m:t>&gt;</m:t>
        </m:r>
        <m:sSubSup>
          <m:e>
            <m:r>
              <m:t>x</m:t>
            </m:r>
          </m:e>
          <m:sub>
            <m:r>
              <m:t>i</m:t>
            </m:r>
          </m:sub>
          <m:sup>
            <m:r>
              <m:rPr>
                <m:sty m:val="p"/>
              </m:rPr>
              <m:t>*</m:t>
            </m:r>
          </m:sup>
        </m:sSubSup>
      </m:oMath>
      <w:r>
        <w:rPr>
          <w:iCs/>
          <w:i/>
        </w:rPr>
        <w:t xml:space="preserve"> </w:t>
      </w:r>
      <w:r>
        <w:rPr>
          <w:iCs/>
          <w:i/>
        </w:rPr>
        <w:t xml:space="preserve">indicates that individual rationality would deviate from collective rationality under unclear property rights where a water user is fully responsible for the relevant costs. The result of</w:t>
      </w:r>
      <w:r>
        <w:rPr>
          <w:iCs/>
          <w:i/>
        </w:rPr>
        <w:t xml:space="preserve"> </w:t>
      </w:r>
      <m:oMath>
        <m:sSubSup>
          <m:e>
            <m:acc>
              <m:accPr>
                <m:chr m:val="̂"/>
              </m:accPr>
              <m:e>
                <m:r>
                  <m:t>x</m:t>
                </m:r>
              </m:e>
            </m:acc>
          </m:e>
          <m:sub>
            <m:r>
              <m:t>i</m:t>
            </m:r>
          </m:sub>
          <m:sup>
            <m:r>
              <m:rPr>
                <m:sty m:val="p"/>
              </m:rPr>
              <m:t>*</m:t>
            </m:r>
          </m:sup>
        </m:sSubSup>
        <m:r>
          <m:rPr>
            <m:sty m:val="p"/>
          </m:rPr>
          <m:t>&gt;</m:t>
        </m:r>
        <m:sSubSup>
          <m:e>
            <m:r>
              <m:t>x</m:t>
            </m:r>
          </m:e>
          <m:sub>
            <m:r>
              <m:t>i</m:t>
            </m:r>
          </m:sub>
          <m:sup>
            <m:r>
              <m:rPr>
                <m:sty m:val="p"/>
              </m:rPr>
              <m:t>*</m:t>
            </m:r>
          </m:sup>
        </m:sSubSup>
      </m:oMath>
    </w:p>
    <w:p>
      <w:pPr>
        <w:pStyle w:val="a0"/>
      </w:pPr>
      <w:r>
        <w:rPr>
          <w:iCs/>
          <w:i/>
        </w:rPr>
        <w:t xml:space="preserve">The difference between</w:t>
      </w:r>
      <w:r>
        <w:rPr>
          <w:iCs/>
          <w:i/>
        </w:rPr>
        <w:t xml:space="preserve"> </w:t>
      </w:r>
      <m:oMath>
        <m:sSubSup>
          <m:e>
            <m:r>
              <m:t>x</m:t>
            </m:r>
          </m:e>
          <m:sub>
            <m:r>
              <m:t>i</m:t>
            </m:r>
          </m:sub>
          <m:sup>
            <m:r>
              <m:rPr>
                <m:sty m:val="p"/>
              </m:rPr>
              <m:t>*</m:t>
            </m:r>
          </m:sup>
        </m:sSubSup>
      </m:oMath>
      <w:r>
        <w:rPr>
          <w:iCs/>
          <w:i/>
        </w:rPr>
        <w:t xml:space="preserve"> </w:t>
      </w:r>
      <w:r>
        <w:rPr>
          <w:iCs/>
          <w:i/>
        </w:rPr>
        <w:t xml:space="preserve">and</w:t>
      </w:r>
      <w:r>
        <w:rPr>
          <w:iCs/>
          <w:i/>
        </w:rPr>
        <w:t xml:space="preserve"> </w:t>
      </w:r>
      <m:oMath>
        <m:sSubSup>
          <m:e>
            <m:acc>
              <m:accPr>
                <m:chr m:val="̂"/>
              </m:accPr>
              <m:e>
                <m:r>
                  <m:t>x</m:t>
                </m:r>
              </m:e>
            </m:acc>
          </m:e>
          <m:sub>
            <m:r>
              <m:t>i</m:t>
            </m:r>
          </m:sub>
          <m:sup>
            <m:r>
              <m:rPr>
                <m:sty m:val="p"/>
              </m:rPr>
              <m:t>*</m:t>
            </m:r>
          </m:sup>
        </m:sSubSup>
      </m:oMath>
      <w:r>
        <w:rPr>
          <w:iCs/>
          <w:i/>
        </w:rPr>
        <w:t xml:space="preserve"> </w:t>
      </w:r>
      <w:r>
        <w:rPr>
          <w:iCs/>
          <w:i/>
        </w:rPr>
        <w:t xml:space="preserve">stems from two parts: the effect of the marginal returns and the effect of the marginal costs. First, the</w:t>
      </w:r>
      <w:r>
        <w:rPr>
          <w:iCs/>
          <w:i/>
        </w:rPr>
        <w:t xml:space="preserve"> </w:t>
      </w:r>
      <w:r>
        <w:rPr>
          <w:iCs/>
          <w:i/>
        </w:rPr>
        <w:t xml:space="preserve">“</w:t>
      </w:r>
      <w:r>
        <w:rPr>
          <w:iCs/>
          <w:i/>
        </w:rPr>
        <w:t xml:space="preserve">shadow value</w:t>
      </w:r>
      <w:r>
        <w:rPr>
          <w:iCs/>
          <w:i/>
        </w:rPr>
        <w:t xml:space="preserve">”</w:t>
      </w:r>
      <w:r>
        <w:rPr>
          <w:iCs/>
          <w:i/>
        </w:rPr>
        <w:t xml:space="preserve"> </w:t>
      </w:r>
      <w:r>
        <w:rPr>
          <w:iCs/>
          <w:i/>
        </w:rPr>
        <w:t xml:space="preserve">provides additional marginal returns of water use in</w:t>
      </w:r>
      <w:r>
        <w:rPr>
          <w:iCs/>
          <w:i/>
        </w:rPr>
        <w:t xml:space="preserve"> </w:t>
      </w:r>
      <m:oMath>
        <m:r>
          <m:t>t</m:t>
        </m:r>
      </m:oMath>
      <w:r>
        <w:rPr>
          <w:iCs/>
          <w:i/>
        </w:rPr>
        <w:t xml:space="preserve"> </w:t>
      </w:r>
      <w:r>
        <w:rPr>
          <w:iCs/>
          <w:i/>
        </w:rPr>
        <w:t xml:space="preserve">= 0, which increases the incentives of water overuse by encouraging bargaining for a larger quota. Second, the future cost of water use would be degraded from</w:t>
      </w:r>
      <w:r>
        <w:rPr>
          <w:iCs/>
          <w:i/>
        </w:rPr>
        <w:t xml:space="preserve"> </w:t>
      </w:r>
      <m:oMath>
        <m:f>
          <m:fPr>
            <m:type m:val="bar"/>
          </m:fPr>
          <m:num>
            <m:r>
              <m:t>P</m:t>
            </m:r>
          </m:num>
          <m:den>
            <m:r>
              <m:t>N</m:t>
            </m:r>
          </m:den>
        </m:f>
      </m:oMath>
      <w:r>
        <w:rPr>
          <w:iCs/>
          <w:i/>
        </w:rPr>
        <w:t xml:space="preserve"> </w:t>
      </w:r>
      <w:r>
        <w:rPr>
          <w:iCs/>
          <w:i/>
        </w:rPr>
        <w:t xml:space="preserve">to an irrelevant cost.</w:t>
      </w:r>
    </w:p>
    <w:p>
      <w:pPr>
        <w:pStyle w:val="a0"/>
      </w:pPr>
      <w:r>
        <w:rPr>
          <w:iCs/>
          <w:i/>
        </w:rPr>
        <w:t xml:space="preserve">Proof of Proposition 2:</w:t>
      </w:r>
    </w:p>
    <w:p>
      <w:pPr>
        <w:pStyle w:val="a0"/>
      </w:pPr>
      <w:r>
        <w:rPr>
          <w:iCs/>
          <w:i/>
        </w:rPr>
        <w:t xml:space="preserve">Since</w:t>
      </w:r>
      <w:r>
        <w:rPr>
          <w:iCs/>
          <w:i/>
        </w:rPr>
        <w:t xml:space="preserve"> </w:t>
      </w:r>
      <m:oMath>
        <m:sSub>
          <m:e>
            <m:r>
              <m:t>A</m:t>
            </m:r>
          </m:e>
          <m:sub>
            <m:r>
              <m:t>H</m:t>
            </m:r>
          </m:sub>
        </m:sSub>
        <m:r>
          <m:rPr>
            <m:sty m:val="p"/>
          </m:rPr>
          <m:t>&gt;</m:t>
        </m:r>
        <m:sSub>
          <m:e>
            <m:r>
              <m:t>A</m:t>
            </m:r>
          </m:e>
          <m:sub>
            <m:r>
              <m:t>L</m:t>
            </m:r>
          </m:sub>
        </m:sSub>
      </m:oMath>
      <w:r>
        <w:rPr>
          <w:iCs/>
          <w:i/>
        </w:rPr>
        <w:t xml:space="preserve">,</w:t>
      </w:r>
      <w:r>
        <w:rPr>
          <w:iCs/>
          <w:i/>
        </w:rPr>
        <w:t xml:space="preserve"> </w:t>
      </w:r>
      <m:oMath>
        <m:r>
          <m:t>F</m:t>
        </m:r>
        <m:r>
          <m:rPr>
            <m:sty m:val="p"/>
          </m:rPr>
          <m:t>′</m:t>
        </m:r>
        <m:d>
          <m:dPr>
            <m:begChr m:val="("/>
            <m:endChr m:val=")"/>
            <m:sepChr m:val=""/>
            <m:grow/>
          </m:dPr>
          <m:e>
            <m:sSub>
              <m:e>
                <m:r>
                  <m:t>x</m:t>
                </m:r>
              </m:e>
              <m:sub>
                <m:r>
                  <m:t>H</m:t>
                </m:r>
              </m:sub>
            </m:sSub>
          </m:e>
        </m:d>
        <m:r>
          <m:rPr>
            <m:sty m:val="p"/>
          </m:rPr>
          <m:t>&lt;</m:t>
        </m:r>
        <m:r>
          <m:t>F</m:t>
        </m:r>
        <m:r>
          <m:rPr>
            <m:sty m:val="p"/>
          </m:rPr>
          <m:t>′</m:t>
        </m:r>
        <m:d>
          <m:dPr>
            <m:begChr m:val="("/>
            <m:endChr m:val=")"/>
            <m:sepChr m:val=""/>
            <m:grow/>
          </m:dPr>
          <m:e>
            <m:sSub>
              <m:e>
                <m:r>
                  <m:t>x</m:t>
                </m:r>
              </m:e>
              <m:sub>
                <m:r>
                  <m:t>L</m:t>
                </m:r>
              </m:sub>
            </m:sSub>
          </m:e>
        </m:d>
      </m:oMath>
      <w:r>
        <w:rPr>
          <w:iCs/>
          <w:i/>
        </w:rPr>
        <w:t xml:space="preserve">,</w:t>
      </w:r>
      <w:r>
        <w:rPr>
          <w:iCs/>
          <w:i/>
        </w:rPr>
        <w:t xml:space="preserve"> </w:t>
      </w:r>
      <w:r>
        <w:rPr>
          <w:iCs/>
          <w:i/>
        </w:rPr>
        <w:t xml:space="preserve">Eq.(xxx)</w:t>
      </w:r>
      <w:r>
        <w:rPr>
          <w:iCs/>
          <w:i/>
        </w:rPr>
        <w:t xml:space="preserve"> </w:t>
      </w:r>
      <w:r>
        <w:rPr>
          <w:iCs/>
          <w:i/>
        </w:rPr>
        <w:t xml:space="preserve">implies a positive relation between</w:t>
      </w:r>
      <w:r>
        <w:rPr>
          <w:iCs/>
          <w:i/>
        </w:rPr>
        <w:t xml:space="preserve"> </w:t>
      </w:r>
      <m:oMath>
        <m:sSub>
          <m:e>
            <m:r>
              <m:t>x</m:t>
            </m:r>
          </m:e>
          <m:sub>
            <m:r>
              <m:t>i</m:t>
            </m:r>
            <m:r>
              <m:t>0</m:t>
            </m:r>
          </m:sub>
        </m:sSub>
      </m:oMath>
      <w:r>
        <w:rPr>
          <w:iCs/>
          <w:i/>
        </w:rPr>
        <w:t xml:space="preserve"> </w:t>
      </w:r>
      <w:r>
        <w:rPr>
          <w:iCs/>
          <w:i/>
        </w:rPr>
        <w:t xml:space="preserve">and A, when</w:t>
      </w:r>
      <w:r>
        <w:rPr>
          <w:iCs/>
          <w:i/>
        </w:rPr>
        <w:t xml:space="preserve"> </w:t>
      </w:r>
      <m:oMath>
        <m:r>
          <m:t>β</m:t>
        </m:r>
        <m:r>
          <m:rPr>
            <m:sty m:val="p"/>
          </m:rPr>
          <m:t>,</m:t>
        </m:r>
        <m:r>
          <m:t>P</m:t>
        </m:r>
        <m:r>
          <m:rPr>
            <m:sty m:val="p"/>
          </m:rPr>
          <m:t>,</m:t>
        </m:r>
        <m:r>
          <m:t>C</m:t>
        </m:r>
        <m:r>
          <m:rPr>
            <m:sty m:val="p"/>
          </m:rPr>
          <m:t>,</m:t>
        </m:r>
        <m:r>
          <m:t>Q</m:t>
        </m:r>
      </m:oMath>
      <w:r>
        <w:rPr>
          <w:iCs/>
          <w:i/>
        </w:rPr>
        <w:t xml:space="preserve">, and other provinces’ water use are taken as given.</w:t>
      </w:r>
    </w:p>
    <w:p>
      <w:pPr>
        <w:pStyle w:val="a0"/>
      </w:pPr>
      <w:r>
        <w:rPr>
          <w:iCs/>
          <w:i/>
        </w:rPr>
        <w:t xml:space="preserve">The difference between</w:t>
      </w:r>
      <w:r>
        <w:rPr>
          <w:iCs/>
          <w:i/>
        </w:rPr>
        <w:t xml:space="preserve"> </w:t>
      </w:r>
      <m:oMath>
        <m:sSubSup>
          <m:e>
            <m:acc>
              <m:accPr>
                <m:chr m:val="̃"/>
              </m:accPr>
              <m:e>
                <m:r>
                  <m:t>x</m:t>
                </m:r>
              </m:e>
            </m:acc>
          </m:e>
          <m:sub>
            <m:r>
              <m:t>i</m:t>
            </m:r>
          </m:sub>
          <m:sup>
            <m:r>
              <m:rPr>
                <m:sty m:val="p"/>
              </m:rPr>
              <m:t>*</m:t>
            </m:r>
          </m:sup>
        </m:sSubSup>
      </m:oMath>
      <w:r>
        <w:rPr>
          <w:iCs/>
          <w:i/>
        </w:rPr>
        <w:t xml:space="preserve"> </w:t>
      </w:r>
      <w:r>
        <w:rPr>
          <w:iCs/>
          <w:i/>
        </w:rPr>
        <w:t xml:space="preserve">and</w:t>
      </w:r>
      <w:r>
        <w:rPr>
          <w:iCs/>
          <w:i/>
        </w:rPr>
        <w:t xml:space="preserve"> </w:t>
      </w:r>
      <m:oMath>
        <m:sSubSup>
          <m:e>
            <m:acc>
              <m:accPr>
                <m:chr m:val="̂"/>
              </m:accPr>
              <m:e>
                <m:r>
                  <m:t>x</m:t>
                </m:r>
              </m:e>
            </m:acc>
          </m:e>
          <m:sub>
            <m:r>
              <m:t>i</m:t>
            </m:r>
          </m:sub>
          <m:sup>
            <m:r>
              <m:rPr>
                <m:sty m:val="p"/>
              </m:rPr>
              <m:t>*</m:t>
            </m:r>
          </m:sup>
        </m:sSubSup>
      </m:oMath>
      <w:r>
        <w:rPr>
          <w:iCs/>
          <w:i/>
        </w:rPr>
        <w:t xml:space="preserve"> </w:t>
      </w:r>
      <w:r>
        <w:rPr>
          <w:iCs/>
          <w:i/>
        </w:rPr>
        <w:t xml:space="preserve">(i.e.,</w:t>
      </w:r>
      <w:r>
        <w:rPr>
          <w:iCs/>
          <w:i/>
        </w:rPr>
        <w:t xml:space="preserve"> </w:t>
      </w:r>
      <m:oMath>
        <m:f>
          <m:fPr>
            <m:type m:val="bar"/>
          </m:fPr>
          <m:num>
            <m:r>
              <m:t>β</m:t>
            </m:r>
          </m:num>
          <m:den>
            <m:r>
              <m:t>1</m:t>
            </m:r>
            <m:r>
              <m:rPr>
                <m:sty m:val="p"/>
              </m:rPr>
              <m:t>−</m:t>
            </m:r>
            <m:r>
              <m:t>β</m:t>
            </m:r>
          </m:den>
        </m:f>
        <m:r>
          <m:rPr>
            <m:sty m:val="p"/>
          </m:rPr>
          <m:t>⋅</m:t>
        </m:r>
        <m:r>
          <m:t>A</m:t>
        </m:r>
        <m:r>
          <m:rPr>
            <m:sty m:val="p"/>
          </m:rPr>
          <m:t>⋅</m:t>
        </m:r>
        <m:r>
          <m:t>f</m:t>
        </m:r>
        <m:d>
          <m:dPr>
            <m:begChr m:val="("/>
            <m:endChr m:val=")"/>
            <m:sepChr m:val=""/>
            <m:grow/>
          </m:dPr>
          <m:e>
            <m:r>
              <m:t>Q</m:t>
            </m:r>
            <m:r>
              <m:rPr>
                <m:sty m:val="p"/>
              </m:rPr>
              <m:t>⋅</m:t>
            </m:r>
            <m:f>
              <m:fPr>
                <m:type m:val="bar"/>
              </m:fPr>
              <m:num>
                <m:sSub>
                  <m:e>
                    <m:r>
                      <m:t>x</m:t>
                    </m:r>
                  </m:e>
                  <m:sub>
                    <m:r>
                      <m:t>i</m:t>
                    </m:r>
                    <m:r>
                      <m:rPr>
                        <m:sty m:val="p"/>
                      </m:rPr>
                      <m:t>,</m:t>
                    </m:r>
                    <m:r>
                      <m:t>0</m:t>
                    </m:r>
                  </m:sub>
                </m:sSub>
              </m:num>
              <m:den>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den>
            </m:f>
          </m:e>
        </m:d>
        <m:r>
          <m:rPr>
            <m:sty m:val="p"/>
          </m:rPr>
          <m:t>⋅</m:t>
        </m:r>
        <m:r>
          <m:t>Q</m:t>
        </m:r>
        <m:r>
          <m:rPr>
            <m:sty m:val="p"/>
          </m:rPr>
          <m:t>⋅</m:t>
        </m:r>
        <m:f>
          <m:fPr>
            <m:type m:val="bar"/>
          </m:fPr>
          <m:num>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num>
          <m:den>
            <m:sSup>
              <m:e>
                <m:d>
                  <m:dPr>
                    <m:begChr m:val="("/>
                    <m:endChr m:val=")"/>
                    <m:sepChr m:val=""/>
                    <m:grow/>
                  </m:dPr>
                  <m:e>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e>
                </m:d>
              </m:e>
              <m:sup>
                <m:r>
                  <m:t>2</m:t>
                </m:r>
              </m:sup>
            </m:sSup>
          </m:den>
        </m:f>
      </m:oMath>
      <w:r>
        <w:rPr>
          <w:iCs/>
          <w:i/>
        </w:rPr>
        <w:t xml:space="preserve">) represents the incentive of water overuse derived from an expectation of water quota allocation. The incentive of water overuse increases by A.</w:t>
      </w:r>
    </w:p>
    <w:bookmarkEnd w:id="83"/>
    <w:bookmarkEnd w:id="84"/>
    <w:bookmarkStart w:id="95" w:name="secS5"/>
    <w:p>
      <w:pPr>
        <w:pStyle w:val="1"/>
      </w:pPr>
      <w:r>
        <w:rPr>
          <w:rStyle w:val="SectionNumber"/>
        </w:rPr>
        <w:t xml:space="preserve">9</w:t>
      </w:r>
      <w:r>
        <w:tab/>
      </w:r>
      <w:r>
        <w:t xml:space="preserve">Appendix D: Model extensions</w:t>
      </w:r>
    </w:p>
    <w:p>
      <w:pPr>
        <w:pStyle w:val="FirstParagraph"/>
      </w:pPr>
      <w:r>
        <w:t xml:space="preserve">Using the marginal benefits analysis (see the Methods section in the main text), we also explored the response of stakeholders to water quota policies. We considered two additional scenarios for stakeholders: technology growth and one that felt different valuations through time (via the discount rate) of economic benefits and ecological costs. In the following scenarios, the cost is assumed to be untransferable, which could be fully allocated to the one incurring the water use. Explaining plausible scenarios for these stakeholders will help us better understand the causes of water overuse and potential solutions. We argue that water overuse remains robust even if a complete and equitable system.</w:t>
      </w:r>
    </w:p>
    <w:p>
      <w:pPr>
        <w:pStyle w:val="a0"/>
      </w:pPr>
      <w:r>
        <w:rPr>
          <w:bCs/>
          <w:b/>
        </w:rPr>
        <w:t xml:space="preserve">Case 4</w:t>
      </w:r>
      <w:r>
        <w:t xml:space="preserve">.</w:t>
      </w:r>
      <w:r>
        <w:t xml:space="preserve"> </w:t>
      </w:r>
      <w:r>
        <w:t xml:space="preserve"> </w:t>
      </w:r>
      <w:r>
        <w:rPr>
          <w:iCs/>
          <w:i/>
        </w:rPr>
        <w:t xml:space="preserve">Forward-looking decentralized decision, taken ecology cost into considerations</w:t>
      </w:r>
    </w:p>
    <w:p>
      <w:pPr>
        <w:pStyle w:val="a0"/>
      </w:pPr>
      <w:r>
        <w:rPr>
          <w:iCs/>
          <w:i/>
        </w:rPr>
        <w:t xml:space="preserve">Even if the negative externality of water overuse is eliminated by</w:t>
      </w:r>
      <w:r>
        <w:rPr>
          <w:iCs/>
          <w:i/>
        </w:rPr>
        <w:t xml:space="preserve"> </w:t>
      </w:r>
      <w:r>
        <w:rPr>
          <w:iCs/>
          <w:i/>
        </w:rPr>
        <w:t xml:space="preserve">“</w:t>
      </w:r>
      <w:r>
        <w:rPr>
          <w:iCs/>
          <w:i/>
        </w:rPr>
        <w:t xml:space="preserve">fair</w:t>
      </w:r>
      <w:r>
        <w:rPr>
          <w:iCs/>
          <w:i/>
        </w:rPr>
        <w:t xml:space="preserve">”</w:t>
      </w:r>
      <w:r>
        <w:rPr>
          <w:iCs/>
          <w:i/>
        </w:rPr>
        <w:t xml:space="preserve"> </w:t>
      </w:r>
      <w:r>
        <w:rPr>
          <w:iCs/>
          <w:i/>
        </w:rPr>
        <w:t xml:space="preserve">ecology cost of</w:t>
      </w:r>
      <w:r>
        <w:rPr>
          <w:iCs/>
          <w:i/>
        </w:rPr>
        <w:t xml:space="preserve"> </w:t>
      </w:r>
      <m:oMath>
        <m:f>
          <m:fPr>
            <m:type m:val="bar"/>
          </m:fPr>
          <m:num>
            <m:sSub>
              <m:e>
                <m:r>
                  <m:t>x</m:t>
                </m:r>
              </m:e>
              <m:sub>
                <m:r>
                  <m:t>i</m:t>
                </m:r>
                <m:r>
                  <m:rPr>
                    <m:sty m:val="p"/>
                  </m:rPr>
                  <m:t>,</m:t>
                </m:r>
                <m:r>
                  <m:t>0</m:t>
                </m:r>
              </m:sub>
            </m:sSub>
          </m:num>
          <m:den>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den>
        </m:f>
        <m:r>
          <m:rPr>
            <m:sty m:val="p"/>
          </m:rPr>
          <m:t>⋅</m:t>
        </m:r>
        <m:r>
          <m:t>Q</m:t>
        </m:r>
        <m:r>
          <m:rPr>
            <m:sty m:val="p"/>
          </m:rPr>
          <m:t>⋅</m:t>
        </m:r>
        <m:r>
          <m:t>C</m:t>
        </m:r>
      </m:oMath>
      <w:r>
        <w:rPr>
          <w:iCs/>
          <w:i/>
        </w:rPr>
        <w:t xml:space="preserve">, it is possible that the future growth opportunities and “remote" ecological costs provide enough incentive for the sprint. Water overuse has the value of future economic benefits by slacking the water use constraint in the future. The heterogeneous production efficiency is omitted in this section, and we set A=1.</w:t>
      </w:r>
    </w:p>
    <w:p>
      <w:pPr>
        <w:pStyle w:val="a0"/>
      </w:pPr>
      <w:r>
        <w:rPr>
          <w:iCs/>
          <w:i/>
        </w:rPr>
        <w:t xml:space="preserve">(a) technology growth</w:t>
      </w:r>
    </w:p>
    <w:p>
      <w:pPr>
        <w:pStyle w:val="a0"/>
      </w:pPr>
      <w:r>
        <w:rPr>
          <w:iCs/>
          <w:i/>
        </w:rPr>
        <w:t xml:space="preserve">Assume that there is an exogenous technology growth rate of g in the scenario of</w:t>
      </w:r>
      <w:r>
        <w:rPr>
          <w:iCs/>
          <w:i/>
        </w:rPr>
        <w:t xml:space="preserve"> </w:t>
      </w:r>
      <m:oMath>
        <m:r>
          <m:t>N</m:t>
        </m:r>
      </m:oMath>
      <w:r>
        <w:rPr>
          <w:iCs/>
          <w:i/>
        </w:rPr>
        <w:t xml:space="preserve"> </w:t>
      </w:r>
      <w:r>
        <w:rPr>
          <w:iCs/>
          <w:i/>
        </w:rPr>
        <w:t xml:space="preserve">provinces bargaining for water use under total quota</w:t>
      </w:r>
      <w:r>
        <w:rPr>
          <w:iCs/>
          <w:i/>
        </w:rPr>
        <w:t xml:space="preserve"> </w:t>
      </w:r>
      <m:oMath>
        <m:r>
          <m:t>Q</m:t>
        </m:r>
      </m:oMath>
      <w:r>
        <w:rPr>
          <w:iCs/>
          <w:i/>
        </w:rPr>
        <w:t xml:space="preserve">, with unit price of output</w:t>
      </w:r>
      <w:r>
        <w:rPr>
          <w:iCs/>
          <w:i/>
        </w:rPr>
        <w:t xml:space="preserve"> </w:t>
      </w:r>
      <m:oMath>
        <m:r>
          <m:t>P</m:t>
        </m:r>
      </m:oMath>
      <w:r>
        <w:rPr>
          <w:iCs/>
          <w:i/>
        </w:rPr>
        <w:t xml:space="preserve">, unit cost</w:t>
      </w:r>
      <w:r>
        <w:rPr>
          <w:iCs/>
          <w:i/>
        </w:rPr>
        <w:t xml:space="preserve"> </w:t>
      </w:r>
      <m:oMath>
        <m:r>
          <m:t>C</m:t>
        </m:r>
      </m:oMath>
      <w:r>
        <w:rPr>
          <w:iCs/>
          <w:i/>
        </w:rPr>
        <w:t xml:space="preserve">, and discount factor</w:t>
      </w:r>
      <w:r>
        <w:rPr>
          <w:iCs/>
          <w:i/>
        </w:rPr>
        <w:t xml:space="preserve"> </w:t>
      </w:r>
      <m:oMath>
        <m:r>
          <m:t>β</m:t>
        </m:r>
      </m:oMath>
      <w:r>
        <w:rPr>
          <w:iCs/>
          <w:i/>
        </w:rPr>
        <w:t xml:space="preserve">. For simplicity, consider a finite-period water use optimization:</w:t>
      </w:r>
    </w:p>
    <w:p>
      <w:pPr>
        <w:pStyle w:val="a0"/>
      </w:pPr>
      <m:oMath>
        <m:r>
          <m:t>m</m:t>
        </m:r>
        <m:r>
          <m:t>a</m:t>
        </m:r>
        <m:r>
          <m:t>x</m:t>
        </m:r>
        <m:r>
          <m:t> </m:t>
        </m:r>
        <m:r>
          <m:t>P</m:t>
        </m:r>
        <m:r>
          <m:rPr>
            <m:sty m:val="p"/>
          </m:rPr>
          <m:t>⋅</m:t>
        </m:r>
        <m:sSup>
          <m:e>
            <m:d>
              <m:dPr>
                <m:begChr m:val="("/>
                <m:endChr m:val=")"/>
                <m:sepChr m:val=""/>
                <m:grow/>
              </m:dPr>
              <m:e>
                <m:r>
                  <m:t>1</m:t>
                </m:r>
                <m:r>
                  <m:rPr>
                    <m:sty m:val="p"/>
                  </m:rPr>
                  <m:t>+</m:t>
                </m:r>
                <m:r>
                  <m:t>g</m:t>
                </m:r>
              </m:e>
            </m:d>
          </m:e>
          <m:sup>
            <m:r>
              <m:t>t</m:t>
            </m:r>
          </m:sup>
        </m:sSup>
        <m:r>
          <m:t>l</m:t>
        </m:r>
        <m:r>
          <m:t>n</m:t>
        </m:r>
        <m:d>
          <m:dPr>
            <m:begChr m:val="("/>
            <m:endChr m:val=")"/>
            <m:sepChr m:val=""/>
            <m:grow/>
          </m:dPr>
          <m:e>
            <m:r>
              <m:t>1</m:t>
            </m:r>
            <m:r>
              <m:rPr>
                <m:sty m:val="p"/>
              </m:rPr>
              <m:t>+</m:t>
            </m:r>
            <m:sSub>
              <m:e>
                <m:r>
                  <m:t>x</m:t>
                </m:r>
              </m:e>
              <m:sub>
                <m:r>
                  <m:t>i</m:t>
                </m:r>
                <m:r>
                  <m:rPr>
                    <m:sty m:val="p"/>
                  </m:rPr>
                  <m:t>,</m:t>
                </m:r>
                <m:r>
                  <m:t>0</m:t>
                </m:r>
              </m:sub>
            </m:sSub>
          </m:e>
        </m:d>
        <m:r>
          <m:rPr>
            <m:sty m:val="p"/>
          </m:rPr>
          <m:t>−</m:t>
        </m:r>
        <m:f>
          <m:fPr>
            <m:type m:val="bar"/>
          </m:fPr>
          <m:num>
            <m:r>
              <m:t>C</m:t>
            </m:r>
          </m:num>
          <m:den>
            <m:r>
              <m:t>N</m:t>
            </m:r>
          </m:den>
        </m:f>
        <m:r>
          <m:rPr>
            <m:sty m:val="p"/>
          </m:rPr>
          <m:t>+</m:t>
        </m:r>
        <m:sSup>
          <m:e>
            <m:r>
              <m:t>β</m:t>
            </m:r>
          </m:e>
          <m:sup>
            <m:r>
              <m:t>t</m:t>
            </m:r>
          </m:sup>
        </m:sSup>
        <m:m>
          <m:mPr>
            <m:baseJc m:val="center"/>
            <m:plcHide m:val="1"/>
            <m:mcs>
              <m:mc>
                <m:mcPr>
                  <m:mcJc m:val="center"/>
                  <m:count m:val="1"/>
                </m:mcPr>
              </m:mc>
            </m:mcs>
          </m:mPr>
          <m:mr>
            <m:e>
              <m:nary>
                <m:naryPr>
                  <m:chr m:val="∑"/>
                  <m:limLoc m:val="undOvr"/>
                  <m:subHide m:val="0"/>
                  <m:supHide m:val="0"/>
                </m:naryPr>
                <m:sub>
                  <m:r>
                    <m:t>t</m:t>
                  </m:r>
                  <m:r>
                    <m:rPr>
                      <m:sty m:val="p"/>
                    </m:rPr>
                    <m:t>=</m:t>
                  </m:r>
                  <m:r>
                    <m:t>1</m:t>
                  </m:r>
                </m:sub>
                <m:sup>
                  <m:r>
                    <m:t>T</m:t>
                  </m:r>
                </m:sup>
                <m:e>
                  <m:d>
                    <m:dPr>
                      <m:begChr m:val="["/>
                      <m:endChr m:val="]"/>
                      <m:sepChr m:val=""/>
                      <m:grow/>
                    </m:dPr>
                    <m:e>
                      <m:r>
                        <m:t>P</m:t>
                      </m:r>
                      <m:r>
                        <m:rPr>
                          <m:sty m:val="p"/>
                        </m:rPr>
                        <m:t>⋅</m:t>
                      </m:r>
                      <m:sSup>
                        <m:e>
                          <m:d>
                            <m:dPr>
                              <m:begChr m:val="("/>
                              <m:endChr m:val=")"/>
                              <m:sepChr m:val=""/>
                              <m:grow/>
                            </m:dPr>
                            <m:e>
                              <m:r>
                                <m:t>1</m:t>
                              </m:r>
                              <m:r>
                                <m:rPr>
                                  <m:sty m:val="p"/>
                                </m:rPr>
                                <m:t>+</m:t>
                              </m:r>
                              <m:r>
                                <m:t>g</m:t>
                              </m:r>
                            </m:e>
                          </m:d>
                        </m:e>
                        <m:sup>
                          <m:r>
                            <m:t>t</m:t>
                          </m:r>
                        </m:sup>
                      </m:sSup>
                      <m:r>
                        <m:t>l</m:t>
                      </m:r>
                      <m:r>
                        <m:t>n</m:t>
                      </m:r>
                      <m:d>
                        <m:dPr>
                          <m:begChr m:val="("/>
                          <m:endChr m:val=")"/>
                          <m:sepChr m:val=""/>
                          <m:grow/>
                        </m:dPr>
                        <m:e>
                          <m:sSub>
                            <m:e>
                              <m:r>
                                <m:t>x</m:t>
                              </m:r>
                            </m:e>
                            <m:sub>
                              <m:r>
                                <m:t>i</m:t>
                              </m:r>
                              <m:r>
                                <m:rPr>
                                  <m:sty m:val="p"/>
                                </m:rPr>
                                <m:t>,</m:t>
                              </m:r>
                              <m:r>
                                <m:t>t</m:t>
                              </m:r>
                            </m:sub>
                          </m:sSub>
                          <m:r>
                            <m:rPr>
                              <m:sty m:val="p"/>
                            </m:rPr>
                            <m:t>+</m:t>
                          </m:r>
                          <m:r>
                            <m:t>1</m:t>
                          </m:r>
                        </m:e>
                      </m:d>
                      <m:r>
                        <m:rPr>
                          <m:sty m:val="p"/>
                        </m:rPr>
                        <m:t>−</m:t>
                      </m:r>
                      <m:r>
                        <m:t>C</m:t>
                      </m:r>
                      <m:r>
                        <m:rPr>
                          <m:sty m:val="p"/>
                        </m:rPr>
                        <m:t>⋅</m:t>
                      </m:r>
                      <m:sSub>
                        <m:e>
                          <m:r>
                            <m:t>x</m:t>
                          </m:r>
                        </m:e>
                        <m:sub>
                          <m:r>
                            <m:t>i</m:t>
                          </m:r>
                          <m:r>
                            <m:rPr>
                              <m:sty m:val="p"/>
                            </m:rPr>
                            <m:t>,</m:t>
                          </m:r>
                          <m:r>
                            <m:t>t</m:t>
                          </m:r>
                        </m:sub>
                      </m:sSub>
                    </m:e>
                  </m:d>
                </m:e>
              </m:nary>
            </m:e>
          </m:mr>
        </m:m>
      </m:oMath>
    </w:p>
    <w:p>
      <w:pPr>
        <w:pStyle w:val="a0"/>
      </w:pPr>
      <m:oMath>
        <m:r>
          <m:t>s</m:t>
        </m:r>
        <m:r>
          <m:rPr>
            <m:sty m:val="p"/>
          </m:rPr>
          <m:t>.</m:t>
        </m:r>
        <m:r>
          <m:t>t</m:t>
        </m:r>
        <m:r>
          <m:rPr>
            <m:sty m:val="p"/>
          </m:rPr>
          <m:t>.</m:t>
        </m:r>
        <m:r>
          <m:t> </m:t>
        </m:r>
        <m:sSub>
          <m:e>
            <m:r>
              <m:t>x</m:t>
            </m:r>
          </m:e>
          <m:sub>
            <m:r>
              <m:t>i</m:t>
            </m:r>
            <m:r>
              <m:rPr>
                <m:sty m:val="p"/>
              </m:rPr>
              <m:t>,</m:t>
            </m:r>
            <m:r>
              <m:t>t</m:t>
            </m:r>
          </m:sub>
        </m:sSub>
        <m:r>
          <m:rPr>
            <m:sty m:val="p"/>
          </m:rPr>
          <m:t>≤</m:t>
        </m:r>
        <m:r>
          <m:t>Q</m:t>
        </m:r>
        <m:r>
          <m:rPr>
            <m:sty m:val="p"/>
          </m:rPr>
          <m:t>⋅</m:t>
        </m:r>
        <m:f>
          <m:fPr>
            <m:type m:val="bar"/>
          </m:fPr>
          <m:num>
            <m:sSub>
              <m:e>
                <m:r>
                  <m:t>x</m:t>
                </m:r>
              </m:e>
              <m:sub>
                <m:r>
                  <m:t>i</m:t>
                </m:r>
                <m:r>
                  <m:rPr>
                    <m:sty m:val="p"/>
                  </m:rPr>
                  <m:t>,</m:t>
                </m:r>
                <m:r>
                  <m:t>0</m:t>
                </m:r>
              </m:sub>
            </m:sSub>
          </m:num>
          <m:den>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den>
        </m:f>
        <m:r>
          <m:t> </m:t>
        </m:r>
        <m:r>
          <m:t>f</m:t>
        </m:r>
        <m:r>
          <m:t>o</m:t>
        </m:r>
        <m:r>
          <m:t>r</m:t>
        </m:r>
        <m:r>
          <m:t> </m:t>
        </m:r>
        <m:r>
          <m:rPr>
            <m:sty m:val="p"/>
          </m:rPr>
          <m:t>∀</m:t>
        </m:r>
        <m:r>
          <m:t>t</m:t>
        </m:r>
      </m:oMath>
    </w:p>
    <w:p>
      <w:pPr>
        <w:pStyle w:val="a0"/>
      </w:pPr>
      <w:r>
        <w:rPr>
          <w:iCs/>
          <w:i/>
        </w:rPr>
        <w:t xml:space="preserve">We depict the relationship between multi-period profit and water use</w:t>
      </w:r>
      <w:r>
        <w:rPr>
          <w:iCs/>
          <w:i/>
        </w:rPr>
        <w:t xml:space="preserve"> </w:t>
      </w:r>
      <m:oMath>
        <m:sSub>
          <m:e>
            <m:r>
              <m:t>x</m:t>
            </m:r>
          </m:e>
          <m:sub>
            <m:r>
              <m:t>i</m:t>
            </m:r>
            <m:r>
              <m:rPr>
                <m:sty m:val="p"/>
              </m:rPr>
              <m:t>,</m:t>
            </m:r>
            <m:r>
              <m:t>0</m:t>
            </m:r>
          </m:sub>
        </m:sSub>
      </m:oMath>
      <w:r>
        <w:rPr>
          <w:iCs/>
          <w:i/>
        </w:rPr>
        <w:t xml:space="preserve"> </w:t>
      </w:r>
      <w:r>
        <w:rPr>
          <w:iCs/>
          <w:i/>
        </w:rPr>
        <w:t xml:space="preserve">in different horizons in Figure </w:t>
      </w:r>
      <w:hyperlink w:anchor="fig:technology">
        <w:r>
          <w:rPr>
            <w:rStyle w:val="ae"/>
            <w:iCs/>
            <w:i/>
          </w:rPr>
          <w:t xml:space="preserve">3</w:t>
        </w:r>
      </w:hyperlink>
      <w:r>
        <w:rPr>
          <w:iCs/>
          <w:i/>
        </w:rPr>
        <w:t xml:space="preserve"> </w:t>
      </w:r>
      <w:r>
        <w:rPr>
          <w:iCs/>
          <w:i/>
        </w:rPr>
        <w:t xml:space="preserve">, and thus find out the optimal water use pattern under technology growth. The higher marginal water output might create enough incentive to offset the untransferable cost since a higher allocated quota provides growth option value. On the other hand, as the provincial decision is under a longer horizon, there is a more significant sprint effect due to higher accumulated yield and relatively tighter water use constraints over time.</w:t>
      </w:r>
    </w:p>
    <w:p>
      <w:pPr>
        <w:pStyle w:val="CaptionedFigure"/>
      </w:pPr>
      <w:bookmarkStart w:id="88" w:name="fig:technology"/>
      <w:r>
        <w:drawing>
          <wp:inline>
            <wp:extent cx="5727700" cy="4294547"/>
            <wp:effectExtent b="0" l="0" r="0" t="0"/>
            <wp:docPr descr="Figure 3: Multi-period optimization of optimal water use under technology growth. The figure depicts the relationship of multi-period benefits of province i and water use under Case 3 with technology growth. Assume F(x)=ln(1+x), N=8, P=1, C=0.5, \beta=0.7, g=0.2, and Q=8." title="" id="86" name="Picture"/>
            <a:graphic>
              <a:graphicData uri="http://schemas.openxmlformats.org/drawingml/2006/picture">
                <pic:pic>
                  <pic:nvPicPr>
                    <pic:cNvPr descr="outputs/Fig3.jpg" id="87" name="Picture"/>
                    <pic:cNvPicPr>
                      <a:picLocks noChangeArrowheads="1" noChangeAspect="1"/>
                    </pic:cNvPicPr>
                  </pic:nvPicPr>
                  <pic:blipFill>
                    <a:blip r:embed="rId85"/>
                    <a:stretch>
                      <a:fillRect/>
                    </a:stretch>
                  </pic:blipFill>
                  <pic:spPr bwMode="auto">
                    <a:xfrm>
                      <a:off x="0" y="0"/>
                      <a:ext cx="5727700" cy="4294547"/>
                    </a:xfrm>
                    <a:prstGeom prst="rect">
                      <a:avLst/>
                    </a:prstGeom>
                    <a:noFill/>
                    <a:ln w="9525">
                      <a:noFill/>
                      <a:headEnd/>
                      <a:tailEnd/>
                    </a:ln>
                  </pic:spPr>
                </pic:pic>
              </a:graphicData>
            </a:graphic>
          </wp:inline>
        </w:drawing>
      </w:r>
      <w:bookmarkEnd w:id="88"/>
    </w:p>
    <w:p>
      <w:pPr>
        <w:pStyle w:val="ImageCaption"/>
      </w:pPr>
      <w:bookmarkStart w:id="89" w:name="ref_fig:technology"/>
      <w:r>
        <w:t xml:space="preserve">Figure </w:t>
      </w:r>
      <w:fldSimple w:instr="SEQ Figure \* ARABIC ">
        <w:r>
          <w:t>3</w:t>
        </w:r>
      </w:fldSimple>
      <w:bookmarkEnd w:id="89"/>
      <w:r>
        <w:t xml:space="preserve">: </w:t>
      </w:r>
      <w:r>
        <w:t xml:space="preserve">Figure 3: Multi-period optimization of optimal water use under technology growth. The figure depicts the relationship of multi-period benefits of province</w:t>
      </w:r>
      <w:r>
        <w:t xml:space="preserve"> </w:t>
      </w:r>
      <m:oMath>
        <m:r>
          <m:t>i</m:t>
        </m:r>
      </m:oMath>
      <w:r>
        <w:t xml:space="preserve"> </w:t>
      </w:r>
      <w:r>
        <w:t xml:space="preserve">and water use under Case 3 with technology growth. Assume</w:t>
      </w:r>
      <w:r>
        <w:t xml:space="preserve"> </w:t>
      </w:r>
      <m:oMath>
        <m:r>
          <m:t>F</m:t>
        </m:r>
        <m:d>
          <m:dPr>
            <m:begChr m:val="("/>
            <m:endChr m:val=")"/>
            <m:sepChr m:val=""/>
            <m:grow/>
          </m:dPr>
          <m:e>
            <m:r>
              <m:t>x</m:t>
            </m:r>
          </m:e>
        </m:d>
        <m:r>
          <m:rPr>
            <m:sty m:val="p"/>
          </m:rPr>
          <m:t>=</m:t>
        </m:r>
        <m:r>
          <m:t>l</m:t>
        </m:r>
        <m:r>
          <m:t>n</m:t>
        </m:r>
        <m:d>
          <m:dPr>
            <m:begChr m:val="("/>
            <m:endChr m:val=")"/>
            <m:sepChr m:val=""/>
            <m:grow/>
          </m:dPr>
          <m:e>
            <m:r>
              <m:t>1</m:t>
            </m:r>
            <m:r>
              <m:rPr>
                <m:sty m:val="p"/>
              </m:rPr>
              <m:t>+</m:t>
            </m:r>
            <m:r>
              <m:t>x</m:t>
            </m:r>
          </m:e>
        </m:d>
      </m:oMath>
      <w:r>
        <w:t xml:space="preserve">,</w:t>
      </w:r>
      <w:r>
        <w:t xml:space="preserve"> </w:t>
      </w:r>
      <m:oMath>
        <m:r>
          <m:t>N</m:t>
        </m:r>
        <m:r>
          <m:rPr>
            <m:sty m:val="p"/>
          </m:rPr>
          <m:t>=</m:t>
        </m:r>
        <m:r>
          <m:t>8</m:t>
        </m:r>
      </m:oMath>
      <w:r>
        <w:t xml:space="preserve">,</w:t>
      </w:r>
      <w:r>
        <w:t xml:space="preserve"> </w:t>
      </w:r>
      <m:oMath>
        <m:r>
          <m:t>P</m:t>
        </m:r>
        <m:r>
          <m:rPr>
            <m:sty m:val="p"/>
          </m:rPr>
          <m:t>=</m:t>
        </m:r>
        <m:r>
          <m:t>1</m:t>
        </m:r>
      </m:oMath>
      <w:r>
        <w:t xml:space="preserve">,</w:t>
      </w:r>
      <w:r>
        <w:t xml:space="preserve"> </w:t>
      </w:r>
      <m:oMath>
        <m:r>
          <m:t>C</m:t>
        </m:r>
        <m:r>
          <m:rPr>
            <m:sty m:val="p"/>
          </m:rPr>
          <m:t>=</m:t>
        </m:r>
        <m:r>
          <m:t>0.5</m:t>
        </m:r>
      </m:oMath>
      <w:r>
        <w:t xml:space="preserve">,</w:t>
      </w:r>
      <w:r>
        <w:t xml:space="preserve"> </w:t>
      </w:r>
      <m:oMath>
        <m:r>
          <m:t>β</m:t>
        </m:r>
        <m:r>
          <m:rPr>
            <m:sty m:val="p"/>
          </m:rPr>
          <m:t>=</m:t>
        </m:r>
        <m:r>
          <m:t>0.7</m:t>
        </m:r>
      </m:oMath>
      <w:r>
        <w:t xml:space="preserve">,</w:t>
      </w:r>
      <w:r>
        <w:t xml:space="preserve"> </w:t>
      </w:r>
      <m:oMath>
        <m:r>
          <m:t>g</m:t>
        </m:r>
        <m:r>
          <m:rPr>
            <m:sty m:val="p"/>
          </m:rPr>
          <m:t>=</m:t>
        </m:r>
        <m:r>
          <m:t>0.2</m:t>
        </m:r>
      </m:oMath>
      <w:r>
        <w:t xml:space="preserve">, and</w:t>
      </w:r>
      <w:r>
        <w:t xml:space="preserve"> </w:t>
      </w:r>
      <m:oMath>
        <m:r>
          <m:t>Q</m:t>
        </m:r>
        <m:r>
          <m:rPr>
            <m:sty m:val="p"/>
          </m:rPr>
          <m:t>=</m:t>
        </m:r>
        <m:r>
          <m:t>8</m:t>
        </m:r>
      </m:oMath>
      <w:r>
        <w:t xml:space="preserve">.</w:t>
      </w:r>
    </w:p>
    <w:p>
      <w:pPr>
        <w:pStyle w:val="a0"/>
      </w:pPr>
      <w:r>
        <w:rPr>
          <w:iCs/>
          <w:i/>
        </w:rPr>
        <w:t xml:space="preserve">(b) Economic benefits and</w:t>
      </w:r>
      <w:r>
        <w:rPr>
          <w:iCs/>
          <w:i/>
        </w:rPr>
        <w:t xml:space="preserve"> </w:t>
      </w:r>
      <w:r>
        <w:rPr>
          <w:iCs/>
          <w:i/>
        </w:rPr>
        <w:t xml:space="preserve">“</w:t>
      </w:r>
      <w:r>
        <w:rPr>
          <w:iCs/>
          <w:i/>
        </w:rPr>
        <w:t xml:space="preserve">remote</w:t>
      </w:r>
      <w:r>
        <w:rPr>
          <w:iCs/>
          <w:i/>
        </w:rPr>
        <w:t xml:space="preserve">”</w:t>
      </w:r>
      <w:r>
        <w:rPr>
          <w:iCs/>
          <w:i/>
        </w:rPr>
        <w:t xml:space="preserve"> </w:t>
      </w:r>
      <w:r>
        <w:rPr>
          <w:iCs/>
          <w:i/>
        </w:rPr>
        <w:t xml:space="preserve">ecological costs with different discount factors</w:t>
      </w:r>
    </w:p>
    <w:p>
      <w:pPr>
        <w:pStyle w:val="a0"/>
      </w:pPr>
      <w:r>
        <w:rPr>
          <w:iCs/>
          <w:i/>
        </w:rPr>
        <w:t xml:space="preserve">Assuming that there is a high discount rate for economic benefits and a low discount rate for ecological costs, in the scenario of</w:t>
      </w:r>
      <w:r>
        <w:rPr>
          <w:iCs/>
          <w:i/>
        </w:rPr>
        <w:t xml:space="preserve"> </w:t>
      </w:r>
      <m:oMath>
        <m:r>
          <m:t>N</m:t>
        </m:r>
      </m:oMath>
      <w:r>
        <w:rPr>
          <w:iCs/>
          <w:i/>
        </w:rPr>
        <w:t xml:space="preserve"> </w:t>
      </w:r>
      <w:r>
        <w:rPr>
          <w:iCs/>
          <w:i/>
        </w:rPr>
        <w:t xml:space="preserve">provinces bargaining for water use under total quota</w:t>
      </w:r>
      <w:r>
        <w:rPr>
          <w:iCs/>
          <w:i/>
        </w:rPr>
        <w:t xml:space="preserve"> </w:t>
      </w:r>
      <m:oMath>
        <m:r>
          <m:t>Q</m:t>
        </m:r>
      </m:oMath>
      <w:r>
        <w:rPr>
          <w:iCs/>
          <w:i/>
        </w:rPr>
        <w:t xml:space="preserve">, with unit price of output</w:t>
      </w:r>
      <w:r>
        <w:rPr>
          <w:iCs/>
          <w:i/>
        </w:rPr>
        <w:t xml:space="preserve"> </w:t>
      </w:r>
      <m:oMath>
        <m:r>
          <m:t>P</m:t>
        </m:r>
      </m:oMath>
      <w:r>
        <w:rPr>
          <w:iCs/>
          <w:i/>
        </w:rPr>
        <w:t xml:space="preserve">, unit cost</w:t>
      </w:r>
      <w:r>
        <w:rPr>
          <w:iCs/>
          <w:i/>
        </w:rPr>
        <w:t xml:space="preserve"> </w:t>
      </w:r>
      <m:oMath>
        <m:r>
          <m:t>C</m:t>
        </m:r>
      </m:oMath>
      <w:r>
        <w:rPr>
          <w:iCs/>
          <w:i/>
        </w:rPr>
        <w:t xml:space="preserve">, discount factor</w:t>
      </w:r>
      <w:r>
        <w:rPr>
          <w:iCs/>
          <w:i/>
        </w:rPr>
        <w:t xml:space="preserve"> </w:t>
      </w:r>
      <m:oMath>
        <m:sSup>
          <m:e>
            <m:r>
              <m:t>β</m:t>
            </m:r>
          </m:e>
          <m:sup>
            <m:r>
              <m:t>e</m:t>
            </m:r>
            <m:r>
              <m:t>c</m:t>
            </m:r>
            <m:r>
              <m:t>o</m:t>
            </m:r>
            <m:r>
              <m:t>n</m:t>
            </m:r>
            <m:r>
              <m:t>o</m:t>
            </m:r>
            <m:r>
              <m:t>m</m:t>
            </m:r>
            <m:r>
              <m:t>y</m:t>
            </m:r>
          </m:sup>
        </m:sSup>
      </m:oMath>
      <w:r>
        <w:rPr>
          <w:iCs/>
          <w:i/>
        </w:rPr>
        <w:t xml:space="preserve"> </w:t>
      </w:r>
      <w:r>
        <w:rPr>
          <w:iCs/>
          <w:i/>
        </w:rPr>
        <w:t xml:space="preserve">and</w:t>
      </w:r>
      <w:r>
        <w:rPr>
          <w:iCs/>
          <w:i/>
        </w:rPr>
        <w:t xml:space="preserve"> </w:t>
      </w:r>
      <m:oMath>
        <m:sSup>
          <m:e>
            <m:r>
              <m:t>β</m:t>
            </m:r>
          </m:e>
          <m:sup>
            <m:r>
              <m:t>e</m:t>
            </m:r>
            <m:r>
              <m:t>c</m:t>
            </m:r>
            <m:r>
              <m:t>o</m:t>
            </m:r>
            <m:r>
              <m:t>l</m:t>
            </m:r>
            <m:r>
              <m:t>o</m:t>
            </m:r>
            <m:r>
              <m:t>g</m:t>
            </m:r>
            <m:r>
              <m:t>y</m:t>
            </m:r>
          </m:sup>
        </m:sSup>
      </m:oMath>
      <w:r>
        <w:rPr>
          <w:iCs/>
          <w:i/>
        </w:rPr>
        <w:t xml:space="preserve"> </w:t>
      </w:r>
      <w:r>
        <w:rPr>
          <w:iCs/>
          <w:i/>
        </w:rPr>
        <w:t xml:space="preserve">(</w:t>
      </w:r>
      <m:oMath>
        <m:sSup>
          <m:e>
            <m:r>
              <m:t>β</m:t>
            </m:r>
          </m:e>
          <m:sup>
            <m:r>
              <m:t>e</m:t>
            </m:r>
            <m:r>
              <m:t>c</m:t>
            </m:r>
            <m:r>
              <m:t>o</m:t>
            </m:r>
            <m:r>
              <m:t>n</m:t>
            </m:r>
            <m:r>
              <m:t>o</m:t>
            </m:r>
            <m:r>
              <m:t>m</m:t>
            </m:r>
            <m:r>
              <m:t>y</m:t>
            </m:r>
          </m:sup>
        </m:sSup>
        <m:r>
          <m:rPr>
            <m:sty m:val="p"/>
          </m:rPr>
          <m:t>&gt;</m:t>
        </m:r>
        <m:sSup>
          <m:e>
            <m:r>
              <m:t>β</m:t>
            </m:r>
          </m:e>
          <m:sup>
            <m:r>
              <m:t>e</m:t>
            </m:r>
            <m:r>
              <m:t>c</m:t>
            </m:r>
            <m:r>
              <m:t>o</m:t>
            </m:r>
            <m:r>
              <m:t>l</m:t>
            </m:r>
            <m:r>
              <m:t>o</m:t>
            </m:r>
            <m:r>
              <m:t>g</m:t>
            </m:r>
            <m:r>
              <m:t>y</m:t>
            </m:r>
          </m:sup>
        </m:sSup>
      </m:oMath>
      <w:r>
        <w:rPr>
          <w:iCs/>
          <w:i/>
        </w:rPr>
        <w:t xml:space="preserve">). For simplicity, consider the following finite-period water use optimization, noting the water use of province</w:t>
      </w:r>
      <w:r>
        <w:rPr>
          <w:iCs/>
          <w:i/>
        </w:rPr>
        <w:t xml:space="preserve"> </w:t>
      </w:r>
      <m:oMath>
        <m:r>
          <m:t>i</m:t>
        </m:r>
      </m:oMath>
      <w:r>
        <w:rPr>
          <w:iCs/>
          <w:i/>
        </w:rPr>
        <w:t xml:space="preserve"> </w:t>
      </w:r>
      <w:r>
        <w:rPr>
          <w:iCs/>
          <w:i/>
        </w:rPr>
        <w:t xml:space="preserve">at period</w:t>
      </w:r>
      <w:r>
        <w:rPr>
          <w:iCs/>
          <w:i/>
        </w:rPr>
        <w:t xml:space="preserve"> </w:t>
      </w:r>
      <m:oMath>
        <m:r>
          <m:t>t</m:t>
        </m:r>
      </m:oMath>
      <w:r>
        <w:rPr>
          <w:iCs/>
          <w:i/>
        </w:rPr>
        <w:t xml:space="preserve">:</w:t>
      </w:r>
    </w:p>
    <w:p>
      <w:pPr>
        <w:pStyle w:val="a0"/>
      </w:pPr>
      <m:oMath>
        <m:r>
          <m:t>m</m:t>
        </m:r>
        <m:r>
          <m:t>a</m:t>
        </m:r>
        <m:r>
          <m:t>x</m:t>
        </m:r>
        <m:r>
          <m:t> </m:t>
        </m:r>
        <m:r>
          <m:t>P</m:t>
        </m:r>
        <m:r>
          <m:rPr>
            <m:sty m:val="p"/>
          </m:rPr>
          <m:t>⋅</m:t>
        </m:r>
        <m:r>
          <m:t>l</m:t>
        </m:r>
        <m:r>
          <m:t>n</m:t>
        </m:r>
        <m:d>
          <m:dPr>
            <m:begChr m:val="("/>
            <m:endChr m:val=")"/>
            <m:sepChr m:val=""/>
            <m:grow/>
          </m:dPr>
          <m:e>
            <m:r>
              <m:t>1</m:t>
            </m:r>
            <m:r>
              <m:rPr>
                <m:sty m:val="p"/>
              </m:rPr>
              <m:t>+</m:t>
            </m:r>
            <m:sSub>
              <m:e>
                <m:r>
                  <m:t>x</m:t>
                </m:r>
              </m:e>
              <m:sub>
                <m:r>
                  <m:t>i</m:t>
                </m:r>
                <m:r>
                  <m:rPr>
                    <m:sty m:val="p"/>
                  </m:rPr>
                  <m:t>,</m:t>
                </m:r>
                <m:r>
                  <m:t>0</m:t>
                </m:r>
              </m:sub>
            </m:sSub>
          </m:e>
        </m:d>
        <m:r>
          <m:rPr>
            <m:sty m:val="p"/>
          </m:rPr>
          <m:t>−</m:t>
        </m:r>
        <m:f>
          <m:fPr>
            <m:type m:val="bar"/>
          </m:fPr>
          <m:num>
            <m:r>
              <m:t>C</m:t>
            </m:r>
          </m:num>
          <m:den>
            <m:r>
              <m:t>N</m:t>
            </m:r>
          </m:den>
        </m:f>
        <m:r>
          <m:rPr>
            <m:sty m:val="p"/>
          </m:rPr>
          <m:t>+</m:t>
        </m:r>
        <m:sSubSup>
          <m:e>
            <m:r>
              <m:t>β</m:t>
            </m:r>
          </m:e>
          <m:sub>
            <m:r>
              <m:t>1</m:t>
            </m:r>
          </m:sub>
          <m:sup>
            <m:r>
              <m:t>t</m:t>
            </m:r>
          </m:sup>
        </m:sSubSup>
        <m:m>
          <m:mPr>
            <m:baseJc m:val="center"/>
            <m:plcHide m:val="1"/>
            <m:mcs>
              <m:mc>
                <m:mcPr>
                  <m:mcJc m:val="center"/>
                  <m:count m:val="1"/>
                </m:mcPr>
              </m:mc>
            </m:mcs>
          </m:mPr>
          <m:mr>
            <m:e>
              <m:nary>
                <m:naryPr>
                  <m:chr m:val="∑"/>
                  <m:limLoc m:val="undOvr"/>
                  <m:subHide m:val="0"/>
                  <m:supHide m:val="0"/>
                </m:naryPr>
                <m:sub>
                  <m:r>
                    <m:t>t</m:t>
                  </m:r>
                  <m:r>
                    <m:rPr>
                      <m:sty m:val="p"/>
                    </m:rPr>
                    <m:t>=</m:t>
                  </m:r>
                  <m:r>
                    <m:t>1</m:t>
                  </m:r>
                </m:sub>
                <m:sup>
                  <m:r>
                    <m:t>T</m:t>
                  </m:r>
                </m:sup>
                <m:e>
                  <m:d>
                    <m:dPr>
                      <m:begChr m:val="["/>
                      <m:endChr m:val="]"/>
                      <m:sepChr m:val=""/>
                      <m:grow/>
                    </m:dPr>
                    <m:e>
                      <m:r>
                        <m:t>P</m:t>
                      </m:r>
                      <m:r>
                        <m:rPr>
                          <m:sty m:val="p"/>
                        </m:rPr>
                        <m:t>⋅</m:t>
                      </m:r>
                      <m:r>
                        <m:t>l</m:t>
                      </m:r>
                      <m:r>
                        <m:t>n</m:t>
                      </m:r>
                      <m:d>
                        <m:dPr>
                          <m:begChr m:val="("/>
                          <m:endChr m:val=")"/>
                          <m:sepChr m:val=""/>
                          <m:grow/>
                        </m:dPr>
                        <m:e>
                          <m:sSub>
                            <m:e>
                              <m:r>
                                <m:t>x</m:t>
                              </m:r>
                            </m:e>
                            <m:sub>
                              <m:r>
                                <m:t>i</m:t>
                              </m:r>
                              <m:r>
                                <m:rPr>
                                  <m:sty m:val="p"/>
                                </m:rPr>
                                <m:t>,</m:t>
                              </m:r>
                              <m:r>
                                <m:t>t</m:t>
                              </m:r>
                            </m:sub>
                          </m:sSub>
                          <m:r>
                            <m:rPr>
                              <m:sty m:val="p"/>
                            </m:rPr>
                            <m:t>+</m:t>
                          </m:r>
                          <m:r>
                            <m:t>1</m:t>
                          </m:r>
                        </m:e>
                      </m:d>
                    </m:e>
                  </m:d>
                </m:e>
              </m:nary>
            </m:e>
          </m:mr>
        </m:m>
        <m:r>
          <m:rPr>
            <m:sty m:val="p"/>
          </m:rPr>
          <m:t>−</m:t>
        </m:r>
        <m:sSubSup>
          <m:e>
            <m:r>
              <m:t>β</m:t>
            </m:r>
          </m:e>
          <m:sub>
            <m:r>
              <m:t>2</m:t>
            </m:r>
          </m:sub>
          <m:sup>
            <m:r>
              <m:t>t</m:t>
            </m:r>
          </m:sup>
        </m:sSubSup>
        <m:m>
          <m:mPr>
            <m:baseJc m:val="center"/>
            <m:plcHide m:val="1"/>
            <m:mcs>
              <m:mc>
                <m:mcPr>
                  <m:mcJc m:val="center"/>
                  <m:count m:val="1"/>
                </m:mcPr>
              </m:mc>
            </m:mcs>
          </m:mPr>
          <m:mr>
            <m:e>
              <m:nary>
                <m:naryPr>
                  <m:chr m:val="∑"/>
                  <m:limLoc m:val="undOvr"/>
                  <m:subHide m:val="0"/>
                  <m:supHide m:val="0"/>
                </m:naryPr>
                <m:sub>
                  <m:r>
                    <m:t>t</m:t>
                  </m:r>
                  <m:r>
                    <m:rPr>
                      <m:sty m:val="p"/>
                    </m:rPr>
                    <m:t>=</m:t>
                  </m:r>
                  <m:r>
                    <m:t>1</m:t>
                  </m:r>
                </m:sub>
                <m:sup>
                  <m:r>
                    <m:t>T</m:t>
                  </m:r>
                </m:sup>
                <m:e>
                  <m:d>
                    <m:dPr>
                      <m:begChr m:val="["/>
                      <m:endChr m:val="]"/>
                      <m:sepChr m:val=""/>
                      <m:grow/>
                    </m:dPr>
                    <m:e>
                      <m:r>
                        <m:t>C</m:t>
                      </m:r>
                      <m:r>
                        <m:rPr>
                          <m:sty m:val="p"/>
                        </m:rPr>
                        <m:t>⋅</m:t>
                      </m:r>
                      <m:sSub>
                        <m:e>
                          <m:r>
                            <m:t>x</m:t>
                          </m:r>
                        </m:e>
                        <m:sub>
                          <m:r>
                            <m:t>i</m:t>
                          </m:r>
                          <m:r>
                            <m:rPr>
                              <m:sty m:val="p"/>
                            </m:rPr>
                            <m:t>,</m:t>
                          </m:r>
                          <m:r>
                            <m:t>t</m:t>
                          </m:r>
                        </m:sub>
                      </m:sSub>
                    </m:e>
                  </m:d>
                </m:e>
              </m:nary>
            </m:e>
          </m:mr>
        </m:m>
      </m:oMath>
    </w:p>
    <w:p>
      <w:pPr>
        <w:pStyle w:val="a0"/>
      </w:pPr>
      <m:oMath>
        <m:r>
          <m:t>s</m:t>
        </m:r>
        <m:r>
          <m:rPr>
            <m:sty m:val="p"/>
          </m:rPr>
          <m:t>.</m:t>
        </m:r>
        <m:r>
          <m:t>t</m:t>
        </m:r>
        <m:r>
          <m:rPr>
            <m:sty m:val="p"/>
          </m:rPr>
          <m:t>.</m:t>
        </m:r>
        <m:r>
          <m:t> </m:t>
        </m:r>
        <m:sSub>
          <m:e>
            <m:r>
              <m:t>x</m:t>
            </m:r>
          </m:e>
          <m:sub>
            <m:r>
              <m:t>i</m:t>
            </m:r>
            <m:r>
              <m:rPr>
                <m:sty m:val="p"/>
              </m:rPr>
              <m:t>,</m:t>
            </m:r>
            <m:r>
              <m:t>t</m:t>
            </m:r>
          </m:sub>
        </m:sSub>
        <m:r>
          <m:rPr>
            <m:sty m:val="p"/>
          </m:rPr>
          <m:t>≤</m:t>
        </m:r>
        <m:r>
          <m:t>Q</m:t>
        </m:r>
        <m:r>
          <m:rPr>
            <m:sty m:val="p"/>
          </m:rPr>
          <m:t>⋅</m:t>
        </m:r>
        <m:f>
          <m:fPr>
            <m:type m:val="bar"/>
          </m:fPr>
          <m:num>
            <m:sSub>
              <m:e>
                <m:r>
                  <m:t>x</m:t>
                </m:r>
              </m:e>
              <m:sub>
                <m:r>
                  <m:t>i</m:t>
                </m:r>
                <m:r>
                  <m:rPr>
                    <m:sty m:val="p"/>
                  </m:rPr>
                  <m:t>,</m:t>
                </m:r>
                <m:r>
                  <m:t>0</m:t>
                </m:r>
              </m:sub>
            </m:sSub>
          </m:num>
          <m:den>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den>
        </m:f>
        <m:r>
          <m:t> </m:t>
        </m:r>
        <m:r>
          <m:t>f</m:t>
        </m:r>
        <m:r>
          <m:t>o</m:t>
        </m:r>
        <m:r>
          <m:t>r</m:t>
        </m:r>
        <m:r>
          <m:t> </m:t>
        </m:r>
        <m:r>
          <m:rPr>
            <m:sty m:val="p"/>
          </m:rPr>
          <m:t>∀</m:t>
        </m:r>
        <m:r>
          <m:t>t</m:t>
        </m:r>
      </m:oMath>
    </w:p>
    <w:p>
      <w:pPr>
        <w:pStyle w:val="a0"/>
      </w:pPr>
      <w:r>
        <w:rPr>
          <w:iCs/>
          <w:i/>
        </w:rPr>
        <w:t xml:space="preserve">We depict the relationship of multi-period net income and water use</w:t>
      </w:r>
      <w:r>
        <w:rPr>
          <w:iCs/>
          <w:i/>
        </w:rPr>
        <w:t xml:space="preserve"> </w:t>
      </w:r>
      <m:oMath>
        <m:sSub>
          <m:e>
            <m:r>
              <m:t>x</m:t>
            </m:r>
          </m:e>
          <m:sub>
            <m:r>
              <m:t>i</m:t>
            </m:r>
            <m:r>
              <m:rPr>
                <m:sty m:val="p"/>
              </m:rPr>
              <m:t>,</m:t>
            </m:r>
            <m:r>
              <m:t>0</m:t>
            </m:r>
          </m:sub>
        </m:sSub>
      </m:oMath>
      <w:r>
        <w:rPr>
          <w:iCs/>
          <w:i/>
        </w:rPr>
        <w:t xml:space="preserve"> </w:t>
      </w:r>
      <w:r>
        <w:rPr>
          <w:iCs/>
          <w:i/>
        </w:rPr>
        <w:t xml:space="preserve">in different horizons in Figure </w:t>
      </w:r>
      <w:hyperlink w:anchor="fig:remote">
        <w:r>
          <w:rPr>
            <w:rStyle w:val="ae"/>
            <w:iCs/>
            <w:i/>
          </w:rPr>
          <w:t xml:space="preserve">4</w:t>
        </w:r>
      </w:hyperlink>
      <w:r>
        <w:rPr>
          <w:iCs/>
          <w:i/>
        </w:rPr>
        <w:t xml:space="preserve"> </w:t>
      </w:r>
      <w:r>
        <w:rPr>
          <w:iCs/>
          <w:i/>
        </w:rPr>
        <w:t xml:space="preserve">, and thus find out the optimal water use pattern under</w:t>
      </w:r>
      <w:r>
        <w:rPr>
          <w:iCs/>
          <w:i/>
        </w:rPr>
        <w:t xml:space="preserve"> </w:t>
      </w:r>
      <w:r>
        <w:rPr>
          <w:iCs/>
          <w:i/>
        </w:rPr>
        <w:t xml:space="preserve">“</w:t>
      </w:r>
      <w:r>
        <w:rPr>
          <w:iCs/>
          <w:i/>
        </w:rPr>
        <w:t xml:space="preserve">remote</w:t>
      </w:r>
      <w:r>
        <w:rPr>
          <w:iCs/>
          <w:i/>
        </w:rPr>
        <w:t xml:space="preserve">”</w:t>
      </w:r>
      <w:r>
        <w:rPr>
          <w:iCs/>
          <w:i/>
        </w:rPr>
        <w:t xml:space="preserve"> </w:t>
      </w:r>
      <w:r>
        <w:rPr>
          <w:iCs/>
          <w:i/>
        </w:rPr>
        <w:t xml:space="preserve">ecological costs. The higher discounted ecological costs might create enough incentive to set off the untransferable cost. On the other hand, as the provincial decision is under a longer horizon, a more significant sprint effect is due to a higher accumulated yield.</w:t>
      </w:r>
    </w:p>
    <w:p>
      <w:pPr>
        <w:pStyle w:val="CaptionedFigure"/>
      </w:pPr>
      <w:bookmarkStart w:id="93" w:name="fig:remote"/>
      <w:r>
        <w:drawing>
          <wp:inline>
            <wp:extent cx="5727700" cy="4294547"/>
            <wp:effectExtent b="0" l="0" r="0" t="0"/>
            <wp:docPr descr="Figure 4: Multi-period optimization of water use under “remote” ecological cost. The figure depicts the relationship of multi-period benefits of province i and water use under Case 3 with “remote” ecological cost. Assume F(x)=ln(1+x), N=8, P=1, C=0.5, \beta_{economy}=0.7, \beta_{ecology}=0.3, and Q=8." title="" id="91" name="Picture"/>
            <a:graphic>
              <a:graphicData uri="http://schemas.openxmlformats.org/drawingml/2006/picture">
                <pic:pic>
                  <pic:nvPicPr>
                    <pic:cNvPr descr="outputs/Fig4.jpg" id="92" name="Picture"/>
                    <pic:cNvPicPr>
                      <a:picLocks noChangeArrowheads="1" noChangeAspect="1"/>
                    </pic:cNvPicPr>
                  </pic:nvPicPr>
                  <pic:blipFill>
                    <a:blip r:embed="rId90"/>
                    <a:stretch>
                      <a:fillRect/>
                    </a:stretch>
                  </pic:blipFill>
                  <pic:spPr bwMode="auto">
                    <a:xfrm>
                      <a:off x="0" y="0"/>
                      <a:ext cx="5727700" cy="4294547"/>
                    </a:xfrm>
                    <a:prstGeom prst="rect">
                      <a:avLst/>
                    </a:prstGeom>
                    <a:noFill/>
                    <a:ln w="9525">
                      <a:noFill/>
                      <a:headEnd/>
                      <a:tailEnd/>
                    </a:ln>
                  </pic:spPr>
                </pic:pic>
              </a:graphicData>
            </a:graphic>
          </wp:inline>
        </w:drawing>
      </w:r>
      <w:bookmarkEnd w:id="93"/>
    </w:p>
    <w:p>
      <w:pPr>
        <w:pStyle w:val="ImageCaption"/>
      </w:pPr>
      <w:bookmarkStart w:id="94" w:name="ref_fig:remote"/>
      <w:r>
        <w:t xml:space="preserve">Figure </w:t>
      </w:r>
      <w:fldSimple w:instr="SEQ Figure \* ARABIC ">
        <w:r>
          <w:t>4</w:t>
        </w:r>
      </w:fldSimple>
      <w:bookmarkEnd w:id="94"/>
      <w:r>
        <w:t xml:space="preserve">: </w:t>
      </w:r>
      <w:r>
        <w:t xml:space="preserve">Figure 4: Multi-period optimization of water use under</w:t>
      </w:r>
      <w:r>
        <w:t xml:space="preserve"> </w:t>
      </w:r>
      <w:r>
        <w:t xml:space="preserve">“</w:t>
      </w:r>
      <w:r>
        <w:t xml:space="preserve">remote</w:t>
      </w:r>
      <w:r>
        <w:t xml:space="preserve">”</w:t>
      </w:r>
      <w:r>
        <w:t xml:space="preserve"> </w:t>
      </w:r>
      <w:r>
        <w:t xml:space="preserve">ecological cost. The figure depicts the relationship of multi-period benefits of province</w:t>
      </w:r>
      <w:r>
        <w:t xml:space="preserve"> </w:t>
      </w:r>
      <m:oMath>
        <m:r>
          <m:t>i</m:t>
        </m:r>
      </m:oMath>
      <w:r>
        <w:t xml:space="preserve"> </w:t>
      </w:r>
      <w:r>
        <w:t xml:space="preserve">and water use under Case 3 with</w:t>
      </w:r>
      <w:r>
        <w:t xml:space="preserve"> </w:t>
      </w:r>
      <w:r>
        <w:t xml:space="preserve">“</w:t>
      </w:r>
      <w:r>
        <w:t xml:space="preserve">remote</w:t>
      </w:r>
      <w:r>
        <w:t xml:space="preserve">”</w:t>
      </w:r>
      <w:r>
        <w:t xml:space="preserve"> </w:t>
      </w:r>
      <w:r>
        <w:t xml:space="preserve">ecological cost. Assume</w:t>
      </w:r>
      <w:r>
        <w:t xml:space="preserve"> </w:t>
      </w:r>
      <m:oMath>
        <m:r>
          <m:t>F</m:t>
        </m:r>
        <m:d>
          <m:dPr>
            <m:begChr m:val="("/>
            <m:endChr m:val=")"/>
            <m:sepChr m:val=""/>
            <m:grow/>
          </m:dPr>
          <m:e>
            <m:r>
              <m:t>x</m:t>
            </m:r>
          </m:e>
        </m:d>
        <m:r>
          <m:rPr>
            <m:sty m:val="p"/>
          </m:rPr>
          <m:t>=</m:t>
        </m:r>
        <m:r>
          <m:t>l</m:t>
        </m:r>
        <m:r>
          <m:t>n</m:t>
        </m:r>
        <m:d>
          <m:dPr>
            <m:begChr m:val="("/>
            <m:endChr m:val=")"/>
            <m:sepChr m:val=""/>
            <m:grow/>
          </m:dPr>
          <m:e>
            <m:r>
              <m:t>1</m:t>
            </m:r>
            <m:r>
              <m:rPr>
                <m:sty m:val="p"/>
              </m:rPr>
              <m:t>+</m:t>
            </m:r>
            <m:r>
              <m:t>x</m:t>
            </m:r>
          </m:e>
        </m:d>
      </m:oMath>
      <w:r>
        <w:t xml:space="preserve">,</w:t>
      </w:r>
      <w:r>
        <w:t xml:space="preserve"> </w:t>
      </w:r>
      <m:oMath>
        <m:r>
          <m:t>N</m:t>
        </m:r>
        <m:r>
          <m:rPr>
            <m:sty m:val="p"/>
          </m:rPr>
          <m:t>=</m:t>
        </m:r>
        <m:r>
          <m:t>8</m:t>
        </m:r>
      </m:oMath>
      <w:r>
        <w:t xml:space="preserve">,</w:t>
      </w:r>
      <w:r>
        <w:t xml:space="preserve"> </w:t>
      </w:r>
      <m:oMath>
        <m:r>
          <m:t>P</m:t>
        </m:r>
        <m:r>
          <m:rPr>
            <m:sty m:val="p"/>
          </m:rPr>
          <m:t>=</m:t>
        </m:r>
        <m:r>
          <m:t>1</m:t>
        </m:r>
      </m:oMath>
      <w:r>
        <w:t xml:space="preserve">,</w:t>
      </w:r>
      <w:r>
        <w:t xml:space="preserve"> </w:t>
      </w:r>
      <m:oMath>
        <m:r>
          <m:t>C</m:t>
        </m:r>
        <m:r>
          <m:rPr>
            <m:sty m:val="p"/>
          </m:rPr>
          <m:t>=</m:t>
        </m:r>
        <m:r>
          <m:t>0.5</m:t>
        </m:r>
      </m:oMath>
      <w:r>
        <w:t xml:space="preserve">,</w:t>
      </w:r>
      <w:r>
        <w:t xml:space="preserve"> </w:t>
      </w:r>
      <m:oMath>
        <m:sSub>
          <m:e>
            <m:r>
              <m:t>β</m:t>
            </m:r>
          </m:e>
          <m:sub>
            <m:r>
              <m:t>e</m:t>
            </m:r>
            <m:r>
              <m:t>c</m:t>
            </m:r>
            <m:r>
              <m:t>o</m:t>
            </m:r>
            <m:r>
              <m:t>n</m:t>
            </m:r>
            <m:r>
              <m:t>o</m:t>
            </m:r>
            <m:r>
              <m:t>m</m:t>
            </m:r>
            <m:r>
              <m:t>y</m:t>
            </m:r>
          </m:sub>
        </m:sSub>
        <m:r>
          <m:rPr>
            <m:sty m:val="p"/>
          </m:rPr>
          <m:t>=</m:t>
        </m:r>
        <m:r>
          <m:t>0.7</m:t>
        </m:r>
      </m:oMath>
      <w:r>
        <w:t xml:space="preserve">,</w:t>
      </w:r>
      <w:r>
        <w:t xml:space="preserve"> </w:t>
      </w:r>
      <m:oMath>
        <m:sSub>
          <m:e>
            <m:r>
              <m:t>β</m:t>
            </m:r>
          </m:e>
          <m:sub>
            <m:r>
              <m:t>e</m:t>
            </m:r>
            <m:r>
              <m:t>c</m:t>
            </m:r>
            <m:r>
              <m:t>o</m:t>
            </m:r>
            <m:r>
              <m:t>l</m:t>
            </m:r>
            <m:r>
              <m:t>o</m:t>
            </m:r>
            <m:r>
              <m:t>g</m:t>
            </m:r>
            <m:r>
              <m:t>y</m:t>
            </m:r>
          </m:sub>
        </m:sSub>
        <m:r>
          <m:rPr>
            <m:sty m:val="p"/>
          </m:rPr>
          <m:t>=</m:t>
        </m:r>
        <m:r>
          <m:t>0.3</m:t>
        </m:r>
      </m:oMath>
      <w:r>
        <w:t xml:space="preserve">, and</w:t>
      </w:r>
      <w:r>
        <w:t xml:space="preserve"> </w:t>
      </w:r>
      <m:oMath>
        <m:r>
          <m:t>Q</m:t>
        </m:r>
        <m:r>
          <m:rPr>
            <m:sty m:val="p"/>
          </m:rPr>
          <m:t>=</m:t>
        </m:r>
        <m:r>
          <m:t>8</m:t>
        </m:r>
      </m:oMath>
      <w:r>
        <w:t xml:space="preserve">.</w:t>
      </w:r>
    </w:p>
    <w:bookmarkEnd w:id="95"/>
    <w:bookmarkStart w:id="205" w:name="bibliography"/>
    <w:p>
      <w:pPr>
        <w:pStyle w:val="1"/>
      </w:pPr>
      <w:r>
        <w:t xml:space="preserve">Reference</w:t>
      </w:r>
    </w:p>
    <w:bookmarkStart w:id="204" w:name="refs"/>
    <w:bookmarkStart w:id="97" w:name="ref-distefano2017"/>
    <w:p>
      <w:pPr>
        <w:pStyle w:val="a8"/>
      </w:pPr>
      <w:r>
        <w:t xml:space="preserve">1.</w:t>
      </w:r>
      <w:r>
        <w:t xml:space="preserve"> </w:t>
      </w:r>
      <w:r>
        <w:t xml:space="preserve">	</w:t>
      </w:r>
      <w:r>
        <w:t xml:space="preserve">Distefano, T. &amp; Kelly, S.</w:t>
      </w:r>
      <w:r>
        <w:t xml:space="preserve"> </w:t>
      </w:r>
      <w:hyperlink r:id="rId96">
        <w:r>
          <w:rPr>
            <w:rStyle w:val="ae"/>
          </w:rPr>
          <w:t xml:space="preserve">Are we in deep water?</w:t>
        </w:r>
        <w:r>
          <w:rPr>
            <w:rStyle w:val="ae"/>
          </w:rPr>
          <w:t xml:space="preserve"> </w:t>
        </w:r>
        <w:r>
          <w:rPr>
            <w:rStyle w:val="ae"/>
          </w:rPr>
          <w:t xml:space="preserve">Water</w:t>
        </w:r>
        <w:r>
          <w:rPr>
            <w:rStyle w:val="ae"/>
          </w:rPr>
          <w:t xml:space="preserve"> </w:t>
        </w:r>
        <w:r>
          <w:rPr>
            <w:rStyle w:val="ae"/>
          </w:rPr>
          <w:t xml:space="preserve">scarcity and its limits to economic growth</w:t>
        </w:r>
      </w:hyperlink>
      <w:r>
        <w:t xml:space="preserve">.</w:t>
      </w:r>
      <w:r>
        <w:t xml:space="preserve"> </w:t>
      </w:r>
      <w:r>
        <w:rPr>
          <w:iCs/>
          <w:i/>
        </w:rPr>
        <w:t xml:space="preserve">Ecological Economics</w:t>
      </w:r>
      <w:r>
        <w:t xml:space="preserve"> </w:t>
      </w:r>
      <w:r>
        <w:rPr>
          <w:bCs/>
          <w:b/>
        </w:rPr>
        <w:t xml:space="preserve">142</w:t>
      </w:r>
      <w:r>
        <w:t xml:space="preserve">, 130–147 (2017).</w:t>
      </w:r>
    </w:p>
    <w:bookmarkEnd w:id="97"/>
    <w:bookmarkStart w:id="99" w:name="ref-dolan2021"/>
    <w:p>
      <w:pPr>
        <w:pStyle w:val="a8"/>
      </w:pPr>
      <w:r>
        <w:t xml:space="preserve">2.</w:t>
      </w:r>
      <w:r>
        <w:t xml:space="preserve"> </w:t>
      </w:r>
      <w:r>
        <w:t xml:space="preserve">	</w:t>
      </w:r>
      <w:r>
        <w:t xml:space="preserve">Dolan, F.</w:t>
      </w:r>
      <w:r>
        <w:t xml:space="preserve"> </w:t>
      </w:r>
      <w:r>
        <w:rPr>
          <w:iCs/>
          <w:i/>
        </w:rPr>
        <w:t xml:space="preserve">et al.</w:t>
      </w:r>
      <w:r>
        <w:t xml:space="preserve"> </w:t>
      </w:r>
      <w:hyperlink r:id="rId98">
        <w:r>
          <w:rPr>
            <w:rStyle w:val="ae"/>
          </w:rPr>
          <w:t xml:space="preserve">Evaluating the economic impact of water scarcity in a changing world</w:t>
        </w:r>
      </w:hyperlink>
      <w:r>
        <w:t xml:space="preserve">.</w:t>
      </w:r>
      <w:r>
        <w:t xml:space="preserve"> </w:t>
      </w:r>
      <w:r>
        <w:rPr>
          <w:iCs/>
          <w:i/>
        </w:rPr>
        <w:t xml:space="preserve">Nat. Commun.</w:t>
      </w:r>
      <w:r>
        <w:t xml:space="preserve"> </w:t>
      </w:r>
      <w:r>
        <w:rPr>
          <w:bCs/>
          <w:b/>
        </w:rPr>
        <w:t xml:space="preserve">12</w:t>
      </w:r>
      <w:r>
        <w:t xml:space="preserve">, 1915 (2021).</w:t>
      </w:r>
    </w:p>
    <w:bookmarkEnd w:id="99"/>
    <w:bookmarkStart w:id="101" w:name="ref-xu2020b"/>
    <w:p>
      <w:pPr>
        <w:pStyle w:val="a8"/>
      </w:pPr>
      <w:r>
        <w:t xml:space="preserve">3.</w:t>
      </w:r>
      <w:r>
        <w:t xml:space="preserve"> </w:t>
      </w:r>
      <w:r>
        <w:t xml:space="preserve">	</w:t>
      </w:r>
      <w:r>
        <w:t xml:space="preserve">Xu, Z.</w:t>
      </w:r>
      <w:r>
        <w:t xml:space="preserve"> </w:t>
      </w:r>
      <w:r>
        <w:rPr>
          <w:iCs/>
          <w:i/>
        </w:rPr>
        <w:t xml:space="preserve">et al.</w:t>
      </w:r>
      <w:r>
        <w:t xml:space="preserve"> </w:t>
      </w:r>
      <w:hyperlink r:id="rId100">
        <w:r>
          <w:rPr>
            <w:rStyle w:val="ae"/>
          </w:rPr>
          <w:t xml:space="preserve">Assessing progress towards sustainable development over space and time</w:t>
        </w:r>
      </w:hyperlink>
      <w:r>
        <w:t xml:space="preserve">.</w:t>
      </w:r>
      <w:r>
        <w:t xml:space="preserve"> </w:t>
      </w:r>
      <w:r>
        <w:rPr>
          <w:iCs/>
          <w:i/>
        </w:rPr>
        <w:t xml:space="preserve">Nature</w:t>
      </w:r>
      <w:r>
        <w:t xml:space="preserve"> </w:t>
      </w:r>
      <w:r>
        <w:rPr>
          <w:bCs/>
          <w:b/>
        </w:rPr>
        <w:t xml:space="preserve">577</w:t>
      </w:r>
      <w:r>
        <w:t xml:space="preserve">, 74–78 (2020).</w:t>
      </w:r>
    </w:p>
    <w:bookmarkEnd w:id="101"/>
    <w:bookmarkStart w:id="103" w:name="ref-mekonnen2016"/>
    <w:p>
      <w:pPr>
        <w:pStyle w:val="a8"/>
      </w:pPr>
      <w:r>
        <w:t xml:space="preserve">4.</w:t>
      </w:r>
      <w:r>
        <w:t xml:space="preserve"> </w:t>
      </w:r>
      <w:r>
        <w:t xml:space="preserve">	</w:t>
      </w:r>
      <w:r>
        <w:t xml:space="preserve">Mekonnen, M. M. &amp; Hoekstra, A. Y.</w:t>
      </w:r>
      <w:r>
        <w:t xml:space="preserve"> </w:t>
      </w:r>
      <w:hyperlink r:id="rId102">
        <w:r>
          <w:rPr>
            <w:rStyle w:val="ae"/>
          </w:rPr>
          <w:t xml:space="preserve">Four billion people facing severe water scarcity</w:t>
        </w:r>
      </w:hyperlink>
      <w:r>
        <w:t xml:space="preserve">.</w:t>
      </w:r>
      <w:r>
        <w:t xml:space="preserve"> </w:t>
      </w:r>
      <w:r>
        <w:rPr>
          <w:iCs/>
          <w:i/>
        </w:rPr>
        <w:t xml:space="preserve">Sci. Adv.</w:t>
      </w:r>
      <w:r>
        <w:t xml:space="preserve"> </w:t>
      </w:r>
      <w:r>
        <w:rPr>
          <w:bCs/>
          <w:b/>
        </w:rPr>
        <w:t xml:space="preserve">2</w:t>
      </w:r>
      <w:r>
        <w:t xml:space="preserve">, e1500323 (2016).</w:t>
      </w:r>
    </w:p>
    <w:bookmarkEnd w:id="103"/>
    <w:bookmarkStart w:id="105" w:name="ref-florke2018"/>
    <w:p>
      <w:pPr>
        <w:pStyle w:val="a8"/>
      </w:pPr>
      <w:r>
        <w:t xml:space="preserve">5.</w:t>
      </w:r>
      <w:r>
        <w:t xml:space="preserve"> </w:t>
      </w:r>
      <w:r>
        <w:t xml:space="preserve">	</w:t>
      </w:r>
      <w:r>
        <w:t xml:space="preserve">FlÖrke, M., Schneider, C. &amp; McDonald, R. I.</w:t>
      </w:r>
      <w:r>
        <w:t xml:space="preserve"> </w:t>
      </w:r>
      <w:hyperlink r:id="rId104">
        <w:r>
          <w:rPr>
            <w:rStyle w:val="ae"/>
          </w:rPr>
          <w:t xml:space="preserve">Water competition between cities and agriculture driven by climate change and urban growth</w:t>
        </w:r>
      </w:hyperlink>
      <w:r>
        <w:t xml:space="preserve">.</w:t>
      </w:r>
      <w:r>
        <w:t xml:space="preserve"> </w:t>
      </w:r>
      <w:r>
        <w:rPr>
          <w:iCs/>
          <w:i/>
        </w:rPr>
        <w:t xml:space="preserve">Nat. Sustain.</w:t>
      </w:r>
      <w:r>
        <w:t xml:space="preserve"> </w:t>
      </w:r>
      <w:r>
        <w:rPr>
          <w:bCs/>
          <w:b/>
        </w:rPr>
        <w:t xml:space="preserve">1</w:t>
      </w:r>
      <w:r>
        <w:t xml:space="preserve">, 51–58 (2018).</w:t>
      </w:r>
    </w:p>
    <w:bookmarkEnd w:id="105"/>
    <w:bookmarkStart w:id="107" w:name="ref-yoon2021"/>
    <w:p>
      <w:pPr>
        <w:pStyle w:val="a8"/>
      </w:pPr>
      <w:r>
        <w:t xml:space="preserve">6.</w:t>
      </w:r>
      <w:r>
        <w:t xml:space="preserve"> </w:t>
      </w:r>
      <w:r>
        <w:t xml:space="preserve">	</w:t>
      </w:r>
      <w:r>
        <w:t xml:space="preserve">Yoon, J.</w:t>
      </w:r>
      <w:r>
        <w:t xml:space="preserve"> </w:t>
      </w:r>
      <w:r>
        <w:rPr>
          <w:iCs/>
          <w:i/>
        </w:rPr>
        <w:t xml:space="preserve">et al.</w:t>
      </w:r>
      <w:r>
        <w:t xml:space="preserve"> </w:t>
      </w:r>
      <w:hyperlink r:id="rId106">
        <w:r>
          <w:rPr>
            <w:rStyle w:val="ae"/>
          </w:rPr>
          <w:t xml:space="preserve">A coupled human–natural system analysis of freshwater security under climate and population change</w:t>
        </w:r>
      </w:hyperlink>
      <w:r>
        <w:t xml:space="preserve">.</w:t>
      </w:r>
      <w:r>
        <w:t xml:space="preserve"> </w:t>
      </w:r>
      <w:r>
        <w:rPr>
          <w:iCs/>
          <w:i/>
        </w:rPr>
        <w:t xml:space="preserve">Proc Natl Acad Sci USA</w:t>
      </w:r>
      <w:r>
        <w:t xml:space="preserve"> </w:t>
      </w:r>
      <w:r>
        <w:rPr>
          <w:bCs/>
          <w:b/>
        </w:rPr>
        <w:t xml:space="preserve">118</w:t>
      </w:r>
      <w:r>
        <w:t xml:space="preserve">, e2020431118 (2021).</w:t>
      </w:r>
    </w:p>
    <w:bookmarkEnd w:id="107"/>
    <w:bookmarkStart w:id="109" w:name="ref-wang2019d"/>
    <w:p>
      <w:pPr>
        <w:pStyle w:val="a8"/>
      </w:pPr>
      <w:r>
        <w:t xml:space="preserve">7.</w:t>
      </w:r>
      <w:r>
        <w:t xml:space="preserve"> </w:t>
      </w:r>
      <w:r>
        <w:t xml:space="preserve">	</w:t>
      </w:r>
      <w:r>
        <w:t xml:space="preserve">Wang, S.</w:t>
      </w:r>
      <w:r>
        <w:t xml:space="preserve"> </w:t>
      </w:r>
      <w:r>
        <w:rPr>
          <w:iCs/>
          <w:i/>
        </w:rPr>
        <w:t xml:space="preserve">et al.</w:t>
      </w:r>
      <w:r>
        <w:t xml:space="preserve"> </w:t>
      </w:r>
      <w:hyperlink r:id="rId108">
        <w:r>
          <w:rPr>
            <w:rStyle w:val="ae"/>
          </w:rPr>
          <w:t xml:space="preserve">Alignment of social and ecological structures increased the ability of river management</w:t>
        </w:r>
      </w:hyperlink>
      <w:r>
        <w:t xml:space="preserve">.</w:t>
      </w:r>
      <w:r>
        <w:t xml:space="preserve"> </w:t>
      </w:r>
      <w:r>
        <w:rPr>
          <w:iCs/>
          <w:i/>
        </w:rPr>
        <w:t xml:space="preserve">Sci. Bull.</w:t>
      </w:r>
      <w:r>
        <w:t xml:space="preserve"> </w:t>
      </w:r>
      <w:r>
        <w:rPr>
          <w:bCs/>
          <w:b/>
        </w:rPr>
        <w:t xml:space="preserve">64</w:t>
      </w:r>
      <w:r>
        <w:t xml:space="preserve">, 1318–1324 (2019).</w:t>
      </w:r>
    </w:p>
    <w:bookmarkEnd w:id="109"/>
    <w:bookmarkStart w:id="111" w:name="ref-huggins2022"/>
    <w:p>
      <w:pPr>
        <w:pStyle w:val="a8"/>
      </w:pPr>
      <w:r>
        <w:t xml:space="preserve">8.</w:t>
      </w:r>
      <w:r>
        <w:t xml:space="preserve"> </w:t>
      </w:r>
      <w:r>
        <w:t xml:space="preserve">	</w:t>
      </w:r>
      <w:r>
        <w:t xml:space="preserve">Huggins, X.</w:t>
      </w:r>
      <w:r>
        <w:t xml:space="preserve"> </w:t>
      </w:r>
      <w:r>
        <w:rPr>
          <w:iCs/>
          <w:i/>
        </w:rPr>
        <w:t xml:space="preserve">et al.</w:t>
      </w:r>
      <w:r>
        <w:t xml:space="preserve"> </w:t>
      </w:r>
      <w:hyperlink r:id="rId110">
        <w:r>
          <w:rPr>
            <w:rStyle w:val="ae"/>
          </w:rPr>
          <w:t xml:space="preserve">Hotspots for social and ecological impacts from freshwater stress and storage loss</w:t>
        </w:r>
      </w:hyperlink>
      <w:r>
        <w:t xml:space="preserve">.</w:t>
      </w:r>
      <w:r>
        <w:t xml:space="preserve"> </w:t>
      </w:r>
      <w:r>
        <w:rPr>
          <w:iCs/>
          <w:i/>
        </w:rPr>
        <w:t xml:space="preserve">Nat Commun</w:t>
      </w:r>
      <w:r>
        <w:t xml:space="preserve"> </w:t>
      </w:r>
      <w:r>
        <w:rPr>
          <w:bCs/>
          <w:b/>
        </w:rPr>
        <w:t xml:space="preserve">13</w:t>
      </w:r>
      <w:r>
        <w:t xml:space="preserve">, 439 (2022).</w:t>
      </w:r>
    </w:p>
    <w:bookmarkEnd w:id="111"/>
    <w:bookmarkStart w:id="113" w:name="ref-konar2019"/>
    <w:p>
      <w:pPr>
        <w:pStyle w:val="a8"/>
      </w:pPr>
      <w:r>
        <w:t xml:space="preserve">9.</w:t>
      </w:r>
      <w:r>
        <w:t xml:space="preserve"> </w:t>
      </w:r>
      <w:r>
        <w:t xml:space="preserve">	</w:t>
      </w:r>
      <w:r>
        <w:t xml:space="preserve">Konar, M., Garcia, M., Sanderson, M. R., Yu, D. J. &amp; Sivapalan, M.</w:t>
      </w:r>
      <w:r>
        <w:t xml:space="preserve"> </w:t>
      </w:r>
      <w:hyperlink r:id="rId112">
        <w:r>
          <w:rPr>
            <w:rStyle w:val="ae"/>
          </w:rPr>
          <w:t xml:space="preserve">Expanding the</w:t>
        </w:r>
        <w:r>
          <w:rPr>
            <w:rStyle w:val="ae"/>
          </w:rPr>
          <w:t xml:space="preserve"> </w:t>
        </w:r>
        <w:r>
          <w:rPr>
            <w:rStyle w:val="ae"/>
          </w:rPr>
          <w:t xml:space="preserve">Scope</w:t>
        </w:r>
        <w:r>
          <w:rPr>
            <w:rStyle w:val="ae"/>
          </w:rPr>
          <w:t xml:space="preserve"> </w:t>
        </w:r>
        <w:r>
          <w:rPr>
            <w:rStyle w:val="ae"/>
          </w:rPr>
          <w:t xml:space="preserve">and</w:t>
        </w:r>
        <w:r>
          <w:rPr>
            <w:rStyle w:val="ae"/>
          </w:rPr>
          <w:t xml:space="preserve"> </w:t>
        </w:r>
        <w:r>
          <w:rPr>
            <w:rStyle w:val="ae"/>
          </w:rPr>
          <w:t xml:space="preserve">Foundation</w:t>
        </w:r>
        <w:r>
          <w:rPr>
            <w:rStyle w:val="ae"/>
          </w:rPr>
          <w:t xml:space="preserve"> </w:t>
        </w:r>
        <w:r>
          <w:rPr>
            <w:rStyle w:val="ae"/>
          </w:rPr>
          <w:t xml:space="preserve">of</w:t>
        </w:r>
        <w:r>
          <w:rPr>
            <w:rStyle w:val="ae"/>
          </w:rPr>
          <w:t xml:space="preserve"> </w:t>
        </w:r>
        <w:r>
          <w:rPr>
            <w:rStyle w:val="ae"/>
          </w:rPr>
          <w:t xml:space="preserve">Sociohydrology</w:t>
        </w:r>
        <w:r>
          <w:rPr>
            <w:rStyle w:val="ae"/>
          </w:rPr>
          <w:t xml:space="preserve"> </w:t>
        </w:r>
        <w:r>
          <w:rPr>
            <w:rStyle w:val="ae"/>
          </w:rPr>
          <w:t xml:space="preserve">as the</w:t>
        </w:r>
        <w:r>
          <w:rPr>
            <w:rStyle w:val="ae"/>
          </w:rPr>
          <w:t xml:space="preserve"> </w:t>
        </w:r>
        <w:r>
          <w:rPr>
            <w:rStyle w:val="ae"/>
          </w:rPr>
          <w:t xml:space="preserve">Science</w:t>
        </w:r>
        <w:r>
          <w:rPr>
            <w:rStyle w:val="ae"/>
          </w:rPr>
          <w:t xml:space="preserve"> </w:t>
        </w:r>
        <w:r>
          <w:rPr>
            <w:rStyle w:val="ae"/>
          </w:rPr>
          <w:t xml:space="preserve">of</w:t>
        </w:r>
        <w:r>
          <w:rPr>
            <w:rStyle w:val="ae"/>
          </w:rPr>
          <w:t xml:space="preserve"> </w:t>
        </w:r>
        <w:r>
          <w:rPr>
            <w:rStyle w:val="ae"/>
          </w:rPr>
          <w:t xml:space="preserve">Coupled Human</w:t>
        </w:r>
        <w:r>
          <w:rPr>
            <w:rStyle w:val="ae"/>
          </w:rPr>
          <w:t xml:space="preserve">‐</w:t>
        </w:r>
        <w:r>
          <w:rPr>
            <w:rStyle w:val="ae"/>
          </w:rPr>
          <w:t xml:space="preserve">Water Systems</w:t>
        </w:r>
      </w:hyperlink>
      <w:r>
        <w:t xml:space="preserve">.</w:t>
      </w:r>
      <w:r>
        <w:t xml:space="preserve"> </w:t>
      </w:r>
      <w:r>
        <w:rPr>
          <w:iCs/>
          <w:i/>
        </w:rPr>
        <w:t xml:space="preserve">Water Resour. Res.</w:t>
      </w:r>
      <w:r>
        <w:t xml:space="preserve"> </w:t>
      </w:r>
      <w:r>
        <w:rPr>
          <w:bCs/>
          <w:b/>
        </w:rPr>
        <w:t xml:space="preserve">55</w:t>
      </w:r>
      <w:r>
        <w:t xml:space="preserve">, 874–887 (2019).</w:t>
      </w:r>
    </w:p>
    <w:bookmarkEnd w:id="113"/>
    <w:bookmarkStart w:id="114" w:name="ref-young2008"/>
    <w:p>
      <w:pPr>
        <w:pStyle w:val="a8"/>
      </w:pPr>
      <w:r>
        <w:t xml:space="preserve">10.</w:t>
      </w:r>
      <w:r>
        <w:t xml:space="preserve"> </w:t>
      </w:r>
      <w:r>
        <w:t xml:space="preserve">	</w:t>
      </w:r>
      <w:r>
        <w:rPr>
          <w:iCs/>
          <w:i/>
        </w:rPr>
        <w:t xml:space="preserve">Institutions and environmental change: Principal findings, applications, and research frontiers</w:t>
      </w:r>
      <w:r>
        <w:t xml:space="preserve">. (</w:t>
      </w:r>
      <w:r>
        <w:t xml:space="preserve">MIT Press</w:t>
      </w:r>
      <w:r>
        <w:t xml:space="preserve">, 2008).</w:t>
      </w:r>
    </w:p>
    <w:bookmarkEnd w:id="114"/>
    <w:bookmarkStart w:id="116" w:name="ref-cumming2020b"/>
    <w:p>
      <w:pPr>
        <w:pStyle w:val="a8"/>
      </w:pPr>
      <w:r>
        <w:t xml:space="preserve">11.</w:t>
      </w:r>
      <w:r>
        <w:t xml:space="preserve"> </w:t>
      </w:r>
      <w:r>
        <w:t xml:space="preserve">	</w:t>
      </w:r>
      <w:r>
        <w:t xml:space="preserve">Cumming, G. S.</w:t>
      </w:r>
      <w:r>
        <w:t xml:space="preserve"> </w:t>
      </w:r>
      <w:r>
        <w:rPr>
          <w:iCs/>
          <w:i/>
        </w:rPr>
        <w:t xml:space="preserve">et al.</w:t>
      </w:r>
      <w:r>
        <w:t xml:space="preserve"> </w:t>
      </w:r>
      <w:hyperlink r:id="rId115">
        <w:r>
          <w:rPr>
            <w:rStyle w:val="ae"/>
          </w:rPr>
          <w:t xml:space="preserve">Advancing understanding of natural resource governance: A post-</w:t>
        </w:r>
        <w:r>
          <w:rPr>
            <w:rStyle w:val="ae"/>
          </w:rPr>
          <w:t xml:space="preserve">Ostrom</w:t>
        </w:r>
        <w:r>
          <w:rPr>
            <w:rStyle w:val="ae"/>
          </w:rPr>
          <w:t xml:space="preserve"> </w:t>
        </w:r>
        <w:r>
          <w:rPr>
            <w:rStyle w:val="ae"/>
          </w:rPr>
          <w:t xml:space="preserve">research agenda</w:t>
        </w:r>
      </w:hyperlink>
      <w:r>
        <w:t xml:space="preserve">.</w:t>
      </w:r>
      <w:r>
        <w:t xml:space="preserve"> </w:t>
      </w:r>
      <w:r>
        <w:rPr>
          <w:iCs/>
          <w:i/>
        </w:rPr>
        <w:t xml:space="preserve">Current Opinion in Environmental Sustainability</w:t>
      </w:r>
      <w:r>
        <w:t xml:space="preserve"> </w:t>
      </w:r>
      <w:r>
        <w:rPr>
          <w:bCs/>
          <w:b/>
        </w:rPr>
        <w:t xml:space="preserve">44</w:t>
      </w:r>
      <w:r>
        <w:t xml:space="preserve">, 26–34 (2020).</w:t>
      </w:r>
    </w:p>
    <w:bookmarkEnd w:id="116"/>
    <w:bookmarkStart w:id="118" w:name="ref-lien2020"/>
    <w:p>
      <w:pPr>
        <w:pStyle w:val="a8"/>
      </w:pPr>
      <w:r>
        <w:t xml:space="preserve">12.</w:t>
      </w:r>
      <w:r>
        <w:t xml:space="preserve"> </w:t>
      </w:r>
      <w:r>
        <w:t xml:space="preserve">	</w:t>
      </w:r>
      <w:r>
        <w:t xml:space="preserve">Lien, A. M.</w:t>
      </w:r>
      <w:r>
        <w:t xml:space="preserve"> </w:t>
      </w:r>
      <w:hyperlink r:id="rId117">
        <w:r>
          <w:rPr>
            <w:rStyle w:val="ae"/>
          </w:rPr>
          <w:t xml:space="preserve">The institutional grammar tool in policy analysis and applications to resilience and robustness research</w:t>
        </w:r>
      </w:hyperlink>
      <w:r>
        <w:t xml:space="preserve">.</w:t>
      </w:r>
      <w:r>
        <w:t xml:space="preserve"> </w:t>
      </w:r>
      <w:r>
        <w:rPr>
          <w:iCs/>
          <w:i/>
        </w:rPr>
        <w:t xml:space="preserve">Current Opinion in Environmental Sustainability</w:t>
      </w:r>
      <w:r>
        <w:t xml:space="preserve"> </w:t>
      </w:r>
      <w:r>
        <w:rPr>
          <w:bCs/>
          <w:b/>
        </w:rPr>
        <w:t xml:space="preserve">44</w:t>
      </w:r>
      <w:r>
        <w:t xml:space="preserve">, 1–5 (2020).</w:t>
      </w:r>
    </w:p>
    <w:bookmarkEnd w:id="118"/>
    <w:bookmarkStart w:id="120" w:name="ref-bodin2017b"/>
    <w:p>
      <w:pPr>
        <w:pStyle w:val="a8"/>
      </w:pPr>
      <w:r>
        <w:t xml:space="preserve">13.</w:t>
      </w:r>
      <w:r>
        <w:t xml:space="preserve"> </w:t>
      </w:r>
      <w:r>
        <w:t xml:space="preserve">	</w:t>
      </w:r>
      <w:r>
        <w:t xml:space="preserve">Bodin, O.</w:t>
      </w:r>
      <w:r>
        <w:t xml:space="preserve"> </w:t>
      </w:r>
      <w:hyperlink r:id="rId119">
        <w:r>
          <w:rPr>
            <w:rStyle w:val="ae"/>
          </w:rPr>
          <w:t xml:space="preserve">Collaborative environmental governance:</w:t>
        </w:r>
        <w:r>
          <w:rPr>
            <w:rStyle w:val="ae"/>
          </w:rPr>
          <w:t xml:space="preserve"> </w:t>
        </w:r>
        <w:r>
          <w:rPr>
            <w:rStyle w:val="ae"/>
          </w:rPr>
          <w:t xml:space="preserve">Achieving</w:t>
        </w:r>
        <w:r>
          <w:rPr>
            <w:rStyle w:val="ae"/>
          </w:rPr>
          <w:t xml:space="preserve"> </w:t>
        </w:r>
        <w:r>
          <w:rPr>
            <w:rStyle w:val="ae"/>
          </w:rPr>
          <w:t xml:space="preserve">collective action in social-ecological systems</w:t>
        </w:r>
      </w:hyperlink>
      <w:r>
        <w:t xml:space="preserve">.</w:t>
      </w:r>
      <w:r>
        <w:t xml:space="preserve"> </w:t>
      </w:r>
      <w:r>
        <w:rPr>
          <w:iCs/>
          <w:i/>
        </w:rPr>
        <w:t xml:space="preserve">Science</w:t>
      </w:r>
      <w:r>
        <w:t xml:space="preserve"> </w:t>
      </w:r>
      <w:r>
        <w:rPr>
          <w:bCs/>
          <w:b/>
        </w:rPr>
        <w:t xml:space="preserve">357</w:t>
      </w:r>
      <w:r>
        <w:t xml:space="preserve">, eaan1114 (2017).</w:t>
      </w:r>
    </w:p>
    <w:bookmarkEnd w:id="120"/>
    <w:bookmarkStart w:id="122" w:name="ref-kluger2020"/>
    <w:p>
      <w:pPr>
        <w:pStyle w:val="a8"/>
      </w:pPr>
      <w:r>
        <w:t xml:space="preserve">14.</w:t>
      </w:r>
      <w:r>
        <w:t xml:space="preserve"> </w:t>
      </w:r>
      <w:r>
        <w:t xml:space="preserve">	</w:t>
      </w:r>
      <w:r>
        <w:t xml:space="preserve">Kluger, L. C., Gorris, P., Kochalski, S., Mueller, M. S. &amp; Romagnoni, G.</w:t>
      </w:r>
      <w:r>
        <w:t xml:space="preserve"> </w:t>
      </w:r>
      <w:hyperlink r:id="rId121">
        <w:r>
          <w:rPr>
            <w:rStyle w:val="ae"/>
          </w:rPr>
          <w:t xml:space="preserve">Studying human–nature relationships through a network lens:</w:t>
        </w:r>
        <w:r>
          <w:rPr>
            <w:rStyle w:val="ae"/>
          </w:rPr>
          <w:t xml:space="preserve"> </w:t>
        </w:r>
        <w:r>
          <w:rPr>
            <w:rStyle w:val="ae"/>
          </w:rPr>
          <w:t xml:space="preserve">A</w:t>
        </w:r>
        <w:r>
          <w:rPr>
            <w:rStyle w:val="ae"/>
          </w:rPr>
          <w:t xml:space="preserve"> </w:t>
        </w:r>
        <w:r>
          <w:rPr>
            <w:rStyle w:val="ae"/>
          </w:rPr>
          <w:t xml:space="preserve">systematic review</w:t>
        </w:r>
      </w:hyperlink>
      <w:r>
        <w:t xml:space="preserve">.</w:t>
      </w:r>
      <w:r>
        <w:t xml:space="preserve"> </w:t>
      </w:r>
      <w:r>
        <w:rPr>
          <w:iCs/>
          <w:i/>
        </w:rPr>
        <w:t xml:space="preserve">People Nat.</w:t>
      </w:r>
      <w:r>
        <w:t xml:space="preserve"> </w:t>
      </w:r>
      <w:r>
        <w:rPr>
          <w:bCs/>
          <w:b/>
        </w:rPr>
        <w:t xml:space="preserve">2</w:t>
      </w:r>
      <w:r>
        <w:t xml:space="preserve">, 1100–1116 (2020).</w:t>
      </w:r>
    </w:p>
    <w:bookmarkEnd w:id="122"/>
    <w:bookmarkStart w:id="124" w:name="ref-epstein2015"/>
    <w:p>
      <w:pPr>
        <w:pStyle w:val="a8"/>
      </w:pPr>
      <w:r>
        <w:t xml:space="preserve">15.</w:t>
      </w:r>
      <w:r>
        <w:t xml:space="preserve"> </w:t>
      </w:r>
      <w:r>
        <w:t xml:space="preserve">	</w:t>
      </w:r>
      <w:r>
        <w:t xml:space="preserve">Epstein, G.</w:t>
      </w:r>
      <w:r>
        <w:t xml:space="preserve"> </w:t>
      </w:r>
      <w:r>
        <w:rPr>
          <w:iCs/>
          <w:i/>
        </w:rPr>
        <w:t xml:space="preserve">et al.</w:t>
      </w:r>
      <w:r>
        <w:t xml:space="preserve"> </w:t>
      </w:r>
      <w:hyperlink r:id="rId123">
        <w:r>
          <w:rPr>
            <w:rStyle w:val="ae"/>
          </w:rPr>
          <w:t xml:space="preserve">Institutional fit and the sustainability of social–ecological systems</w:t>
        </w:r>
      </w:hyperlink>
      <w:r>
        <w:t xml:space="preserve">.</w:t>
      </w:r>
      <w:r>
        <w:t xml:space="preserve"> </w:t>
      </w:r>
      <w:r>
        <w:rPr>
          <w:iCs/>
          <w:i/>
        </w:rPr>
        <w:t xml:space="preserve">Current Opinion in Environmental Sustainability</w:t>
      </w:r>
      <w:r>
        <w:t xml:space="preserve"> </w:t>
      </w:r>
      <w:r>
        <w:rPr>
          <w:bCs/>
          <w:b/>
        </w:rPr>
        <w:t xml:space="preserve">14</w:t>
      </w:r>
      <w:r>
        <w:t xml:space="preserve">, 34–40 (2015).</w:t>
      </w:r>
    </w:p>
    <w:bookmarkEnd w:id="124"/>
    <w:bookmarkStart w:id="126" w:name="ref-green2013"/>
    <w:p>
      <w:pPr>
        <w:pStyle w:val="a8"/>
      </w:pPr>
      <w:r>
        <w:t xml:space="preserve">16.</w:t>
      </w:r>
      <w:r>
        <w:t xml:space="preserve"> </w:t>
      </w:r>
      <w:r>
        <w:t xml:space="preserve">	</w:t>
      </w:r>
      <w:r>
        <w:t xml:space="preserve">Green, O., Garmestani, A., van Rijswick, H. &amp; Keessen, A.</w:t>
      </w:r>
      <w:r>
        <w:t xml:space="preserve"> </w:t>
      </w:r>
      <w:hyperlink r:id="rId125">
        <w:r>
          <w:rPr>
            <w:rStyle w:val="ae"/>
          </w:rPr>
          <w:t xml:space="preserve">EU Water Governance</w:t>
        </w:r>
        <w:r>
          <w:rPr>
            <w:rStyle w:val="ae"/>
          </w:rPr>
          <w:t xml:space="preserve">:</w:t>
        </w:r>
        <w:r>
          <w:rPr>
            <w:rStyle w:val="ae"/>
          </w:rPr>
          <w:t xml:space="preserve"> </w:t>
        </w:r>
        <w:r>
          <w:rPr>
            <w:rStyle w:val="ae"/>
          </w:rPr>
          <w:t xml:space="preserve">Striking</w:t>
        </w:r>
        <w:r>
          <w:rPr>
            <w:rStyle w:val="ae"/>
          </w:rPr>
          <w:t xml:space="preserve"> </w:t>
        </w:r>
        <w:r>
          <w:rPr>
            <w:rStyle w:val="ae"/>
          </w:rPr>
          <w:t xml:space="preserve">the</w:t>
        </w:r>
        <w:r>
          <w:rPr>
            <w:rStyle w:val="ae"/>
          </w:rPr>
          <w:t xml:space="preserve"> </w:t>
        </w:r>
        <w:r>
          <w:rPr>
            <w:rStyle w:val="ae"/>
          </w:rPr>
          <w:t xml:space="preserve">Right Balance</w:t>
        </w:r>
        <w:r>
          <w:rPr>
            <w:rStyle w:val="ae"/>
          </w:rPr>
          <w:t xml:space="preserve"> </w:t>
        </w:r>
        <w:r>
          <w:rPr>
            <w:rStyle w:val="ae"/>
          </w:rPr>
          <w:t xml:space="preserve">between</w:t>
        </w:r>
        <w:r>
          <w:rPr>
            <w:rStyle w:val="ae"/>
          </w:rPr>
          <w:t xml:space="preserve"> </w:t>
        </w:r>
        <w:r>
          <w:rPr>
            <w:rStyle w:val="ae"/>
          </w:rPr>
          <w:t xml:space="preserve">Regulatory Flexibility</w:t>
        </w:r>
        <w:r>
          <w:rPr>
            <w:rStyle w:val="ae"/>
          </w:rPr>
          <w:t xml:space="preserve"> </w:t>
        </w:r>
        <w:r>
          <w:rPr>
            <w:rStyle w:val="ae"/>
          </w:rPr>
          <w:t xml:space="preserve">and</w:t>
        </w:r>
        <w:r>
          <w:rPr>
            <w:rStyle w:val="ae"/>
          </w:rPr>
          <w:t xml:space="preserve"> </w:t>
        </w:r>
        <w:r>
          <w:rPr>
            <w:rStyle w:val="ae"/>
          </w:rPr>
          <w:t xml:space="preserve">Enforcement</w:t>
        </w:r>
        <w:r>
          <w:rPr>
            <w:rStyle w:val="ae"/>
          </w:rPr>
          <w:t xml:space="preserve">?</w:t>
        </w:r>
      </w:hyperlink>
      <w:r>
        <w:t xml:space="preserve"> </w:t>
      </w:r>
      <w:r>
        <w:rPr>
          <w:iCs/>
          <w:i/>
        </w:rPr>
        <w:t xml:space="preserve">Ecol. Soc.</w:t>
      </w:r>
      <w:r>
        <w:t xml:space="preserve"> </w:t>
      </w:r>
      <w:r>
        <w:rPr>
          <w:bCs/>
          <w:b/>
        </w:rPr>
        <w:t xml:space="preserve">18</w:t>
      </w:r>
      <w:r>
        <w:t xml:space="preserve">, (2013).</w:t>
      </w:r>
    </w:p>
    <w:bookmarkEnd w:id="126"/>
    <w:bookmarkStart w:id="128" w:name="ref-ostrom2009"/>
    <w:p>
      <w:pPr>
        <w:pStyle w:val="a8"/>
      </w:pPr>
      <w:r>
        <w:t xml:space="preserve">17.</w:t>
      </w:r>
      <w:r>
        <w:t xml:space="preserve"> </w:t>
      </w:r>
      <w:r>
        <w:t xml:space="preserve">	</w:t>
      </w:r>
      <w:r>
        <w:t xml:space="preserve">Ostrom, E.</w:t>
      </w:r>
      <w:r>
        <w:t xml:space="preserve"> </w:t>
      </w:r>
      <w:hyperlink r:id="rId127">
        <w:r>
          <w:rPr>
            <w:rStyle w:val="ae"/>
          </w:rPr>
          <w:t xml:space="preserve">A</w:t>
        </w:r>
        <w:r>
          <w:rPr>
            <w:rStyle w:val="ae"/>
          </w:rPr>
          <w:t xml:space="preserve"> </w:t>
        </w:r>
        <w:r>
          <w:rPr>
            <w:rStyle w:val="ae"/>
          </w:rPr>
          <w:t xml:space="preserve">General Framework</w:t>
        </w:r>
        <w:r>
          <w:rPr>
            <w:rStyle w:val="ae"/>
          </w:rPr>
          <w:t xml:space="preserve"> </w:t>
        </w:r>
        <w:r>
          <w:rPr>
            <w:rStyle w:val="ae"/>
          </w:rPr>
          <w:t xml:space="preserve">for</w:t>
        </w:r>
        <w:r>
          <w:rPr>
            <w:rStyle w:val="ae"/>
          </w:rPr>
          <w:t xml:space="preserve"> </w:t>
        </w:r>
        <w:r>
          <w:rPr>
            <w:rStyle w:val="ae"/>
          </w:rPr>
          <w:t xml:space="preserve">Analyzing Sustainability</w:t>
        </w:r>
        <w:r>
          <w:rPr>
            <w:rStyle w:val="ae"/>
          </w:rPr>
          <w:t xml:space="preserve"> </w:t>
        </w:r>
        <w:r>
          <w:rPr>
            <w:rStyle w:val="ae"/>
          </w:rPr>
          <w:t xml:space="preserve">of</w:t>
        </w:r>
        <w:r>
          <w:rPr>
            <w:rStyle w:val="ae"/>
          </w:rPr>
          <w:t xml:space="preserve"> </w:t>
        </w:r>
        <w:r>
          <w:rPr>
            <w:rStyle w:val="ae"/>
          </w:rPr>
          <w:t xml:space="preserve">Social-Ecological Systems</w:t>
        </w:r>
      </w:hyperlink>
      <w:r>
        <w:t xml:space="preserve">.</w:t>
      </w:r>
      <w:r>
        <w:t xml:space="preserve"> </w:t>
      </w:r>
      <w:r>
        <w:rPr>
          <w:iCs/>
          <w:i/>
        </w:rPr>
        <w:t xml:space="preserve">Science</w:t>
      </w:r>
      <w:r>
        <w:t xml:space="preserve"> </w:t>
      </w:r>
      <w:r>
        <w:rPr>
          <w:bCs/>
          <w:b/>
        </w:rPr>
        <w:t xml:space="preserve">325</w:t>
      </w:r>
      <w:r>
        <w:t xml:space="preserve">, 419–422 (2009).</w:t>
      </w:r>
    </w:p>
    <w:bookmarkEnd w:id="128"/>
    <w:bookmarkStart w:id="130" w:name="ref-arkhangelsky2021"/>
    <w:p>
      <w:pPr>
        <w:pStyle w:val="a8"/>
      </w:pPr>
      <w:r>
        <w:t xml:space="preserve">18.</w:t>
      </w:r>
      <w:r>
        <w:t xml:space="preserve"> </w:t>
      </w:r>
      <w:r>
        <w:t xml:space="preserve">	</w:t>
      </w:r>
      <w:r>
        <w:t xml:space="preserve">Arkhangelsky, D., Athey, S., Hirshberg, D. A., Imbens, G. W. &amp; Wager, S.</w:t>
      </w:r>
      <w:r>
        <w:t xml:space="preserve"> </w:t>
      </w:r>
      <w:hyperlink r:id="rId129">
        <w:r>
          <w:rPr>
            <w:rStyle w:val="ae"/>
          </w:rPr>
          <w:t xml:space="preserve">Synthetic</w:t>
        </w:r>
        <w:r>
          <w:rPr>
            <w:rStyle w:val="ae"/>
          </w:rPr>
          <w:t xml:space="preserve"> </w:t>
        </w:r>
        <w:r>
          <w:rPr>
            <w:rStyle w:val="ae"/>
          </w:rPr>
          <w:t xml:space="preserve">Difference-in-Differences</w:t>
        </w:r>
      </w:hyperlink>
      <w:r>
        <w:t xml:space="preserve">.</w:t>
      </w:r>
      <w:r>
        <w:t xml:space="preserve"> </w:t>
      </w:r>
      <w:r>
        <w:rPr>
          <w:iCs/>
          <w:i/>
        </w:rPr>
        <w:t xml:space="preserve">Am. Econ. Rev.</w:t>
      </w:r>
      <w:r>
        <w:t xml:space="preserve"> </w:t>
      </w:r>
      <w:r>
        <w:rPr>
          <w:bCs/>
          <w:b/>
        </w:rPr>
        <w:t xml:space="preserve">111</w:t>
      </w:r>
      <w:r>
        <w:t xml:space="preserve">, 4088–4118 (2021).</w:t>
      </w:r>
    </w:p>
    <w:bookmarkEnd w:id="130"/>
    <w:bookmarkStart w:id="132" w:name="ref-cumming2020a"/>
    <w:p>
      <w:pPr>
        <w:pStyle w:val="a8"/>
      </w:pPr>
      <w:r>
        <w:t xml:space="preserve">19.</w:t>
      </w:r>
      <w:r>
        <w:t xml:space="preserve"> </w:t>
      </w:r>
      <w:r>
        <w:t xml:space="preserve">	</w:t>
      </w:r>
      <w:r>
        <w:t xml:space="preserve">Cumming, G. S. &amp; Dobbs, K. A. Quantifying</w:t>
      </w:r>
      <w:r>
        <w:t xml:space="preserve"> </w:t>
      </w:r>
      <w:r>
        <w:t xml:space="preserve">Social-Ecological Scale Mismatches Suggests People Should Be Managed</w:t>
      </w:r>
      <w:r>
        <w:t xml:space="preserve"> </w:t>
      </w:r>
      <w:r>
        <w:t xml:space="preserve">at</w:t>
      </w:r>
      <w:r>
        <w:t xml:space="preserve"> </w:t>
      </w:r>
      <w:r>
        <w:t xml:space="preserve">Broader Scales Than Ecosystems</w:t>
      </w:r>
      <w:r>
        <w:t xml:space="preserve">.</w:t>
      </w:r>
      <w:r>
        <w:t xml:space="preserve"> </w:t>
      </w:r>
      <w:r>
        <w:rPr>
          <w:iCs/>
          <w:i/>
        </w:rPr>
        <w:t xml:space="preserve">One Earth</w:t>
      </w:r>
      <w:r>
        <w:t xml:space="preserve"> </w:t>
      </w:r>
      <w:r>
        <w:t xml:space="preserve">S2590332220303511 (2020) doi:</w:t>
      </w:r>
      <w:hyperlink r:id="rId131">
        <w:r>
          <w:rPr>
            <w:rStyle w:val="ae"/>
          </w:rPr>
          <w:t xml:space="preserve">10.1016/j.oneear.2020.07.007</w:t>
        </w:r>
      </w:hyperlink>
      <w:r>
        <w:t xml:space="preserve">.</w:t>
      </w:r>
    </w:p>
    <w:bookmarkEnd w:id="132"/>
    <w:bookmarkStart w:id="134" w:name="ref-abadie2015"/>
    <w:p>
      <w:pPr>
        <w:pStyle w:val="a8"/>
      </w:pPr>
      <w:r>
        <w:t xml:space="preserve">20.</w:t>
      </w:r>
      <w:r>
        <w:t xml:space="preserve"> </w:t>
      </w:r>
      <w:r>
        <w:t xml:space="preserve">	</w:t>
      </w:r>
      <w:r>
        <w:t xml:space="preserve">Abadie, A., Diamond, A. &amp; Hainmueller, J.</w:t>
      </w:r>
      <w:r>
        <w:t xml:space="preserve"> </w:t>
      </w:r>
      <w:hyperlink r:id="rId133">
        <w:r>
          <w:rPr>
            <w:rStyle w:val="ae"/>
          </w:rPr>
          <w:t xml:space="preserve">Comparative</w:t>
        </w:r>
        <w:r>
          <w:rPr>
            <w:rStyle w:val="ae"/>
          </w:rPr>
          <w:t xml:space="preserve"> </w:t>
        </w:r>
        <w:r>
          <w:rPr>
            <w:rStyle w:val="ae"/>
          </w:rPr>
          <w:t xml:space="preserve">Politics</w:t>
        </w:r>
        <w:r>
          <w:rPr>
            <w:rStyle w:val="ae"/>
          </w:rPr>
          <w:t xml:space="preserve"> </w:t>
        </w:r>
        <w:r>
          <w:rPr>
            <w:rStyle w:val="ae"/>
          </w:rPr>
          <w:t xml:space="preserve">and the</w:t>
        </w:r>
        <w:r>
          <w:rPr>
            <w:rStyle w:val="ae"/>
          </w:rPr>
          <w:t xml:space="preserve"> </w:t>
        </w:r>
        <w:r>
          <w:rPr>
            <w:rStyle w:val="ae"/>
          </w:rPr>
          <w:t xml:space="preserve">Synthetic Control Method</w:t>
        </w:r>
        <w:r>
          <w:rPr>
            <w:rStyle w:val="ae"/>
          </w:rPr>
          <w:t xml:space="preserve">:</w:t>
        </w:r>
        <w:r>
          <w:rPr>
            <w:rStyle w:val="ae"/>
          </w:rPr>
          <w:t xml:space="preserve"> </w:t>
        </w:r>
        <w:r>
          <w:rPr>
            <w:rStyle w:val="ae"/>
          </w:rPr>
          <w:t xml:space="preserve">Comparative Politics</w:t>
        </w:r>
        <w:r>
          <w:rPr>
            <w:rStyle w:val="ae"/>
          </w:rPr>
          <w:t xml:space="preserve"> </w:t>
        </w:r>
        <w:r>
          <w:rPr>
            <w:rStyle w:val="ae"/>
          </w:rPr>
          <w:t xml:space="preserve">and the</w:t>
        </w:r>
        <w:r>
          <w:rPr>
            <w:rStyle w:val="ae"/>
          </w:rPr>
          <w:t xml:space="preserve"> </w:t>
        </w:r>
        <w:r>
          <w:rPr>
            <w:rStyle w:val="ae"/>
          </w:rPr>
          <w:t xml:space="preserve">Synthetic Control Method</w:t>
        </w:r>
      </w:hyperlink>
      <w:r>
        <w:t xml:space="preserve">.</w:t>
      </w:r>
      <w:r>
        <w:t xml:space="preserve"> </w:t>
      </w:r>
      <w:r>
        <w:rPr>
          <w:iCs/>
          <w:i/>
        </w:rPr>
        <w:t xml:space="preserve">American Journal of Political Science</w:t>
      </w:r>
      <w:r>
        <w:t xml:space="preserve"> </w:t>
      </w:r>
      <w:r>
        <w:rPr>
          <w:bCs/>
          <w:b/>
        </w:rPr>
        <w:t xml:space="preserve">59</w:t>
      </w:r>
      <w:r>
        <w:t xml:space="preserve">, 495–510 (2015).</w:t>
      </w:r>
    </w:p>
    <w:bookmarkEnd w:id="134"/>
    <w:bookmarkStart w:id="136" w:name="ref-hill2021"/>
    <w:p>
      <w:pPr>
        <w:pStyle w:val="a8"/>
      </w:pPr>
      <w:r>
        <w:t xml:space="preserve">21.</w:t>
      </w:r>
      <w:r>
        <w:t xml:space="preserve"> </w:t>
      </w:r>
      <w:r>
        <w:t xml:space="preserve">	</w:t>
      </w:r>
      <w:r>
        <w:t xml:space="preserve">Hill, A. D., Johnson, S. G., Greco, L. M., O’Boyle, E. H. &amp; Walter, S. L.</w:t>
      </w:r>
      <w:r>
        <w:t xml:space="preserve"> </w:t>
      </w:r>
      <w:hyperlink r:id="rId135">
        <w:r>
          <w:rPr>
            <w:rStyle w:val="ae"/>
          </w:rPr>
          <w:t xml:space="preserve">Endogeneity:</w:t>
        </w:r>
        <w:r>
          <w:rPr>
            <w:rStyle w:val="ae"/>
          </w:rPr>
          <w:t xml:space="preserve"> </w:t>
        </w:r>
        <w:r>
          <w:rPr>
            <w:rStyle w:val="ae"/>
          </w:rPr>
          <w:t xml:space="preserve">A Review</w:t>
        </w:r>
        <w:r>
          <w:rPr>
            <w:rStyle w:val="ae"/>
          </w:rPr>
          <w:t xml:space="preserve"> </w:t>
        </w:r>
        <w:r>
          <w:rPr>
            <w:rStyle w:val="ae"/>
          </w:rPr>
          <w:t xml:space="preserve">and</w:t>
        </w:r>
        <w:r>
          <w:rPr>
            <w:rStyle w:val="ae"/>
          </w:rPr>
          <w:t xml:space="preserve"> </w:t>
        </w:r>
        <w:r>
          <w:rPr>
            <w:rStyle w:val="ae"/>
          </w:rPr>
          <w:t xml:space="preserve">Agenda</w:t>
        </w:r>
        <w:r>
          <w:rPr>
            <w:rStyle w:val="ae"/>
          </w:rPr>
          <w:t xml:space="preserve"> </w:t>
        </w:r>
        <w:r>
          <w:rPr>
            <w:rStyle w:val="ae"/>
          </w:rPr>
          <w:t xml:space="preserve">for the</w:t>
        </w:r>
        <w:r>
          <w:rPr>
            <w:rStyle w:val="ae"/>
          </w:rPr>
          <w:t xml:space="preserve"> </w:t>
        </w:r>
        <w:r>
          <w:rPr>
            <w:rStyle w:val="ae"/>
          </w:rPr>
          <w:t xml:space="preserve">Methodology-Practice Divide Affecting Micro</w:t>
        </w:r>
        <w:r>
          <w:rPr>
            <w:rStyle w:val="ae"/>
          </w:rPr>
          <w:t xml:space="preserve"> </w:t>
        </w:r>
        <w:r>
          <w:rPr>
            <w:rStyle w:val="ae"/>
          </w:rPr>
          <w:t xml:space="preserve">and</w:t>
        </w:r>
        <w:r>
          <w:rPr>
            <w:rStyle w:val="ae"/>
          </w:rPr>
          <w:t xml:space="preserve"> </w:t>
        </w:r>
        <w:r>
          <w:rPr>
            <w:rStyle w:val="ae"/>
          </w:rPr>
          <w:t xml:space="preserve">Macro Research</w:t>
        </w:r>
      </w:hyperlink>
      <w:r>
        <w:t xml:space="preserve">.</w:t>
      </w:r>
      <w:r>
        <w:t xml:space="preserve"> </w:t>
      </w:r>
      <w:r>
        <w:rPr>
          <w:iCs/>
          <w:i/>
        </w:rPr>
        <w:t xml:space="preserve">Journal of Management</w:t>
      </w:r>
      <w:r>
        <w:t xml:space="preserve"> </w:t>
      </w:r>
      <w:r>
        <w:rPr>
          <w:bCs/>
          <w:b/>
        </w:rPr>
        <w:t xml:space="preserve">47</w:t>
      </w:r>
      <w:r>
        <w:t xml:space="preserve">, 105–143 (2021).</w:t>
      </w:r>
    </w:p>
    <w:bookmarkEnd w:id="136"/>
    <w:bookmarkStart w:id="138" w:name="ref-chen2021"/>
    <w:p>
      <w:pPr>
        <w:pStyle w:val="a8"/>
      </w:pPr>
      <w:r>
        <w:t xml:space="preserve">22.</w:t>
      </w:r>
      <w:r>
        <w:t xml:space="preserve"> </w:t>
      </w:r>
      <w:r>
        <w:t xml:space="preserve">	</w:t>
      </w:r>
      <w:r>
        <w:t xml:space="preserve">Chen, C., Jia-jia, G. &amp; Da-jun, S.</w:t>
      </w:r>
      <w:r>
        <w:t xml:space="preserve"> </w:t>
      </w:r>
      <w:hyperlink r:id="rId137">
        <w:r>
          <w:rPr>
            <w:rStyle w:val="ae"/>
          </w:rPr>
          <w:t xml:space="preserve">Water resources allocation and re-allocation of the Yellow River Basin</w:t>
        </w:r>
      </w:hyperlink>
      <w:r>
        <w:t xml:space="preserve">.</w:t>
      </w:r>
      <w:r>
        <w:t xml:space="preserve"> </w:t>
      </w:r>
      <w:r>
        <w:rPr>
          <w:iCs/>
          <w:i/>
        </w:rPr>
        <w:t xml:space="preserve">Resour. Sci.</w:t>
      </w:r>
      <w:r>
        <w:t xml:space="preserve"> </w:t>
      </w:r>
      <w:r>
        <w:rPr>
          <w:bCs/>
          <w:b/>
        </w:rPr>
        <w:t xml:space="preserve">43</w:t>
      </w:r>
      <w:r>
        <w:t xml:space="preserve">, 799–812 (2021).</w:t>
      </w:r>
    </w:p>
    <w:bookmarkEnd w:id="138"/>
    <w:bookmarkStart w:id="140" w:name="ref-huangang2002"/>
    <w:p>
      <w:pPr>
        <w:pStyle w:val="a8"/>
      </w:pPr>
      <w:r>
        <w:t xml:space="preserve">23.</w:t>
      </w:r>
      <w:r>
        <w:t xml:space="preserve"> </w:t>
      </w:r>
      <w:r>
        <w:t xml:space="preserve">	</w:t>
      </w:r>
      <w:r>
        <w:t xml:space="preserve">Hu An-gang, W. Y. Institutional failure is an important reason for the depletion of the Yellow River.</w:t>
      </w:r>
      <w:r>
        <w:t xml:space="preserve"> </w:t>
      </w:r>
      <w:r>
        <w:rPr>
          <w:iCs/>
          <w:i/>
        </w:rPr>
        <w:t xml:space="preserve">Rev. Econ. Res.</w:t>
      </w:r>
      <w:r>
        <w:t xml:space="preserve"> </w:t>
      </w:r>
      <w:r>
        <w:t xml:space="preserve">31 (2002) doi:</w:t>
      </w:r>
      <w:hyperlink r:id="rId139">
        <w:r>
          <w:rPr>
            <w:rStyle w:val="ae"/>
          </w:rPr>
          <w:t xml:space="preserve">10.16110/j.cnki.issn2095-3151.2002.63.035</w:t>
        </w:r>
      </w:hyperlink>
      <w:r>
        <w:t xml:space="preserve">.</w:t>
      </w:r>
    </w:p>
    <w:bookmarkEnd w:id="140"/>
    <w:bookmarkStart w:id="142" w:name="ref-an2007"/>
    <w:p>
      <w:pPr>
        <w:pStyle w:val="a8"/>
      </w:pPr>
      <w:r>
        <w:t xml:space="preserve">24.</w:t>
      </w:r>
      <w:r>
        <w:t xml:space="preserve"> </w:t>
      </w:r>
      <w:r>
        <w:t xml:space="preserve">	</w:t>
      </w:r>
      <w:r>
        <w:t xml:space="preserve">Xin-dai, A., Qing, S. &amp; Yong-qi, C.</w:t>
      </w:r>
      <w:r>
        <w:t xml:space="preserve"> </w:t>
      </w:r>
      <w:hyperlink r:id="rId141">
        <w:r>
          <w:rPr>
            <w:rStyle w:val="ae"/>
          </w:rPr>
          <w:t xml:space="preserve">Prospect of water right system establishment in Yellow River Basin</w:t>
        </w:r>
      </w:hyperlink>
      <w:r>
        <w:t xml:space="preserve">.</w:t>
      </w:r>
      <w:r>
        <w:t xml:space="preserve"> </w:t>
      </w:r>
      <w:r>
        <w:rPr>
          <w:iCs/>
          <w:i/>
        </w:rPr>
        <w:t xml:space="preserve">CHINA WATER Resour.</w:t>
      </w:r>
      <w:r>
        <w:t xml:space="preserve"> </w:t>
      </w:r>
      <w:r>
        <w:t xml:space="preserve">66–69 (2007).</w:t>
      </w:r>
    </w:p>
    <w:bookmarkEnd w:id="142"/>
    <w:bookmarkStart w:id="144" w:name="ref-kellenberg2009"/>
    <w:p>
      <w:pPr>
        <w:pStyle w:val="a8"/>
      </w:pPr>
      <w:r>
        <w:t xml:space="preserve">25.</w:t>
      </w:r>
      <w:r>
        <w:t xml:space="preserve"> </w:t>
      </w:r>
      <w:r>
        <w:t xml:space="preserve">	</w:t>
      </w:r>
      <w:r>
        <w:t xml:space="preserve">Kellenberg, D. K.</w:t>
      </w:r>
      <w:r>
        <w:t xml:space="preserve"> </w:t>
      </w:r>
      <w:hyperlink r:id="rId143">
        <w:r>
          <w:rPr>
            <w:rStyle w:val="ae"/>
          </w:rPr>
          <w:t xml:space="preserve">An empirical investigation of the pollution haven effect with strategic environment and trade policy</w:t>
        </w:r>
      </w:hyperlink>
      <w:r>
        <w:t xml:space="preserve">.</w:t>
      </w:r>
      <w:r>
        <w:t xml:space="preserve"> </w:t>
      </w:r>
      <w:r>
        <w:rPr>
          <w:iCs/>
          <w:i/>
        </w:rPr>
        <w:t xml:space="preserve">Journal of International Economics</w:t>
      </w:r>
      <w:r>
        <w:t xml:space="preserve"> </w:t>
      </w:r>
      <w:r>
        <w:rPr>
          <w:bCs/>
          <w:b/>
        </w:rPr>
        <w:t xml:space="preserve">78</w:t>
      </w:r>
      <w:r>
        <w:t xml:space="preserve">, 242–255 (2009).</w:t>
      </w:r>
    </w:p>
    <w:bookmarkEnd w:id="144"/>
    <w:bookmarkStart w:id="146" w:name="ref-cai2016"/>
    <w:p>
      <w:pPr>
        <w:pStyle w:val="a8"/>
      </w:pPr>
      <w:r>
        <w:t xml:space="preserve">26.</w:t>
      </w:r>
      <w:r>
        <w:t xml:space="preserve"> </w:t>
      </w:r>
      <w:r>
        <w:t xml:space="preserve">	</w:t>
      </w:r>
      <w:r>
        <w:t xml:space="preserve">Cai, H., Chen, Y. &amp; Gong, Q.</w:t>
      </w:r>
      <w:r>
        <w:t xml:space="preserve"> </w:t>
      </w:r>
      <w:hyperlink r:id="rId145">
        <w:r>
          <w:rPr>
            <w:rStyle w:val="ae"/>
          </w:rPr>
          <w:t xml:space="preserve">Polluting thy neighbor:</w:t>
        </w:r>
        <w:r>
          <w:rPr>
            <w:rStyle w:val="ae"/>
          </w:rPr>
          <w:t xml:space="preserve"> </w:t>
        </w:r>
        <w:r>
          <w:rPr>
            <w:rStyle w:val="ae"/>
          </w:rPr>
          <w:t xml:space="preserve">Unintended</w:t>
        </w:r>
        <w:r>
          <w:rPr>
            <w:rStyle w:val="ae"/>
          </w:rPr>
          <w:t xml:space="preserve"> </w:t>
        </w:r>
        <w:r>
          <w:rPr>
            <w:rStyle w:val="ae"/>
          </w:rPr>
          <w:t xml:space="preserve">consequences of</w:t>
        </w:r>
        <w:r>
          <w:rPr>
            <w:rStyle w:val="ae"/>
          </w:rPr>
          <w:t xml:space="preserve"> </w:t>
        </w:r>
        <w:r>
          <w:rPr>
            <w:rStyle w:val="ae"/>
          </w:rPr>
          <w:t xml:space="preserve">China</w:t>
        </w:r>
        <w:r>
          <w:rPr>
            <w:rStyle w:val="ae"/>
          </w:rPr>
          <w:t xml:space="preserve">’s pollution reduction mandates</w:t>
        </w:r>
      </w:hyperlink>
      <w:r>
        <w:t xml:space="preserve">.</w:t>
      </w:r>
      <w:r>
        <w:t xml:space="preserve"> </w:t>
      </w:r>
      <w:r>
        <w:rPr>
          <w:iCs/>
          <w:i/>
        </w:rPr>
        <w:t xml:space="preserve">Journal of Environmental Economics and Management</w:t>
      </w:r>
      <w:r>
        <w:t xml:space="preserve"> </w:t>
      </w:r>
      <w:r>
        <w:rPr>
          <w:bCs/>
          <w:b/>
        </w:rPr>
        <w:t xml:space="preserve">76</w:t>
      </w:r>
      <w:r>
        <w:t xml:space="preserve">, 86–104 (2016).</w:t>
      </w:r>
    </w:p>
    <w:bookmarkEnd w:id="146"/>
    <w:bookmarkStart w:id="148" w:name="ref-barnes2019"/>
    <w:p>
      <w:pPr>
        <w:pStyle w:val="a8"/>
      </w:pPr>
      <w:r>
        <w:t xml:space="preserve">27.</w:t>
      </w:r>
      <w:r>
        <w:t xml:space="preserve"> </w:t>
      </w:r>
      <w:r>
        <w:t xml:space="preserve">	</w:t>
      </w:r>
      <w:r>
        <w:t xml:space="preserve">Barnes, M. L.</w:t>
      </w:r>
      <w:r>
        <w:t xml:space="preserve"> </w:t>
      </w:r>
      <w:r>
        <w:rPr>
          <w:iCs/>
          <w:i/>
        </w:rPr>
        <w:t xml:space="preserve">et al.</w:t>
      </w:r>
      <w:r>
        <w:t xml:space="preserve"> </w:t>
      </w:r>
      <w:hyperlink r:id="rId147">
        <w:r>
          <w:rPr>
            <w:rStyle w:val="ae"/>
          </w:rPr>
          <w:t xml:space="preserve">Social-ecological alignment and ecological conditions in coral reefs</w:t>
        </w:r>
      </w:hyperlink>
      <w:r>
        <w:t xml:space="preserve">.</w:t>
      </w:r>
      <w:r>
        <w:t xml:space="preserve"> </w:t>
      </w:r>
      <w:r>
        <w:rPr>
          <w:iCs/>
          <w:i/>
        </w:rPr>
        <w:t xml:space="preserve">Nat. Commun.</w:t>
      </w:r>
      <w:r>
        <w:t xml:space="preserve"> </w:t>
      </w:r>
      <w:r>
        <w:rPr>
          <w:bCs/>
          <w:b/>
        </w:rPr>
        <w:t xml:space="preserve">10</w:t>
      </w:r>
      <w:r>
        <w:t xml:space="preserve">, 2039 (2019).</w:t>
      </w:r>
    </w:p>
    <w:bookmarkEnd w:id="148"/>
    <w:bookmarkStart w:id="150" w:name="ref-mao2000"/>
    <w:p>
      <w:pPr>
        <w:pStyle w:val="a8"/>
      </w:pPr>
      <w:r>
        <w:t xml:space="preserve">28.</w:t>
      </w:r>
      <w:r>
        <w:t xml:space="preserve"> </w:t>
      </w:r>
      <w:r>
        <w:t xml:space="preserve">	</w:t>
      </w:r>
      <w:r>
        <w:t xml:space="preserve">Shou-long, M.</w:t>
      </w:r>
      <w:r>
        <w:t xml:space="preserve"> </w:t>
      </w:r>
      <w:hyperlink r:id="rId149">
        <w:r>
          <w:rPr>
            <w:rStyle w:val="ae"/>
          </w:rPr>
          <w:t xml:space="preserve">Institutional analysis under the depletion of the Yellow River</w:t>
        </w:r>
      </w:hyperlink>
      <w:r>
        <w:t xml:space="preserve">.</w:t>
      </w:r>
      <w:r>
        <w:t xml:space="preserve"> </w:t>
      </w:r>
      <w:r>
        <w:rPr>
          <w:iCs/>
          <w:i/>
        </w:rPr>
        <w:t xml:space="preserve">Chin. Foreign Corp. Cult.</w:t>
      </w:r>
      <w:r>
        <w:t xml:space="preserve"> </w:t>
      </w:r>
      <w:r>
        <w:t xml:space="preserve">58–61 (2000).</w:t>
      </w:r>
    </w:p>
    <w:bookmarkEnd w:id="150"/>
    <w:bookmarkStart w:id="152" w:name="ref-bouckaert2022"/>
    <w:p>
      <w:pPr>
        <w:pStyle w:val="a8"/>
      </w:pPr>
      <w:r>
        <w:t xml:space="preserve">29.</w:t>
      </w:r>
      <w:r>
        <w:t xml:space="preserve"> </w:t>
      </w:r>
      <w:r>
        <w:t xml:space="preserve">	</w:t>
      </w:r>
      <w:r>
        <w:t xml:space="preserve">Bouckaert, F. W., Wei, Y., Pittock, J., Vasconcelos, V. &amp; Ison, R.</w:t>
      </w:r>
      <w:r>
        <w:t xml:space="preserve"> </w:t>
      </w:r>
      <w:hyperlink r:id="rId151">
        <w:r>
          <w:rPr>
            <w:rStyle w:val="ae"/>
          </w:rPr>
          <w:t xml:space="preserve">River basin governance enabling pathways for sustainable management:</w:t>
        </w:r>
        <w:r>
          <w:rPr>
            <w:rStyle w:val="ae"/>
          </w:rPr>
          <w:t xml:space="preserve"> </w:t>
        </w:r>
        <w:r>
          <w:rPr>
            <w:rStyle w:val="ae"/>
          </w:rPr>
          <w:t xml:space="preserve">A</w:t>
        </w:r>
        <w:r>
          <w:rPr>
            <w:rStyle w:val="ae"/>
          </w:rPr>
          <w:t xml:space="preserve"> </w:t>
        </w:r>
        <w:r>
          <w:rPr>
            <w:rStyle w:val="ae"/>
          </w:rPr>
          <w:t xml:space="preserve">comparative study between</w:t>
        </w:r>
        <w:r>
          <w:rPr>
            <w:rStyle w:val="ae"/>
          </w:rPr>
          <w:t xml:space="preserve"> </w:t>
        </w:r>
        <w:r>
          <w:rPr>
            <w:rStyle w:val="ae"/>
          </w:rPr>
          <w:t xml:space="preserve">Australia</w:t>
        </w:r>
        <w:r>
          <w:rPr>
            <w:rStyle w:val="ae"/>
          </w:rPr>
          <w:t xml:space="preserve">,</w:t>
        </w:r>
        <w:r>
          <w:rPr>
            <w:rStyle w:val="ae"/>
          </w:rPr>
          <w:t xml:space="preserve"> </w:t>
        </w:r>
        <w:r>
          <w:rPr>
            <w:rStyle w:val="ae"/>
          </w:rPr>
          <w:t xml:space="preserve">Brazil</w:t>
        </w:r>
        <w:r>
          <w:rPr>
            <w:rStyle w:val="ae"/>
          </w:rPr>
          <w:t xml:space="preserve">,</w:t>
        </w:r>
        <w:r>
          <w:rPr>
            <w:rStyle w:val="ae"/>
          </w:rPr>
          <w:t xml:space="preserve"> </w:t>
        </w:r>
        <w:r>
          <w:rPr>
            <w:rStyle w:val="ae"/>
          </w:rPr>
          <w:t xml:space="preserve">China</w:t>
        </w:r>
        <w:r>
          <w:rPr>
            <w:rStyle w:val="ae"/>
          </w:rPr>
          <w:t xml:space="preserve"> </w:t>
        </w:r>
        <w:r>
          <w:rPr>
            <w:rStyle w:val="ae"/>
          </w:rPr>
          <w:t xml:space="preserve">and</w:t>
        </w:r>
        <w:r>
          <w:rPr>
            <w:rStyle w:val="ae"/>
          </w:rPr>
          <w:t xml:space="preserve"> </w:t>
        </w:r>
        <w:r>
          <w:rPr>
            <w:rStyle w:val="ae"/>
          </w:rPr>
          <w:t xml:space="preserve">France</w:t>
        </w:r>
      </w:hyperlink>
      <w:r>
        <w:t xml:space="preserve">.</w:t>
      </w:r>
      <w:r>
        <w:t xml:space="preserve"> </w:t>
      </w:r>
      <w:r>
        <w:rPr>
          <w:iCs/>
          <w:i/>
        </w:rPr>
        <w:t xml:space="preserve">Ambio</w:t>
      </w:r>
      <w:r>
        <w:t xml:space="preserve"> </w:t>
      </w:r>
      <w:r>
        <w:rPr>
          <w:bCs/>
          <w:b/>
        </w:rPr>
        <w:t xml:space="preserve">51</w:t>
      </w:r>
      <w:r>
        <w:t xml:space="preserve">, 1871–1888 (2022).</w:t>
      </w:r>
    </w:p>
    <w:bookmarkEnd w:id="152"/>
    <w:bookmarkStart w:id="154" w:name="ref-wang2019a"/>
    <w:p>
      <w:pPr>
        <w:pStyle w:val="a8"/>
      </w:pPr>
      <w:r>
        <w:t xml:space="preserve">30.</w:t>
      </w:r>
      <w:r>
        <w:t xml:space="preserve"> </w:t>
      </w:r>
      <w:r>
        <w:t xml:space="preserve">	</w:t>
      </w:r>
      <w:r>
        <w:t xml:space="preserve">Wang, Y.</w:t>
      </w:r>
      <w:r>
        <w:t xml:space="preserve"> </w:t>
      </w:r>
      <w:r>
        <w:rPr>
          <w:iCs/>
          <w:i/>
        </w:rPr>
        <w:t xml:space="preserve">et al.</w:t>
      </w:r>
      <w:r>
        <w:t xml:space="preserve"> </w:t>
      </w:r>
      <w:hyperlink r:id="rId153">
        <w:r>
          <w:rPr>
            <w:rStyle w:val="ae"/>
          </w:rPr>
          <w:t xml:space="preserve">Review of the Implementation of the Yellow River Water Allocation Scheme for Thirty Years</w:t>
        </w:r>
      </w:hyperlink>
      <w:r>
        <w:t xml:space="preserve">.</w:t>
      </w:r>
      <w:r>
        <w:t xml:space="preserve"> </w:t>
      </w:r>
      <w:r>
        <w:rPr>
          <w:iCs/>
          <w:i/>
        </w:rPr>
        <w:t xml:space="preserve">Yellow River</w:t>
      </w:r>
      <w:r>
        <w:t xml:space="preserve"> </w:t>
      </w:r>
      <w:r>
        <w:rPr>
          <w:bCs/>
          <w:b/>
        </w:rPr>
        <w:t xml:space="preserve">41</w:t>
      </w:r>
      <w:r>
        <w:t xml:space="preserve">, 6–19 (2019).</w:t>
      </w:r>
    </w:p>
    <w:bookmarkEnd w:id="154"/>
    <w:bookmarkStart w:id="156" w:name="ref-zuo2020"/>
    <w:p>
      <w:pPr>
        <w:pStyle w:val="a8"/>
      </w:pPr>
      <w:r>
        <w:t xml:space="preserve">31.</w:t>
      </w:r>
      <w:r>
        <w:t xml:space="preserve"> </w:t>
      </w:r>
      <w:r>
        <w:t xml:space="preserve">	</w:t>
      </w:r>
      <w:r>
        <w:t xml:space="preserve">Qi-ting, Z., Bin-bin, W., Wei, Z. &amp; Jun-xia, M.</w:t>
      </w:r>
      <w:r>
        <w:t xml:space="preserve"> </w:t>
      </w:r>
      <w:hyperlink r:id="rId155">
        <w:r>
          <w:rPr>
            <w:rStyle w:val="ae"/>
          </w:rPr>
          <w:t xml:space="preserve">A method of water distribution in transboundary rivers and the new calculation scheme of the Yellow River water distribution</w:t>
        </w:r>
      </w:hyperlink>
      <w:r>
        <w:t xml:space="preserve">.</w:t>
      </w:r>
      <w:r>
        <w:t xml:space="preserve"> </w:t>
      </w:r>
      <w:r>
        <w:rPr>
          <w:iCs/>
          <w:i/>
        </w:rPr>
        <w:t xml:space="preserve">Resour. Sci.</w:t>
      </w:r>
      <w:r>
        <w:t xml:space="preserve"> </w:t>
      </w:r>
      <w:r>
        <w:rPr>
          <w:bCs/>
          <w:b/>
        </w:rPr>
        <w:t xml:space="preserve">42</w:t>
      </w:r>
      <w:r>
        <w:t xml:space="preserve">, 37–45 (2020).</w:t>
      </w:r>
    </w:p>
    <w:bookmarkEnd w:id="156"/>
    <w:bookmarkStart w:id="158" w:name="ref-krieger1955"/>
    <w:p>
      <w:pPr>
        <w:pStyle w:val="a8"/>
      </w:pPr>
      <w:r>
        <w:t xml:space="preserve">32.</w:t>
      </w:r>
      <w:r>
        <w:t xml:space="preserve"> </w:t>
      </w:r>
      <w:r>
        <w:t xml:space="preserve">	</w:t>
      </w:r>
      <w:r>
        <w:t xml:space="preserve">Krieger, J. H.</w:t>
      </w:r>
      <w:r>
        <w:t xml:space="preserve"> </w:t>
      </w:r>
      <w:hyperlink r:id="rId157">
        <w:r>
          <w:rPr>
            <w:rStyle w:val="ae"/>
          </w:rPr>
          <w:t xml:space="preserve">Progress in</w:t>
        </w:r>
        <w:r>
          <w:rPr>
            <w:rStyle w:val="ae"/>
          </w:rPr>
          <w:t xml:space="preserve"> </w:t>
        </w:r>
        <w:r>
          <w:rPr>
            <w:rStyle w:val="ae"/>
          </w:rPr>
          <w:t xml:space="preserve">Ground Water Replenishment</w:t>
        </w:r>
        <w:r>
          <w:rPr>
            <w:rStyle w:val="ae"/>
          </w:rPr>
          <w:t xml:space="preserve"> </w:t>
        </w:r>
        <w:r>
          <w:rPr>
            <w:rStyle w:val="ae"/>
          </w:rPr>
          <w:t xml:space="preserve">in</w:t>
        </w:r>
        <w:r>
          <w:rPr>
            <w:rStyle w:val="ae"/>
          </w:rPr>
          <w:t xml:space="preserve"> </w:t>
        </w:r>
        <w:r>
          <w:rPr>
            <w:rStyle w:val="ae"/>
          </w:rPr>
          <w:t xml:space="preserve">Southern California</w:t>
        </w:r>
      </w:hyperlink>
      <w:r>
        <w:t xml:space="preserve">.</w:t>
      </w:r>
      <w:r>
        <w:t xml:space="preserve"> </w:t>
      </w:r>
      <w:r>
        <w:rPr>
          <w:iCs/>
          <w:i/>
        </w:rPr>
        <w:t xml:space="preserve">J. Am. Water Works Assoc.</w:t>
      </w:r>
      <w:r>
        <w:t xml:space="preserve"> </w:t>
      </w:r>
      <w:r>
        <w:rPr>
          <w:bCs/>
          <w:b/>
        </w:rPr>
        <w:t xml:space="preserve">47</w:t>
      </w:r>
      <w:r>
        <w:t xml:space="preserve">, 909–913 (1955).</w:t>
      </w:r>
    </w:p>
    <w:bookmarkEnd w:id="158"/>
    <w:bookmarkStart w:id="160" w:name="ref-ostrom1990"/>
    <w:p>
      <w:pPr>
        <w:pStyle w:val="a8"/>
      </w:pPr>
      <w:r>
        <w:t xml:space="preserve">33.</w:t>
      </w:r>
      <w:r>
        <w:t xml:space="preserve"> </w:t>
      </w:r>
      <w:r>
        <w:t xml:space="preserve">	</w:t>
      </w:r>
      <w:r>
        <w:t xml:space="preserve">Ostrom, E.</w:t>
      </w:r>
      <w:r>
        <w:t xml:space="preserve"> </w:t>
      </w:r>
      <w:r>
        <w:rPr>
          <w:iCs/>
          <w:i/>
        </w:rPr>
        <w:t xml:space="preserve">Governing the</w:t>
      </w:r>
      <w:r>
        <w:rPr>
          <w:iCs/>
          <w:i/>
        </w:rPr>
        <w:t xml:space="preserve"> </w:t>
      </w:r>
      <w:r>
        <w:rPr>
          <w:iCs/>
          <w:i/>
        </w:rPr>
        <w:t xml:space="preserve">Commons</w:t>
      </w:r>
      <w:r>
        <w:rPr>
          <w:iCs/>
          <w:i/>
        </w:rPr>
        <w:t xml:space="preserve">:</w:t>
      </w:r>
      <w:r>
        <w:rPr>
          <w:iCs/>
          <w:i/>
        </w:rPr>
        <w:t xml:space="preserve"> </w:t>
      </w:r>
      <w:r>
        <w:rPr>
          <w:iCs/>
          <w:i/>
        </w:rPr>
        <w:t xml:space="preserve">The Evolution</w:t>
      </w:r>
      <w:r>
        <w:rPr>
          <w:iCs/>
          <w:i/>
        </w:rPr>
        <w:t xml:space="preserve"> </w:t>
      </w:r>
      <w:r>
        <w:rPr>
          <w:iCs/>
          <w:i/>
        </w:rPr>
        <w:t xml:space="preserve">of</w:t>
      </w:r>
      <w:r>
        <w:rPr>
          <w:iCs/>
          <w:i/>
        </w:rPr>
        <w:t xml:space="preserve"> </w:t>
      </w:r>
      <w:r>
        <w:rPr>
          <w:iCs/>
          <w:i/>
        </w:rPr>
        <w:t xml:space="preserve">Institutions</w:t>
      </w:r>
      <w:r>
        <w:rPr>
          <w:iCs/>
          <w:i/>
        </w:rPr>
        <w:t xml:space="preserve"> </w:t>
      </w:r>
      <w:r>
        <w:rPr>
          <w:iCs/>
          <w:i/>
        </w:rPr>
        <w:t xml:space="preserve">for</w:t>
      </w:r>
      <w:r>
        <w:rPr>
          <w:iCs/>
          <w:i/>
        </w:rPr>
        <w:t xml:space="preserve"> </w:t>
      </w:r>
      <w:r>
        <w:rPr>
          <w:iCs/>
          <w:i/>
        </w:rPr>
        <w:t xml:space="preserve">Collective Action</w:t>
      </w:r>
      <w:r>
        <w:t xml:space="preserve">. (</w:t>
      </w:r>
      <w:r>
        <w:t xml:space="preserve">Cambridge University Press</w:t>
      </w:r>
      <w:r>
        <w:t xml:space="preserve">, 1990). doi:</w:t>
      </w:r>
      <w:hyperlink r:id="rId159">
        <w:r>
          <w:rPr>
            <w:rStyle w:val="ae"/>
          </w:rPr>
          <w:t xml:space="preserve">10.1017/CBO9780511807763</w:t>
        </w:r>
      </w:hyperlink>
      <w:r>
        <w:t xml:space="preserve">.</w:t>
      </w:r>
    </w:p>
    <w:bookmarkEnd w:id="160"/>
    <w:bookmarkStart w:id="162" w:name="ref-sun2022b"/>
    <w:p>
      <w:pPr>
        <w:pStyle w:val="a8"/>
      </w:pPr>
      <w:r>
        <w:t xml:space="preserve">34.</w:t>
      </w:r>
      <w:r>
        <w:t xml:space="preserve"> </w:t>
      </w:r>
      <w:r>
        <w:t xml:space="preserve">	</w:t>
      </w:r>
      <w:r>
        <w:t xml:space="preserve">Sun, S.</w:t>
      </w:r>
      <w:r>
        <w:t xml:space="preserve"> </w:t>
      </w:r>
      <w:r>
        <w:rPr>
          <w:iCs/>
          <w:i/>
        </w:rPr>
        <w:t xml:space="preserve">et al.</w:t>
      </w:r>
      <w:r>
        <w:t xml:space="preserve"> </w:t>
      </w:r>
      <w:hyperlink r:id="rId161">
        <w:r>
          <w:rPr>
            <w:rStyle w:val="ae"/>
          </w:rPr>
          <w:t xml:space="preserve">Domestic</w:t>
        </w:r>
        <w:r>
          <w:rPr>
            <w:rStyle w:val="ae"/>
          </w:rPr>
          <w:t xml:space="preserve"> </w:t>
        </w:r>
        <w:r>
          <w:rPr>
            <w:rStyle w:val="ae"/>
          </w:rPr>
          <w:t xml:space="preserve">Groundwater Depletion Supports China</w:t>
        </w:r>
        <w:r>
          <w:rPr>
            <w:rStyle w:val="ae"/>
          </w:rPr>
          <w:t xml:space="preserve">’s</w:t>
        </w:r>
        <w:r>
          <w:rPr>
            <w:rStyle w:val="ae"/>
          </w:rPr>
          <w:t xml:space="preserve"> </w:t>
        </w:r>
        <w:r>
          <w:rPr>
            <w:rStyle w:val="ae"/>
          </w:rPr>
          <w:t xml:space="preserve">Full Supply Chains</w:t>
        </w:r>
      </w:hyperlink>
      <w:r>
        <w:t xml:space="preserve">.</w:t>
      </w:r>
      <w:r>
        <w:t xml:space="preserve"> </w:t>
      </w:r>
      <w:r>
        <w:rPr>
          <w:iCs/>
          <w:i/>
        </w:rPr>
        <w:t xml:space="preserve">Water Resources Research</w:t>
      </w:r>
      <w:r>
        <w:t xml:space="preserve"> </w:t>
      </w:r>
      <w:r>
        <w:rPr>
          <w:bCs/>
          <w:b/>
        </w:rPr>
        <w:t xml:space="preserve">58</w:t>
      </w:r>
      <w:r>
        <w:t xml:space="preserve">, (2022).</w:t>
      </w:r>
    </w:p>
    <w:bookmarkEnd w:id="162"/>
    <w:bookmarkStart w:id="164" w:name="ref-guerrero2015"/>
    <w:p>
      <w:pPr>
        <w:pStyle w:val="a8"/>
      </w:pPr>
      <w:r>
        <w:t xml:space="preserve">35.</w:t>
      </w:r>
      <w:r>
        <w:t xml:space="preserve"> </w:t>
      </w:r>
      <w:r>
        <w:t xml:space="preserve">	</w:t>
      </w:r>
      <w:r>
        <w:t xml:space="preserve">Guerrero, A., Bodin, Ö., McAllister, R. &amp; Wilson, K.</w:t>
      </w:r>
      <w:r>
        <w:t xml:space="preserve"> </w:t>
      </w:r>
      <w:hyperlink r:id="rId163">
        <w:r>
          <w:rPr>
            <w:rStyle w:val="ae"/>
          </w:rPr>
          <w:t xml:space="preserve">Achieving social-ecological fit through bottom-up collaborative governance: An empirical investigation</w:t>
        </w:r>
      </w:hyperlink>
      <w:r>
        <w:t xml:space="preserve">.</w:t>
      </w:r>
      <w:r>
        <w:t xml:space="preserve"> </w:t>
      </w:r>
      <w:r>
        <w:rPr>
          <w:iCs/>
          <w:i/>
        </w:rPr>
        <w:t xml:space="preserve">Ecol. Soc.</w:t>
      </w:r>
      <w:r>
        <w:t xml:space="preserve"> </w:t>
      </w:r>
      <w:r>
        <w:rPr>
          <w:bCs/>
          <w:b/>
        </w:rPr>
        <w:t xml:space="preserve">20</w:t>
      </w:r>
      <w:r>
        <w:t xml:space="preserve">, (2015).</w:t>
      </w:r>
    </w:p>
    <w:bookmarkEnd w:id="164"/>
    <w:bookmarkStart w:id="166" w:name="ref-bodin2012"/>
    <w:p>
      <w:pPr>
        <w:pStyle w:val="a8"/>
      </w:pPr>
      <w:r>
        <w:t xml:space="preserve">36.</w:t>
      </w:r>
      <w:r>
        <w:t xml:space="preserve"> </w:t>
      </w:r>
      <w:r>
        <w:t xml:space="preserve">	</w:t>
      </w:r>
      <w:r>
        <w:t xml:space="preserve">Bodin, Ö. &amp; TengÖ, M.</w:t>
      </w:r>
      <w:r>
        <w:t xml:space="preserve"> </w:t>
      </w:r>
      <w:hyperlink r:id="rId165">
        <w:r>
          <w:rPr>
            <w:rStyle w:val="ae"/>
          </w:rPr>
          <w:t xml:space="preserve">Disentangling intangible social–ecological systems</w:t>
        </w:r>
      </w:hyperlink>
      <w:r>
        <w:t xml:space="preserve">.</w:t>
      </w:r>
      <w:r>
        <w:t xml:space="preserve"> </w:t>
      </w:r>
      <w:r>
        <w:rPr>
          <w:iCs/>
          <w:i/>
        </w:rPr>
        <w:t xml:space="preserve">Global Environmental Change</w:t>
      </w:r>
      <w:r>
        <w:t xml:space="preserve"> </w:t>
      </w:r>
      <w:r>
        <w:rPr>
          <w:bCs/>
          <w:b/>
        </w:rPr>
        <w:t xml:space="preserve">22</w:t>
      </w:r>
      <w:r>
        <w:t xml:space="preserve">, 430–439 (2012).</w:t>
      </w:r>
    </w:p>
    <w:bookmarkEnd w:id="166"/>
    <w:bookmarkStart w:id="168" w:name="ref-sayles2017"/>
    <w:p>
      <w:pPr>
        <w:pStyle w:val="a8"/>
      </w:pPr>
      <w:r>
        <w:t xml:space="preserve">37.</w:t>
      </w:r>
      <w:r>
        <w:t xml:space="preserve"> </w:t>
      </w:r>
      <w:r>
        <w:t xml:space="preserve">	</w:t>
      </w:r>
      <w:r>
        <w:t xml:space="preserve">Sayles, J. S. &amp; Baggio, J. A.</w:t>
      </w:r>
      <w:r>
        <w:t xml:space="preserve"> </w:t>
      </w:r>
      <w:hyperlink r:id="rId167">
        <w:r>
          <w:rPr>
            <w:rStyle w:val="ae"/>
          </w:rPr>
          <w:t xml:space="preserve">Social–ecological network analysis of scale mismatches in estuary watershed restoration</w:t>
        </w:r>
      </w:hyperlink>
      <w:r>
        <w:t xml:space="preserve">.</w:t>
      </w:r>
      <w:r>
        <w:t xml:space="preserve"> </w:t>
      </w:r>
      <w:r>
        <w:rPr>
          <w:iCs/>
          <w:i/>
        </w:rPr>
        <w:t xml:space="preserve">Proc Natl Acad Sci USA</w:t>
      </w:r>
      <w:r>
        <w:t xml:space="preserve"> </w:t>
      </w:r>
      <w:r>
        <w:rPr>
          <w:bCs/>
          <w:b/>
        </w:rPr>
        <w:t xml:space="preserve">114</w:t>
      </w:r>
      <w:r>
        <w:t xml:space="preserve">, E1776–E1785 (2017).</w:t>
      </w:r>
    </w:p>
    <w:bookmarkEnd w:id="168"/>
    <w:bookmarkStart w:id="170" w:name="ref-sayles2019"/>
    <w:p>
      <w:pPr>
        <w:pStyle w:val="a8"/>
      </w:pPr>
      <w:r>
        <w:t xml:space="preserve">38.</w:t>
      </w:r>
      <w:r>
        <w:t xml:space="preserve"> </w:t>
      </w:r>
      <w:r>
        <w:t xml:space="preserve">	</w:t>
      </w:r>
      <w:r>
        <w:t xml:space="preserve">Sayles, J. S. Social-ecological network analysis for sustainability sciences: A systematic review and innovative research agenda for the future.</w:t>
      </w:r>
      <w:r>
        <w:t xml:space="preserve"> </w:t>
      </w:r>
      <w:r>
        <w:rPr>
          <w:iCs/>
          <w:i/>
        </w:rPr>
        <w:t xml:space="preserve">Env. Res Lett</w:t>
      </w:r>
      <w:r>
        <w:t xml:space="preserve"> </w:t>
      </w:r>
      <w:r>
        <w:t xml:space="preserve">19 (2019) doi:</w:t>
      </w:r>
      <w:hyperlink r:id="rId169">
        <w:r>
          <w:rPr>
            <w:rStyle w:val="ae"/>
          </w:rPr>
          <w:t xml:space="preserve">10.1088/1748-9326/ab2619</w:t>
        </w:r>
      </w:hyperlink>
      <w:r>
        <w:t xml:space="preserve">.</w:t>
      </w:r>
    </w:p>
    <w:bookmarkEnd w:id="170"/>
    <w:bookmarkStart w:id="172" w:name="ref-bergsten2019"/>
    <w:p>
      <w:pPr>
        <w:pStyle w:val="a8"/>
      </w:pPr>
      <w:r>
        <w:t xml:space="preserve">39.</w:t>
      </w:r>
      <w:r>
        <w:t xml:space="preserve"> </w:t>
      </w:r>
      <w:r>
        <w:t xml:space="preserve">	</w:t>
      </w:r>
      <w:r>
        <w:t xml:space="preserve">Bergsten, A.</w:t>
      </w:r>
      <w:r>
        <w:t xml:space="preserve"> </w:t>
      </w:r>
      <w:r>
        <w:rPr>
          <w:iCs/>
          <w:i/>
        </w:rPr>
        <w:t xml:space="preserve">et al.</w:t>
      </w:r>
      <w:r>
        <w:t xml:space="preserve"> </w:t>
      </w:r>
      <w:hyperlink r:id="rId171">
        <w:r>
          <w:rPr>
            <w:rStyle w:val="ae"/>
          </w:rPr>
          <w:t xml:space="preserve">Identifying governance gaps among interlinked sustainability challenges</w:t>
        </w:r>
      </w:hyperlink>
      <w:r>
        <w:t xml:space="preserve">.</w:t>
      </w:r>
      <w:r>
        <w:t xml:space="preserve"> </w:t>
      </w:r>
      <w:r>
        <w:rPr>
          <w:iCs/>
          <w:i/>
        </w:rPr>
        <w:t xml:space="preserve">Environmental Science &amp; Policy</w:t>
      </w:r>
      <w:r>
        <w:t xml:space="preserve"> </w:t>
      </w:r>
      <w:r>
        <w:rPr>
          <w:bCs/>
          <w:b/>
        </w:rPr>
        <w:t xml:space="preserve">91</w:t>
      </w:r>
      <w:r>
        <w:t xml:space="preserve">, 27–38 (2019).</w:t>
      </w:r>
    </w:p>
    <w:bookmarkEnd w:id="172"/>
    <w:bookmarkStart w:id="174" w:name="ref-hegwood2022"/>
    <w:p>
      <w:pPr>
        <w:pStyle w:val="a8"/>
      </w:pPr>
      <w:r>
        <w:t xml:space="preserve">40.</w:t>
      </w:r>
      <w:r>
        <w:t xml:space="preserve"> </w:t>
      </w:r>
      <w:r>
        <w:t xml:space="preserve">	</w:t>
      </w:r>
      <w:r>
        <w:t xml:space="preserve">Hegwood, M., Langendorf, R. E. &amp; Burgess, M. G. Why win–wins are rare in complex environmental management.</w:t>
      </w:r>
      <w:r>
        <w:t xml:space="preserve"> </w:t>
      </w:r>
      <w:r>
        <w:rPr>
          <w:iCs/>
          <w:i/>
        </w:rPr>
        <w:t xml:space="preserve">Nat Sustain</w:t>
      </w:r>
      <w:r>
        <w:t xml:space="preserve"> </w:t>
      </w:r>
      <w:r>
        <w:t xml:space="preserve">1–7 (2022) doi:</w:t>
      </w:r>
      <w:hyperlink r:id="rId173">
        <w:r>
          <w:rPr>
            <w:rStyle w:val="ae"/>
          </w:rPr>
          <w:t xml:space="preserve">10.1038/s41893-022-00866-z</w:t>
        </w:r>
      </w:hyperlink>
      <w:r>
        <w:t xml:space="preserve">.</w:t>
      </w:r>
    </w:p>
    <w:bookmarkEnd w:id="174"/>
    <w:bookmarkStart w:id="176" w:name="ref-reyers2018"/>
    <w:p>
      <w:pPr>
        <w:pStyle w:val="a8"/>
      </w:pPr>
      <w:r>
        <w:t xml:space="preserve">41.</w:t>
      </w:r>
      <w:r>
        <w:t xml:space="preserve"> </w:t>
      </w:r>
      <w:r>
        <w:t xml:space="preserve">	</w:t>
      </w:r>
      <w:r>
        <w:t xml:space="preserve">Reyers, B., Folke, C., Moore, M.-L., Biggs, R. &amp; Galaz, V.</w:t>
      </w:r>
      <w:r>
        <w:t xml:space="preserve"> </w:t>
      </w:r>
      <w:hyperlink r:id="rId175">
        <w:r>
          <w:rPr>
            <w:rStyle w:val="ae"/>
          </w:rPr>
          <w:t xml:space="preserve">Social-</w:t>
        </w:r>
        <w:r>
          <w:rPr>
            <w:rStyle w:val="ae"/>
          </w:rPr>
          <w:t xml:space="preserve">Ecological Systems Insights</w:t>
        </w:r>
        <w:r>
          <w:rPr>
            <w:rStyle w:val="ae"/>
          </w:rPr>
          <w:t xml:space="preserve"> </w:t>
        </w:r>
        <w:r>
          <w:rPr>
            <w:rStyle w:val="ae"/>
          </w:rPr>
          <w:t xml:space="preserve">for</w:t>
        </w:r>
        <w:r>
          <w:rPr>
            <w:rStyle w:val="ae"/>
          </w:rPr>
          <w:t xml:space="preserve"> </w:t>
        </w:r>
        <w:r>
          <w:rPr>
            <w:rStyle w:val="ae"/>
          </w:rPr>
          <w:t xml:space="preserve">Navigating</w:t>
        </w:r>
        <w:r>
          <w:rPr>
            <w:rStyle w:val="ae"/>
          </w:rPr>
          <w:t xml:space="preserve"> </w:t>
        </w:r>
        <w:r>
          <w:rPr>
            <w:rStyle w:val="ae"/>
          </w:rPr>
          <w:t xml:space="preserve">the</w:t>
        </w:r>
        <w:r>
          <w:rPr>
            <w:rStyle w:val="ae"/>
          </w:rPr>
          <w:t xml:space="preserve"> </w:t>
        </w:r>
        <w:r>
          <w:rPr>
            <w:rStyle w:val="ae"/>
          </w:rPr>
          <w:t xml:space="preserve">Dynamics</w:t>
        </w:r>
        <w:r>
          <w:rPr>
            <w:rStyle w:val="ae"/>
          </w:rPr>
          <w:t xml:space="preserve"> </w:t>
        </w:r>
        <w:r>
          <w:rPr>
            <w:rStyle w:val="ae"/>
          </w:rPr>
          <w:t xml:space="preserve">of the</w:t>
        </w:r>
        <w:r>
          <w:rPr>
            <w:rStyle w:val="ae"/>
          </w:rPr>
          <w:t xml:space="preserve"> </w:t>
        </w:r>
        <w:r>
          <w:rPr>
            <w:rStyle w:val="ae"/>
          </w:rPr>
          <w:t xml:space="preserve">Anthropocene</w:t>
        </w:r>
      </w:hyperlink>
      <w:r>
        <w:t xml:space="preserve">.</w:t>
      </w:r>
      <w:r>
        <w:t xml:space="preserve"> </w:t>
      </w:r>
      <w:r>
        <w:rPr>
          <w:iCs/>
          <w:i/>
        </w:rPr>
        <w:t xml:space="preserve">Annu. Rev. Environ. Resour.</w:t>
      </w:r>
      <w:r>
        <w:t xml:space="preserve"> </w:t>
      </w:r>
      <w:r>
        <w:rPr>
          <w:bCs/>
          <w:b/>
        </w:rPr>
        <w:t xml:space="preserve">43</w:t>
      </w:r>
      <w:r>
        <w:t xml:space="preserve">, 267–289 (2018).</w:t>
      </w:r>
    </w:p>
    <w:bookmarkEnd w:id="176"/>
    <w:bookmarkStart w:id="177" w:name="ref-yu2019"/>
    <w:p>
      <w:pPr>
        <w:pStyle w:val="a8"/>
      </w:pPr>
      <w:r>
        <w:t xml:space="preserve">42.</w:t>
      </w:r>
      <w:r>
        <w:t xml:space="preserve"> </w:t>
      </w:r>
      <w:r>
        <w:t xml:space="preserve">	</w:t>
      </w:r>
      <w:r>
        <w:t xml:space="preserve">Yu, W.</w:t>
      </w:r>
      <w:r>
        <w:t xml:space="preserve"> </w:t>
      </w:r>
      <w:r>
        <w:rPr>
          <w:iCs/>
          <w:i/>
        </w:rPr>
        <w:t xml:space="preserve">et al.</w:t>
      </w:r>
      <w:r>
        <w:t xml:space="preserve"> Adaptability assessment and promotion strategy of the</w:t>
      </w:r>
      <w:r>
        <w:t xml:space="preserve"> </w:t>
      </w:r>
      <w:r>
        <w:t xml:space="preserve">Yellow River Water Allocation Scheme</w:t>
      </w:r>
      <w:r>
        <w:t xml:space="preserve">.</w:t>
      </w:r>
      <w:r>
        <w:t xml:space="preserve"> </w:t>
      </w:r>
      <w:r>
        <w:rPr>
          <w:iCs/>
          <w:i/>
        </w:rPr>
        <w:t xml:space="preserve">Adv. Water Sci.</w:t>
      </w:r>
      <w:r>
        <w:t xml:space="preserve"> </w:t>
      </w:r>
      <w:r>
        <w:rPr>
          <w:bCs/>
          <w:b/>
        </w:rPr>
        <w:t xml:space="preserve">30</w:t>
      </w:r>
      <w:r>
        <w:t xml:space="preserve">, 632–642 (2019).</w:t>
      </w:r>
    </w:p>
    <w:bookmarkEnd w:id="177"/>
    <w:bookmarkStart w:id="179" w:name="ref-niu2022"/>
    <w:p>
      <w:pPr>
        <w:pStyle w:val="a8"/>
      </w:pPr>
      <w:r>
        <w:t xml:space="preserve">43.</w:t>
      </w:r>
      <w:r>
        <w:t xml:space="preserve"> </w:t>
      </w:r>
      <w:r>
        <w:t xml:space="preserve">	</w:t>
      </w:r>
      <w:r>
        <w:t xml:space="preserve">Niu, C.</w:t>
      </w:r>
      <w:r>
        <w:t xml:space="preserve"> </w:t>
      </w:r>
      <w:r>
        <w:rPr>
          <w:iCs/>
          <w:i/>
        </w:rPr>
        <w:t xml:space="preserve">et al.</w:t>
      </w:r>
      <w:r>
        <w:t xml:space="preserve"> </w:t>
      </w:r>
      <w:hyperlink r:id="rId178">
        <w:r>
          <w:rPr>
            <w:rStyle w:val="ae"/>
          </w:rPr>
          <w:t xml:space="preserve">A</w:t>
        </w:r>
        <w:r>
          <w:rPr>
            <w:rStyle w:val="ae"/>
          </w:rPr>
          <w:t xml:space="preserve"> </w:t>
        </w:r>
        <w:r>
          <w:rPr>
            <w:rStyle w:val="ae"/>
          </w:rPr>
          <w:t xml:space="preserve">Water Resource Equilibrium Regulation Model Under Water Resource Utilization Conflict</w:t>
        </w:r>
        <w:r>
          <w:rPr>
            <w:rStyle w:val="ae"/>
          </w:rPr>
          <w:t xml:space="preserve">:</w:t>
        </w:r>
        <w:r>
          <w:rPr>
            <w:rStyle w:val="ae"/>
          </w:rPr>
          <w:t xml:space="preserve"> </w:t>
        </w:r>
        <w:r>
          <w:rPr>
            <w:rStyle w:val="ae"/>
          </w:rPr>
          <w:t xml:space="preserve">A Case Study</w:t>
        </w:r>
        <w:r>
          <w:rPr>
            <w:rStyle w:val="ae"/>
          </w:rPr>
          <w:t xml:space="preserve"> </w:t>
        </w:r>
        <w:r>
          <w:rPr>
            <w:rStyle w:val="ae"/>
          </w:rPr>
          <w:t xml:space="preserve">in the</w:t>
        </w:r>
        <w:r>
          <w:rPr>
            <w:rStyle w:val="ae"/>
          </w:rPr>
          <w:t xml:space="preserve"> </w:t>
        </w:r>
        <w:r>
          <w:rPr>
            <w:rStyle w:val="ae"/>
          </w:rPr>
          <w:t xml:space="preserve">Yellow River Basin</w:t>
        </w:r>
      </w:hyperlink>
      <w:r>
        <w:t xml:space="preserve">.</w:t>
      </w:r>
      <w:r>
        <w:t xml:space="preserve"> </w:t>
      </w:r>
      <w:r>
        <w:rPr>
          <w:iCs/>
          <w:i/>
        </w:rPr>
        <w:t xml:space="preserve">Water Resources Research</w:t>
      </w:r>
      <w:r>
        <w:t xml:space="preserve"> </w:t>
      </w:r>
      <w:r>
        <w:rPr>
          <w:bCs/>
          <w:b/>
        </w:rPr>
        <w:t xml:space="preserve">58</w:t>
      </w:r>
      <w:r>
        <w:t xml:space="preserve">, (2022).</w:t>
      </w:r>
    </w:p>
    <w:bookmarkEnd w:id="179"/>
    <w:bookmarkStart w:id="181" w:name="ref-muneepeerakul2017"/>
    <w:p>
      <w:pPr>
        <w:pStyle w:val="a8"/>
      </w:pPr>
      <w:r>
        <w:t xml:space="preserve">44.</w:t>
      </w:r>
      <w:r>
        <w:t xml:space="preserve"> </w:t>
      </w:r>
      <w:r>
        <w:t xml:space="preserve">	</w:t>
      </w:r>
      <w:r>
        <w:t xml:space="preserve">Muneepeerakul, R. &amp; Anderies, J. M.</w:t>
      </w:r>
      <w:r>
        <w:t xml:space="preserve"> </w:t>
      </w:r>
      <w:hyperlink r:id="rId180">
        <w:r>
          <w:rPr>
            <w:rStyle w:val="ae"/>
          </w:rPr>
          <w:t xml:space="preserve">Strategic behaviors and governance challenges in social‐ecological systems</w:t>
        </w:r>
      </w:hyperlink>
      <w:r>
        <w:t xml:space="preserve">.</w:t>
      </w:r>
      <w:r>
        <w:t xml:space="preserve"> </w:t>
      </w:r>
      <w:r>
        <w:rPr>
          <w:iCs/>
          <w:i/>
        </w:rPr>
        <w:t xml:space="preserve">Earth’s Future</w:t>
      </w:r>
      <w:r>
        <w:t xml:space="preserve"> </w:t>
      </w:r>
      <w:r>
        <w:rPr>
          <w:bCs/>
          <w:b/>
        </w:rPr>
        <w:t xml:space="preserve">5</w:t>
      </w:r>
      <w:r>
        <w:t xml:space="preserve">, 865–876 (2017).</w:t>
      </w:r>
    </w:p>
    <w:bookmarkEnd w:id="181"/>
    <w:bookmarkStart w:id="183" w:name="ref-leslie2015"/>
    <w:p>
      <w:pPr>
        <w:pStyle w:val="a8"/>
      </w:pPr>
      <w:r>
        <w:t xml:space="preserve">45.</w:t>
      </w:r>
      <w:r>
        <w:t xml:space="preserve"> </w:t>
      </w:r>
      <w:r>
        <w:t xml:space="preserve">	</w:t>
      </w:r>
      <w:r>
        <w:t xml:space="preserve">Leslie, H. M.</w:t>
      </w:r>
      <w:r>
        <w:t xml:space="preserve"> </w:t>
      </w:r>
      <w:r>
        <w:rPr>
          <w:iCs/>
          <w:i/>
        </w:rPr>
        <w:t xml:space="preserve">et al.</w:t>
      </w:r>
      <w:r>
        <w:t xml:space="preserve"> </w:t>
      </w:r>
      <w:hyperlink r:id="rId182">
        <w:r>
          <w:rPr>
            <w:rStyle w:val="ae"/>
          </w:rPr>
          <w:t xml:space="preserve">Operationalizing the social-ecological systems framework to assess sustainability</w:t>
        </w:r>
      </w:hyperlink>
      <w:r>
        <w:t xml:space="preserve">.</w:t>
      </w:r>
      <w:r>
        <w:t xml:space="preserve"> </w:t>
      </w:r>
      <w:r>
        <w:rPr>
          <w:iCs/>
          <w:i/>
        </w:rPr>
        <w:t xml:space="preserve">Proc. Natl. Acad. Sci.</w:t>
      </w:r>
      <w:r>
        <w:t xml:space="preserve"> </w:t>
      </w:r>
      <w:r>
        <w:rPr>
          <w:bCs/>
          <w:b/>
        </w:rPr>
        <w:t xml:space="preserve">112</w:t>
      </w:r>
      <w:r>
        <w:t xml:space="preserve">, 5979–5984 (2015).</w:t>
      </w:r>
    </w:p>
    <w:bookmarkEnd w:id="183"/>
    <w:bookmarkStart w:id="185" w:name="ref-long2020"/>
    <w:p>
      <w:pPr>
        <w:pStyle w:val="a8"/>
      </w:pPr>
      <w:r>
        <w:t xml:space="preserve">46.</w:t>
      </w:r>
      <w:r>
        <w:t xml:space="preserve"> </w:t>
      </w:r>
      <w:r>
        <w:t xml:space="preserve">	</w:t>
      </w:r>
      <w:r>
        <w:t xml:space="preserve">Long, D.</w:t>
      </w:r>
      <w:r>
        <w:t xml:space="preserve"> </w:t>
      </w:r>
      <w:r>
        <w:rPr>
          <w:iCs/>
          <w:i/>
        </w:rPr>
        <w:t xml:space="preserve">et al.</w:t>
      </w:r>
      <w:r>
        <w:t xml:space="preserve"> </w:t>
      </w:r>
      <w:hyperlink r:id="rId184">
        <w:r>
          <w:rPr>
            <w:rStyle w:val="ae"/>
          </w:rPr>
          <w:t xml:space="preserve">South-to-</w:t>
        </w:r>
        <w:r>
          <w:rPr>
            <w:rStyle w:val="ae"/>
          </w:rPr>
          <w:t xml:space="preserve">North Water Diversion</w:t>
        </w:r>
        <w:r>
          <w:rPr>
            <w:rStyle w:val="ae"/>
          </w:rPr>
          <w:t xml:space="preserve"> </w:t>
        </w:r>
        <w:r>
          <w:rPr>
            <w:rStyle w:val="ae"/>
          </w:rPr>
          <w:t xml:space="preserve">stabilizing</w:t>
        </w:r>
        <w:r>
          <w:rPr>
            <w:rStyle w:val="ae"/>
          </w:rPr>
          <w:t xml:space="preserve"> </w:t>
        </w:r>
        <w:r>
          <w:rPr>
            <w:rStyle w:val="ae"/>
          </w:rPr>
          <w:t xml:space="preserve">Beijing</w:t>
        </w:r>
        <w:r>
          <w:rPr>
            <w:rStyle w:val="ae"/>
          </w:rPr>
          <w:t xml:space="preserve">’s groundwater levels</w:t>
        </w:r>
      </w:hyperlink>
      <w:r>
        <w:t xml:space="preserve">.</w:t>
      </w:r>
      <w:r>
        <w:t xml:space="preserve"> </w:t>
      </w:r>
      <w:r>
        <w:rPr>
          <w:iCs/>
          <w:i/>
        </w:rPr>
        <w:t xml:space="preserve">Nat Commun</w:t>
      </w:r>
      <w:r>
        <w:t xml:space="preserve"> </w:t>
      </w:r>
      <w:r>
        <w:rPr>
          <w:bCs/>
          <w:b/>
        </w:rPr>
        <w:t xml:space="preserve">11</w:t>
      </w:r>
      <w:r>
        <w:t xml:space="preserve">, 3665 (2020).</w:t>
      </w:r>
    </w:p>
    <w:bookmarkEnd w:id="185"/>
    <w:bookmarkStart w:id="187" w:name="ref-speed2013"/>
    <w:p>
      <w:pPr>
        <w:pStyle w:val="a8"/>
      </w:pPr>
      <w:r>
        <w:t xml:space="preserve">47.</w:t>
      </w:r>
      <w:r>
        <w:t xml:space="preserve"> </w:t>
      </w:r>
      <w:r>
        <w:t xml:space="preserve">	</w:t>
      </w:r>
      <w:r>
        <w:t xml:space="preserve">Speed, R. &amp; Asian Development Bank.</w:t>
      </w:r>
      <w:r>
        <w:t xml:space="preserve"> </w:t>
      </w:r>
      <w:hyperlink r:id="rId186">
        <w:r>
          <w:rPr>
            <w:rStyle w:val="ae"/>
            <w:iCs/>
            <w:i/>
          </w:rPr>
          <w:t xml:space="preserve">Basin water allocation planning: Principles, procedures, and approaches for basin allocation planning</w:t>
        </w:r>
      </w:hyperlink>
      <w:r>
        <w:t xml:space="preserve">. (</w:t>
      </w:r>
      <w:r>
        <w:t xml:space="preserve">Asian Development Bank, GIWP, UNESCO, and WWF-UK</w:t>
      </w:r>
      <w:r>
        <w:t xml:space="preserve">, 2013).</w:t>
      </w:r>
    </w:p>
    <w:bookmarkEnd w:id="187"/>
    <w:bookmarkStart w:id="189" w:name="ref-bodin2017a"/>
    <w:p>
      <w:pPr>
        <w:pStyle w:val="a8"/>
      </w:pPr>
      <w:r>
        <w:t xml:space="preserve">48.</w:t>
      </w:r>
      <w:r>
        <w:t xml:space="preserve"> </w:t>
      </w:r>
      <w:r>
        <w:t xml:space="preserve">	</w:t>
      </w:r>
      <w:r>
        <w:t xml:space="preserve">Bodin, Ö., Barnes, M. L., McAllister, R. R. J., Rocha, J. C. &amp; Guerrero, A. M.</w:t>
      </w:r>
      <w:r>
        <w:t xml:space="preserve"> </w:t>
      </w:r>
      <w:hyperlink r:id="rId188">
        <w:r>
          <w:rPr>
            <w:rStyle w:val="ae"/>
          </w:rPr>
          <w:t xml:space="preserve">Social–</w:t>
        </w:r>
        <w:r>
          <w:rPr>
            <w:rStyle w:val="ae"/>
          </w:rPr>
          <w:t xml:space="preserve">Ecological Network Approaches</w:t>
        </w:r>
        <w:r>
          <w:rPr>
            <w:rStyle w:val="ae"/>
          </w:rPr>
          <w:t xml:space="preserve"> </w:t>
        </w:r>
        <w:r>
          <w:rPr>
            <w:rStyle w:val="ae"/>
          </w:rPr>
          <w:t xml:space="preserve">in</w:t>
        </w:r>
        <w:r>
          <w:rPr>
            <w:rStyle w:val="ae"/>
          </w:rPr>
          <w:t xml:space="preserve"> </w:t>
        </w:r>
        <w:r>
          <w:rPr>
            <w:rStyle w:val="ae"/>
          </w:rPr>
          <w:t xml:space="preserve">Interdisciplinary Research</w:t>
        </w:r>
        <w:r>
          <w:rPr>
            <w:rStyle w:val="ae"/>
          </w:rPr>
          <w:t xml:space="preserve">:</w:t>
        </w:r>
        <w:r>
          <w:rPr>
            <w:rStyle w:val="ae"/>
          </w:rPr>
          <w:t xml:space="preserve"> </w:t>
        </w:r>
        <w:r>
          <w:rPr>
            <w:rStyle w:val="ae"/>
          </w:rPr>
          <w:t xml:space="preserve">A Response</w:t>
        </w:r>
        <w:r>
          <w:rPr>
            <w:rStyle w:val="ae"/>
          </w:rPr>
          <w:t xml:space="preserve"> </w:t>
        </w:r>
        <w:r>
          <w:rPr>
            <w:rStyle w:val="ae"/>
          </w:rPr>
          <w:t xml:space="preserve">to</w:t>
        </w:r>
        <w:r>
          <w:rPr>
            <w:rStyle w:val="ae"/>
          </w:rPr>
          <w:t xml:space="preserve"> </w:t>
        </w:r>
        <w:r>
          <w:rPr>
            <w:rStyle w:val="ae"/>
          </w:rPr>
          <w:t xml:space="preserve">Bohan</w:t>
        </w:r>
        <w:r>
          <w:rPr>
            <w:rStyle w:val="ae"/>
          </w:rPr>
          <w:t xml:space="preserve"> </w:t>
        </w:r>
        <w:r>
          <w:rPr>
            <w:rStyle w:val="ae"/>
          </w:rPr>
          <w:t xml:space="preserve">et al. And</w:t>
        </w:r>
        <w:r>
          <w:rPr>
            <w:rStyle w:val="ae"/>
          </w:rPr>
          <w:t xml:space="preserve"> </w:t>
        </w:r>
        <w:r>
          <w:rPr>
            <w:rStyle w:val="ae"/>
          </w:rPr>
          <w:t xml:space="preserve">Dee</w:t>
        </w:r>
        <w:r>
          <w:rPr>
            <w:rStyle w:val="ae"/>
          </w:rPr>
          <w:t xml:space="preserve"> </w:t>
        </w:r>
        <w:r>
          <w:rPr>
            <w:rStyle w:val="ae"/>
          </w:rPr>
          <w:t xml:space="preserve">et al.</w:t>
        </w:r>
      </w:hyperlink>
      <w:r>
        <w:t xml:space="preserve"> </w:t>
      </w:r>
      <w:r>
        <w:rPr>
          <w:iCs/>
          <w:i/>
        </w:rPr>
        <w:t xml:space="preserve">Trends Ecol. Evol.</w:t>
      </w:r>
      <w:r>
        <w:t xml:space="preserve"> </w:t>
      </w:r>
      <w:r>
        <w:rPr>
          <w:bCs/>
          <w:b/>
        </w:rPr>
        <w:t xml:space="preserve">32</w:t>
      </w:r>
      <w:r>
        <w:t xml:space="preserve">, 547–549 (2017).</w:t>
      </w:r>
    </w:p>
    <w:bookmarkEnd w:id="189"/>
    <w:bookmarkStart w:id="191" w:name="ref-zhou2020"/>
    <w:p>
      <w:pPr>
        <w:pStyle w:val="a8"/>
      </w:pPr>
      <w:r>
        <w:t xml:space="preserve">49.</w:t>
      </w:r>
      <w:r>
        <w:t xml:space="preserve"> </w:t>
      </w:r>
      <w:r>
        <w:t xml:space="preserve">	</w:t>
      </w:r>
      <w:r>
        <w:t xml:space="preserve">Zhou, F.</w:t>
      </w:r>
      <w:r>
        <w:t xml:space="preserve"> </w:t>
      </w:r>
      <w:r>
        <w:rPr>
          <w:iCs/>
          <w:i/>
        </w:rPr>
        <w:t xml:space="preserve">et al.</w:t>
      </w:r>
      <w:r>
        <w:t xml:space="preserve"> </w:t>
      </w:r>
      <w:hyperlink r:id="rId190">
        <w:r>
          <w:rPr>
            <w:rStyle w:val="ae"/>
          </w:rPr>
          <w:t xml:space="preserve">Deceleration of</w:t>
        </w:r>
        <w:r>
          <w:rPr>
            <w:rStyle w:val="ae"/>
          </w:rPr>
          <w:t xml:space="preserve"> </w:t>
        </w:r>
        <w:r>
          <w:rPr>
            <w:rStyle w:val="ae"/>
          </w:rPr>
          <w:t xml:space="preserve">China</w:t>
        </w:r>
        <w:r>
          <w:rPr>
            <w:rStyle w:val="ae"/>
          </w:rPr>
          <w:t xml:space="preserve">’s human water use and its key drivers</w:t>
        </w:r>
      </w:hyperlink>
      <w:r>
        <w:t xml:space="preserve">.</w:t>
      </w:r>
      <w:r>
        <w:t xml:space="preserve"> </w:t>
      </w:r>
      <w:r>
        <w:rPr>
          <w:iCs/>
          <w:i/>
        </w:rPr>
        <w:t xml:space="preserve">Proc Natl Acad Sci USA</w:t>
      </w:r>
      <w:r>
        <w:t xml:space="preserve"> </w:t>
      </w:r>
      <w:r>
        <w:rPr>
          <w:bCs/>
          <w:b/>
        </w:rPr>
        <w:t xml:space="preserve">117</w:t>
      </w:r>
      <w:r>
        <w:t xml:space="preserve">, 7702–7711 (2020).</w:t>
      </w:r>
    </w:p>
    <w:bookmarkEnd w:id="191"/>
    <w:bookmarkStart w:id="193" w:name="ref-bayani2021"/>
    <w:p>
      <w:pPr>
        <w:pStyle w:val="a8"/>
      </w:pPr>
      <w:r>
        <w:t xml:space="preserve">50.</w:t>
      </w:r>
      <w:r>
        <w:t xml:space="preserve"> </w:t>
      </w:r>
      <w:r>
        <w:t xml:space="preserve">	</w:t>
      </w:r>
      <w:r>
        <w:t xml:space="preserve">Bayani, M.</w:t>
      </w:r>
      <w:r>
        <w:t xml:space="preserve"> </w:t>
      </w:r>
      <w:hyperlink r:id="rId192">
        <w:r>
          <w:rPr>
            <w:rStyle w:val="ae"/>
          </w:rPr>
          <w:t xml:space="preserve">Robust</w:t>
        </w:r>
        <w:r>
          <w:rPr>
            <w:rStyle w:val="ae"/>
          </w:rPr>
          <w:t xml:space="preserve"> </w:t>
        </w:r>
        <w:r>
          <w:rPr>
            <w:rStyle w:val="ae"/>
          </w:rPr>
          <w:t xml:space="preserve">Pca Synthetic Control</w:t>
        </w:r>
      </w:hyperlink>
      <w:r>
        <w:t xml:space="preserve">. (2021).</w:t>
      </w:r>
    </w:p>
    <w:bookmarkEnd w:id="193"/>
    <w:bookmarkStart w:id="195" w:name="ref-abadie2010"/>
    <w:p>
      <w:pPr>
        <w:pStyle w:val="a8"/>
      </w:pPr>
      <w:r>
        <w:t xml:space="preserve">51.</w:t>
      </w:r>
      <w:r>
        <w:t xml:space="preserve"> </w:t>
      </w:r>
      <w:r>
        <w:t xml:space="preserve">	</w:t>
      </w:r>
      <w:r>
        <w:t xml:space="preserve">Abadie, A., Diamond, A. &amp; Hainmueller, J.</w:t>
      </w:r>
      <w:r>
        <w:t xml:space="preserve"> </w:t>
      </w:r>
      <w:hyperlink r:id="rId194">
        <w:r>
          <w:rPr>
            <w:rStyle w:val="ae"/>
          </w:rPr>
          <w:t xml:space="preserve">Synthetic</w:t>
        </w:r>
        <w:r>
          <w:rPr>
            <w:rStyle w:val="ae"/>
          </w:rPr>
          <w:t xml:space="preserve"> </w:t>
        </w:r>
        <w:r>
          <w:rPr>
            <w:rStyle w:val="ae"/>
          </w:rPr>
          <w:t xml:space="preserve">Control Methods</w:t>
        </w:r>
        <w:r>
          <w:rPr>
            <w:rStyle w:val="ae"/>
          </w:rPr>
          <w:t xml:space="preserve"> </w:t>
        </w:r>
        <w:r>
          <w:rPr>
            <w:rStyle w:val="ae"/>
          </w:rPr>
          <w:t xml:space="preserve">for</w:t>
        </w:r>
        <w:r>
          <w:rPr>
            <w:rStyle w:val="ae"/>
          </w:rPr>
          <w:t xml:space="preserve"> </w:t>
        </w:r>
        <w:r>
          <w:rPr>
            <w:rStyle w:val="ae"/>
          </w:rPr>
          <w:t xml:space="preserve">Comparative Case Studies</w:t>
        </w:r>
        <w:r>
          <w:rPr>
            <w:rStyle w:val="ae"/>
          </w:rPr>
          <w:t xml:space="preserve">:</w:t>
        </w:r>
        <w:r>
          <w:rPr>
            <w:rStyle w:val="ae"/>
          </w:rPr>
          <w:t xml:space="preserve"> </w:t>
        </w:r>
        <w:r>
          <w:rPr>
            <w:rStyle w:val="ae"/>
          </w:rPr>
          <w:t xml:space="preserve">Estimating</w:t>
        </w:r>
        <w:r>
          <w:rPr>
            <w:rStyle w:val="ae"/>
          </w:rPr>
          <w:t xml:space="preserve"> </w:t>
        </w:r>
        <w:r>
          <w:rPr>
            <w:rStyle w:val="ae"/>
          </w:rPr>
          <w:t xml:space="preserve">the</w:t>
        </w:r>
        <w:r>
          <w:rPr>
            <w:rStyle w:val="ae"/>
          </w:rPr>
          <w:t xml:space="preserve"> </w:t>
        </w:r>
        <w:r>
          <w:rPr>
            <w:rStyle w:val="ae"/>
          </w:rPr>
          <w:t xml:space="preserve">Effect</w:t>
        </w:r>
        <w:r>
          <w:rPr>
            <w:rStyle w:val="ae"/>
          </w:rPr>
          <w:t xml:space="preserve"> </w:t>
        </w:r>
        <w:r>
          <w:rPr>
            <w:rStyle w:val="ae"/>
          </w:rPr>
          <w:t xml:space="preserve">of</w:t>
        </w:r>
        <w:r>
          <w:rPr>
            <w:rStyle w:val="ae"/>
          </w:rPr>
          <w:t xml:space="preserve"> </w:t>
        </w:r>
        <w:r>
          <w:rPr>
            <w:rStyle w:val="ae"/>
          </w:rPr>
          <w:t xml:space="preserve">California</w:t>
        </w:r>
        <w:r>
          <w:rPr>
            <w:rStyle w:val="ae"/>
          </w:rPr>
          <w:t xml:space="preserve">’s</w:t>
        </w:r>
        <w:r>
          <w:rPr>
            <w:rStyle w:val="ae"/>
          </w:rPr>
          <w:t xml:space="preserve"> </w:t>
        </w:r>
        <w:r>
          <w:rPr>
            <w:rStyle w:val="ae"/>
          </w:rPr>
          <w:t xml:space="preserve">Tobacco Control Program</w:t>
        </w:r>
      </w:hyperlink>
      <w:r>
        <w:t xml:space="preserve">.</w:t>
      </w:r>
      <w:r>
        <w:t xml:space="preserve"> </w:t>
      </w:r>
      <w:r>
        <w:rPr>
          <w:iCs/>
          <w:i/>
        </w:rPr>
        <w:t xml:space="preserve">Journal of the American Statistical Association</w:t>
      </w:r>
      <w:r>
        <w:t xml:space="preserve"> </w:t>
      </w:r>
      <w:r>
        <w:rPr>
          <w:bCs/>
          <w:b/>
        </w:rPr>
        <w:t xml:space="preserve">105</w:t>
      </w:r>
      <w:r>
        <w:t xml:space="preserve">, 493–505 (2010).</w:t>
      </w:r>
    </w:p>
    <w:bookmarkEnd w:id="195"/>
    <w:bookmarkStart w:id="197" w:name="ref-abadie2021"/>
    <w:p>
      <w:pPr>
        <w:pStyle w:val="a8"/>
      </w:pPr>
      <w:r>
        <w:t xml:space="preserve">52.</w:t>
      </w:r>
      <w:r>
        <w:t xml:space="preserve"> </w:t>
      </w:r>
      <w:r>
        <w:t xml:space="preserve">	</w:t>
      </w:r>
      <w:r>
        <w:t xml:space="preserve">Abadie, A.</w:t>
      </w:r>
      <w:r>
        <w:t xml:space="preserve"> </w:t>
      </w:r>
      <w:hyperlink r:id="rId196">
        <w:r>
          <w:rPr>
            <w:rStyle w:val="ae"/>
          </w:rPr>
          <w:t xml:space="preserve">Using</w:t>
        </w:r>
        <w:r>
          <w:rPr>
            <w:rStyle w:val="ae"/>
          </w:rPr>
          <w:t xml:space="preserve"> </w:t>
        </w:r>
        <w:r>
          <w:rPr>
            <w:rStyle w:val="ae"/>
          </w:rPr>
          <w:t xml:space="preserve">Synthetic Controls</w:t>
        </w:r>
        <w:r>
          <w:rPr>
            <w:rStyle w:val="ae"/>
          </w:rPr>
          <w:t xml:space="preserve">:</w:t>
        </w:r>
        <w:r>
          <w:rPr>
            <w:rStyle w:val="ae"/>
          </w:rPr>
          <w:t xml:space="preserve"> </w:t>
        </w:r>
        <w:r>
          <w:rPr>
            <w:rStyle w:val="ae"/>
          </w:rPr>
          <w:t xml:space="preserve">Feasibility</w:t>
        </w:r>
        <w:r>
          <w:rPr>
            <w:rStyle w:val="ae"/>
          </w:rPr>
          <w:t xml:space="preserve">,</w:t>
        </w:r>
        <w:r>
          <w:rPr>
            <w:rStyle w:val="ae"/>
          </w:rPr>
          <w:t xml:space="preserve"> </w:t>
        </w:r>
        <w:r>
          <w:rPr>
            <w:rStyle w:val="ae"/>
          </w:rPr>
          <w:t xml:space="preserve">Data Requirements</w:t>
        </w:r>
        <w:r>
          <w:rPr>
            <w:rStyle w:val="ae"/>
          </w:rPr>
          <w:t xml:space="preserve">, and</w:t>
        </w:r>
        <w:r>
          <w:rPr>
            <w:rStyle w:val="ae"/>
          </w:rPr>
          <w:t xml:space="preserve"> </w:t>
        </w:r>
        <w:r>
          <w:rPr>
            <w:rStyle w:val="ae"/>
          </w:rPr>
          <w:t xml:space="preserve">Methodological Aspects</w:t>
        </w:r>
      </w:hyperlink>
      <w:r>
        <w:t xml:space="preserve">.</w:t>
      </w:r>
      <w:r>
        <w:t xml:space="preserve"> </w:t>
      </w:r>
      <w:r>
        <w:rPr>
          <w:iCs/>
          <w:i/>
        </w:rPr>
        <w:t xml:space="preserve">Journal of Economic Literature</w:t>
      </w:r>
      <w:r>
        <w:t xml:space="preserve"> </w:t>
      </w:r>
      <w:r>
        <w:rPr>
          <w:bCs/>
          <w:b/>
        </w:rPr>
        <w:t xml:space="preserve">59</w:t>
      </w:r>
      <w:r>
        <w:t xml:space="preserve">, 391–425 (2021).</w:t>
      </w:r>
    </w:p>
    <w:bookmarkEnd w:id="197"/>
    <w:bookmarkStart w:id="199" w:name="ref-billmeier2013"/>
    <w:p>
      <w:pPr>
        <w:pStyle w:val="a8"/>
      </w:pPr>
      <w:r>
        <w:t xml:space="preserve">53.</w:t>
      </w:r>
      <w:r>
        <w:t xml:space="preserve"> </w:t>
      </w:r>
      <w:r>
        <w:t xml:space="preserve">	</w:t>
      </w:r>
      <w:r>
        <w:t xml:space="preserve">Billmeier, A. &amp; Nannicini, T.</w:t>
      </w:r>
      <w:r>
        <w:t xml:space="preserve"> </w:t>
      </w:r>
      <w:hyperlink r:id="rId198">
        <w:r>
          <w:rPr>
            <w:rStyle w:val="ae"/>
          </w:rPr>
          <w:t xml:space="preserve">Assessing</w:t>
        </w:r>
        <w:r>
          <w:rPr>
            <w:rStyle w:val="ae"/>
          </w:rPr>
          <w:t xml:space="preserve"> </w:t>
        </w:r>
        <w:r>
          <w:rPr>
            <w:rStyle w:val="ae"/>
          </w:rPr>
          <w:t xml:space="preserve">Economic Liberalization Episodes</w:t>
        </w:r>
        <w:r>
          <w:rPr>
            <w:rStyle w:val="ae"/>
          </w:rPr>
          <w:t xml:space="preserve">:</w:t>
        </w:r>
        <w:r>
          <w:rPr>
            <w:rStyle w:val="ae"/>
          </w:rPr>
          <w:t xml:space="preserve"> </w:t>
        </w:r>
        <w:r>
          <w:rPr>
            <w:rStyle w:val="ae"/>
          </w:rPr>
          <w:t xml:space="preserve">A Synthetic Control Approach</w:t>
        </w:r>
      </w:hyperlink>
      <w:r>
        <w:t xml:space="preserve">.</w:t>
      </w:r>
      <w:r>
        <w:t xml:space="preserve"> </w:t>
      </w:r>
      <w:r>
        <w:rPr>
          <w:iCs/>
          <w:i/>
        </w:rPr>
        <w:t xml:space="preserve">The Review of Economics and Statistics</w:t>
      </w:r>
      <w:r>
        <w:t xml:space="preserve"> </w:t>
      </w:r>
      <w:r>
        <w:rPr>
          <w:bCs/>
          <w:b/>
        </w:rPr>
        <w:t xml:space="preserve">95</w:t>
      </w:r>
      <w:r>
        <w:t xml:space="preserve">, 983–1001 (2013).</w:t>
      </w:r>
    </w:p>
    <w:bookmarkEnd w:id="199"/>
    <w:bookmarkStart w:id="201" w:name="ref-smith2015"/>
    <w:p>
      <w:pPr>
        <w:pStyle w:val="a8"/>
      </w:pPr>
      <w:r>
        <w:t xml:space="preserve">54.</w:t>
      </w:r>
      <w:r>
        <w:t xml:space="preserve"> </w:t>
      </w:r>
      <w:r>
        <w:t xml:space="preserve">	</w:t>
      </w:r>
      <w:r>
        <w:t xml:space="preserve">Smith, B.</w:t>
      </w:r>
      <w:r>
        <w:t xml:space="preserve"> </w:t>
      </w:r>
      <w:hyperlink r:id="rId200">
        <w:r>
          <w:rPr>
            <w:rStyle w:val="ae"/>
          </w:rPr>
          <w:t xml:space="preserve">The resource curse exorcised:</w:t>
        </w:r>
        <w:r>
          <w:rPr>
            <w:rStyle w:val="ae"/>
          </w:rPr>
          <w:t xml:space="preserve"> </w:t>
        </w:r>
        <w:r>
          <w:rPr>
            <w:rStyle w:val="ae"/>
          </w:rPr>
          <w:t xml:space="preserve">Evidence</w:t>
        </w:r>
        <w:r>
          <w:rPr>
            <w:rStyle w:val="ae"/>
          </w:rPr>
          <w:t xml:space="preserve"> </w:t>
        </w:r>
        <w:r>
          <w:rPr>
            <w:rStyle w:val="ae"/>
          </w:rPr>
          <w:t xml:space="preserve">from a panel of countries</w:t>
        </w:r>
      </w:hyperlink>
      <w:r>
        <w:t xml:space="preserve">.</w:t>
      </w:r>
      <w:r>
        <w:t xml:space="preserve"> </w:t>
      </w:r>
      <w:r>
        <w:rPr>
          <w:iCs/>
          <w:i/>
        </w:rPr>
        <w:t xml:space="preserve">J. Dev. Econ.</w:t>
      </w:r>
      <w:r>
        <w:t xml:space="preserve"> </w:t>
      </w:r>
      <w:r>
        <w:rPr>
          <w:bCs/>
          <w:b/>
        </w:rPr>
        <w:t xml:space="preserve">116</w:t>
      </w:r>
      <w:r>
        <w:t xml:space="preserve">, 57–73 (2015).</w:t>
      </w:r>
    </w:p>
    <w:bookmarkEnd w:id="201"/>
    <w:bookmarkStart w:id="203" w:name="ref-wang2019"/>
    <w:p>
      <w:pPr>
        <w:pStyle w:val="a8"/>
      </w:pPr>
      <w:r>
        <w:t xml:space="preserve">55.</w:t>
      </w:r>
      <w:r>
        <w:t xml:space="preserve"> </w:t>
      </w:r>
      <w:r>
        <w:t xml:space="preserve">	</w:t>
      </w:r>
      <w:r>
        <w:t xml:space="preserve">Wang, Z. &amp; Zheng, Z.</w:t>
      </w:r>
      <w:r>
        <w:t xml:space="preserve"> </w:t>
      </w:r>
      <w:hyperlink r:id="rId202">
        <w:r>
          <w:rPr>
            <w:rStyle w:val="ae"/>
          </w:rPr>
          <w:t xml:space="preserve">Things and Current Significance of the Yellow River Water Allocation Scheme in 1987</w:t>
        </w:r>
      </w:hyperlink>
      <w:r>
        <w:t xml:space="preserve">.</w:t>
      </w:r>
      <w:r>
        <w:t xml:space="preserve"> </w:t>
      </w:r>
      <w:r>
        <w:rPr>
          <w:iCs/>
          <w:i/>
        </w:rPr>
        <w:t xml:space="preserve">Yellow River</w:t>
      </w:r>
      <w:r>
        <w:t xml:space="preserve"> </w:t>
      </w:r>
      <w:r>
        <w:rPr>
          <w:bCs/>
          <w:b/>
        </w:rPr>
        <w:t xml:space="preserve">41</w:t>
      </w:r>
      <w:r>
        <w:t xml:space="preserve">, 109–127 (2019).</w:t>
      </w:r>
    </w:p>
    <w:bookmarkEnd w:id="203"/>
    <w:bookmarkEnd w:id="204"/>
    <w:bookmarkEnd w:id="205"/>
    <w:sectPr w:rsidR="00E92316" w:rsidRPr="00C46EC0" w:rsidSect="00011435">
      <w:pgSz w:h="16840" w:w="11901"/>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6C870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C7CEE8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E44447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836583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4B8DED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D3CA60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97AA89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9F42D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0CAEC4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60A75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4D415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288B1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8C645B"/>
    <w:pPr>
      <w:keepNext/>
      <w:keepLines/>
      <w:spacing w:after="0" w:before="480"/>
      <w:outlineLvl w:val="0"/>
    </w:pPr>
    <w:rPr>
      <w:rFonts w:ascii="Times New Roman" w:cs="Times New Roman" w:eastAsiaTheme="majorEastAsia" w:hAnsi="Times New Roman"/>
      <w:b/>
      <w:bCs/>
      <w:color w:themeColor="text1" w:val="000000"/>
      <w:sz w:val="32"/>
      <w:szCs w:val="32"/>
    </w:rPr>
  </w:style>
  <w:style w:styleId="2" w:type="paragraph">
    <w:name w:val="heading 2"/>
    <w:basedOn w:val="a"/>
    <w:next w:val="a0"/>
    <w:uiPriority w:val="9"/>
    <w:unhideWhenUsed/>
    <w:qFormat/>
    <w:rsid w:val="008C645B"/>
    <w:pPr>
      <w:keepNext/>
      <w:keepLines/>
      <w:spacing w:after="0" w:before="200"/>
      <w:outlineLvl w:val="1"/>
    </w:pPr>
    <w:rPr>
      <w:rFonts w:ascii="Times New Roman" w:cs="Times New Roman" w:eastAsiaTheme="majorEastAsia" w:hAnsi="Times New Roman"/>
      <w:b/>
      <w:bCs/>
      <w:color w:themeColor="text1" w:val="000000"/>
      <w:sz w:val="28"/>
      <w:szCs w:val="28"/>
    </w:rPr>
  </w:style>
  <w:style w:styleId="3" w:type="paragraph">
    <w:name w:val="heading 3"/>
    <w:basedOn w:val="a"/>
    <w:next w:val="a0"/>
    <w:uiPriority w:val="9"/>
    <w:unhideWhenUsed/>
    <w:qFormat/>
    <w:rsid w:val="008C645B"/>
    <w:pPr>
      <w:keepNext/>
      <w:keepLines/>
      <w:spacing w:after="0" w:before="200"/>
      <w:outlineLvl w:val="2"/>
    </w:pPr>
    <w:rPr>
      <w:rFonts w:ascii="Times New Roman" w:cs="Times New Roman" w:eastAsiaTheme="majorEastAsia" w:hAnsi="Times New Roman"/>
      <w:b/>
      <w:bCs/>
      <w:color w:themeColor="text1" w:val="000000"/>
    </w:rPr>
  </w:style>
  <w:style w:styleId="4" w:type="paragraph">
    <w:name w:val="heading 4"/>
    <w:basedOn w:val="a"/>
    <w:next w:val="a0"/>
    <w:uiPriority w:val="9"/>
    <w:unhideWhenUsed/>
    <w:qFormat/>
    <w:rsid w:val="008C645B"/>
    <w:pPr>
      <w:keepNext/>
      <w:keepLines/>
      <w:spacing w:after="0" w:before="200"/>
      <w:outlineLvl w:val="3"/>
    </w:pPr>
    <w:rPr>
      <w:rFonts w:ascii="Times New Roman" w:cs="Times New Roman" w:eastAsiaTheme="majorEastAsia" w:hAnsi="Times New Roman"/>
      <w:bCs/>
      <w:i/>
      <w:color w:themeColor="text1" w:val="000000"/>
    </w:rPr>
  </w:style>
  <w:style w:styleId="5" w:type="paragraph">
    <w:name w:val="heading 5"/>
    <w:basedOn w:val="a"/>
    <w:next w:val="a0"/>
    <w:uiPriority w:val="9"/>
    <w:unhideWhenUsed/>
    <w:qFormat/>
    <w:rsid w:val="008C645B"/>
    <w:pPr>
      <w:keepNext/>
      <w:keepLines/>
      <w:spacing w:after="0" w:before="200"/>
      <w:outlineLvl w:val="4"/>
    </w:pPr>
    <w:rPr>
      <w:rFonts w:ascii="Times New Roman" w:cs="Times New Roman" w:eastAsiaTheme="majorEastAsia" w:hAnsi="Times New Roman"/>
      <w:iCs/>
      <w:color w:themeColor="text1" w:val="000000"/>
      <w:u w:val="single"/>
    </w:rPr>
  </w:style>
  <w:style w:styleId="6" w:type="paragraph">
    <w:name w:val="heading 6"/>
    <w:basedOn w:val="5"/>
    <w:next w:val="a0"/>
    <w:uiPriority w:val="9"/>
    <w:unhideWhenUsed/>
    <w:qFormat/>
    <w:rsid w:val="008C645B"/>
    <w:pPr>
      <w:outlineLvl w:val="5"/>
    </w:pPr>
  </w:style>
  <w:style w:styleId="7" w:type="paragraph">
    <w:name w:val="heading 7"/>
    <w:basedOn w:val="6"/>
    <w:next w:val="a0"/>
    <w:uiPriority w:val="9"/>
    <w:unhideWhenUsed/>
    <w:qFormat/>
    <w:rsid w:val="008C645B"/>
    <w:pPr>
      <w:outlineLvl w:val="6"/>
    </w:pPr>
  </w:style>
  <w:style w:styleId="8" w:type="paragraph">
    <w:name w:val="heading 8"/>
    <w:basedOn w:val="7"/>
    <w:next w:val="a0"/>
    <w:uiPriority w:val="9"/>
    <w:unhideWhenUsed/>
    <w:qFormat/>
    <w:rsid w:val="008C645B"/>
    <w:pPr>
      <w:outlineLvl w:val="7"/>
    </w:pPr>
  </w:style>
  <w:style w:styleId="9" w:type="paragraph">
    <w:name w:val="heading 9"/>
    <w:basedOn w:val="8"/>
    <w:next w:val="a0"/>
    <w:uiPriority w:val="9"/>
    <w:unhideWhenUsed/>
    <w:qFormat/>
    <w:rsid w:val="008C645B"/>
    <w:pPr>
      <w:outlineLvl w:val="8"/>
    </w:p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8C645B"/>
    <w:pPr>
      <w:spacing w:after="120" w:before="120"/>
      <w:jc w:val="both"/>
    </w:pPr>
    <w:rPr>
      <w:rFonts w:ascii="Times New Roman" w:cs="Times New Roman" w:hAnsi="Times New Roman"/>
      <w:color w:themeColor="text1" w:val="000000"/>
    </w:rPr>
  </w:style>
  <w:style w:customStyle="1" w:styleId="FirstParagraph" w:type="paragraph">
    <w:name w:val="First Paragraph"/>
    <w:basedOn w:val="a0"/>
    <w:next w:val="a0"/>
    <w:qFormat/>
    <w:rsid w:val="008C645B"/>
  </w:style>
  <w:style w:customStyle="1" w:styleId="Compact" w:type="paragraph">
    <w:name w:val="Compact"/>
    <w:basedOn w:val="a0"/>
    <w:qFormat/>
    <w:pPr>
      <w:spacing w:after="36" w:before="36"/>
    </w:pPr>
  </w:style>
  <w:style w:styleId="a5" w:type="paragraph">
    <w:name w:val="Title"/>
    <w:basedOn w:val="a"/>
    <w:next w:val="a0"/>
    <w:qFormat/>
    <w:rsid w:val="008C645B"/>
    <w:pPr>
      <w:keepNext/>
      <w:keepLines/>
      <w:spacing w:after="240" w:before="480"/>
      <w:jc w:val="center"/>
    </w:pPr>
    <w:rPr>
      <w:rFonts w:ascii="Times New Roman" w:cs="Times New Roman" w:eastAsiaTheme="majorEastAsia" w:hAnsi="Times New Roman"/>
      <w:b/>
      <w:bCs/>
      <w:color w:themeColor="text1" w:val="000000"/>
      <w:sz w:val="36"/>
      <w:szCs w:val="36"/>
    </w:rPr>
  </w:style>
  <w:style w:styleId="a6" w:type="paragraph">
    <w:name w:val="Subtitle"/>
    <w:basedOn w:val="a5"/>
    <w:next w:val="a0"/>
    <w:qFormat/>
    <w:rsid w:val="008C645B"/>
    <w:pPr>
      <w:spacing w:before="240"/>
    </w:pPr>
    <w:rPr>
      <w:b w:val="0"/>
      <w:sz w:val="30"/>
      <w:szCs w:val="30"/>
    </w:rPr>
  </w:style>
  <w:style w:customStyle="1" w:styleId="Author" w:type="paragraph">
    <w:name w:val="Author"/>
    <w:next w:val="a0"/>
    <w:qFormat/>
    <w:rsid w:val="008C645B"/>
    <w:pPr>
      <w:keepNext/>
      <w:keepLines/>
      <w:jc w:val="center"/>
    </w:pPr>
    <w:rPr>
      <w:rFonts w:ascii="Times New Roman" w:cs="Times New Roman" w:hAnsi="Times New Roman"/>
      <w:color w:themeColor="text1" w:val="000000"/>
    </w:rPr>
  </w:style>
  <w:style w:styleId="a7" w:type="paragraph">
    <w:name w:val="Date"/>
    <w:next w:val="a0"/>
    <w:qFormat/>
    <w:rsid w:val="008C645B"/>
    <w:pPr>
      <w:keepNext/>
      <w:keepLines/>
      <w:jc w:val="center"/>
    </w:pPr>
    <w:rPr>
      <w:rFonts w:ascii="Times New Roman" w:cs="Times New Roman" w:hAnsi="Times New Roman"/>
      <w:color w:themeColor="text1" w:val="000000"/>
    </w:rPr>
  </w:style>
  <w:style w:customStyle="1" w:styleId="Abstract" w:type="paragraph">
    <w:name w:val="Abstract"/>
    <w:basedOn w:val="a"/>
    <w:next w:val="a0"/>
    <w:qFormat/>
    <w:rsid w:val="008C645B"/>
    <w:pPr>
      <w:keepNext/>
      <w:keepLines/>
      <w:spacing w:after="300" w:before="300"/>
      <w:jc w:val="both"/>
    </w:pPr>
    <w:rPr>
      <w:rFonts w:ascii="Times New Roman" w:cs="Times New Roman" w:hAnsi="Times New Roman"/>
      <w:color w:themeColor="text1" w:val="000000"/>
      <w:sz w:val="22"/>
      <w:szCs w:val="22"/>
    </w:rPr>
  </w:style>
  <w:style w:styleId="a8" w:type="paragraph">
    <w:name w:val="Bibliography"/>
    <w:basedOn w:val="Definition"/>
    <w:qFormat/>
    <w:rsid w:val="008C645B"/>
    <w:pPr>
      <w:spacing w:after="120" w:before="120"/>
      <w:ind w:hanging="567" w:left="567"/>
    </w:pPr>
  </w:style>
  <w:style w:styleId="a9" w:type="paragraph">
    <w:name w:val="Block Text"/>
    <w:basedOn w:val="a0"/>
    <w:next w:val="a0"/>
    <w:uiPriority w:val="9"/>
    <w:unhideWhenUsed/>
    <w:qFormat/>
    <w:rsid w:val="008C645B"/>
    <w:pPr>
      <w:spacing w:after="80" w:before="80"/>
      <w:ind w:left="567" w:right="567"/>
    </w:pPr>
    <w:rPr>
      <w:rFonts w:cstheme="majorBidi" w:eastAsiaTheme="majorEastAsia"/>
      <w:bCs/>
      <w:sz w:val="22"/>
      <w:szCs w:val="22"/>
    </w:rPr>
  </w:style>
  <w:style w:styleId="aa" w:type="paragraph">
    <w:name w:val="footnote text"/>
    <w:basedOn w:val="a"/>
    <w:uiPriority w:val="9"/>
    <w:unhideWhenUsed/>
    <w:qFormat/>
    <w:rsid w:val="008C645B"/>
    <w:pPr>
      <w:spacing w:after="0"/>
    </w:pPr>
    <w:rPr>
      <w:rFonts w:ascii="Times New Roman" w:cs="Times New Roman" w:hAnsi="Times New Roman"/>
      <w:sz w:val="22"/>
      <w:szCs w:val="22"/>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8C645B"/>
    <w:pPr>
      <w:keepNext/>
      <w:keepLines/>
      <w:spacing w:after="0"/>
    </w:pPr>
    <w:rPr>
      <w:rFonts w:ascii="Times New Roman" w:cs="Times New Roman" w:hAnsi="Times New Roman"/>
      <w:b/>
      <w:color w:themeColor="text1" w:val="000000"/>
    </w:rPr>
  </w:style>
  <w:style w:customStyle="1" w:styleId="Definition" w:type="paragraph">
    <w:name w:val="Definition"/>
    <w:basedOn w:val="a"/>
    <w:rsid w:val="008C645B"/>
    <w:rPr>
      <w:rFonts w:ascii="Times New Roman" w:cs="Times New Roman" w:hAnsi="Times New Roman"/>
      <w:color w:themeColor="text1" w:val="000000"/>
    </w:rPr>
  </w:style>
  <w:style w:styleId="ab" w:type="paragraph">
    <w:name w:val="caption"/>
    <w:basedOn w:val="a"/>
    <w:link w:val="ac"/>
    <w:pPr>
      <w:spacing w:after="120"/>
    </w:pPr>
    <w:rPr>
      <w:i/>
    </w:rPr>
  </w:style>
  <w:style w:customStyle="1" w:styleId="TableCaption" w:type="paragraph">
    <w:name w:val="Table Caption"/>
    <w:basedOn w:val="ab"/>
    <w:rsid w:val="008C645B"/>
    <w:pPr>
      <w:keepNext/>
    </w:pPr>
    <w:rPr>
      <w:rFonts w:ascii="Times New Roman" w:cs="Times New Roman" w:hAnsi="Times New Roman"/>
      <w:color w:themeColor="text1" w:val="000000"/>
    </w:rPr>
  </w:style>
  <w:style w:customStyle="1" w:styleId="ImageCaption" w:type="paragraph">
    <w:name w:val="Image Caption"/>
    <w:basedOn w:val="ab"/>
    <w:rsid w:val="008C645B"/>
    <w:rPr>
      <w:rFonts w:ascii="Times New Roman" w:cs="Times New Roman" w:hAnsi="Times New Roman"/>
      <w:color w:themeColor="text1" w:val="00000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8C645B"/>
    <w:rPr>
      <w:rFonts w:ascii="Courier New" w:cs="Courier New" w:hAnsi="Courier New"/>
      <w:sz w:val="22"/>
      <w:szCs w:val="22"/>
    </w:rPr>
  </w:style>
  <w:style w:styleId="ad" w:type="character">
    <w:name w:val="footnote reference"/>
    <w:basedOn w:val="ac"/>
    <w:rPr>
      <w:vertAlign w:val="superscript"/>
    </w:rPr>
  </w:style>
  <w:style w:styleId="ae" w:type="character">
    <w:name w:val="Hyperlink"/>
    <w:basedOn w:val="ac"/>
    <w:rsid w:val="009B6CF0"/>
    <w:rPr>
      <w:color w:themeColor="text2" w:themeTint="99" w:val="548DD4"/>
      <w:u w:val="single"/>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a4" w:type="character">
    <w:name w:val="正文文本 字符"/>
    <w:basedOn w:val="a1"/>
    <w:link w:val="a0"/>
    <w:rsid w:val="008C645B"/>
    <w:rPr>
      <w:rFonts w:ascii="Times New Roman" w:cs="Times New Roman" w:hAnsi="Times New Roman"/>
      <w:color w:themeColor="text1" w:val="000000"/>
    </w:rPr>
  </w:style>
  <w:style w:styleId="af" w:type="paragraph">
    <w:name w:val="header"/>
    <w:basedOn w:val="a"/>
    <w:link w:val="af0"/>
    <w:unhideWhenUsed/>
    <w:rsid w:val="00AD4FA0"/>
    <w:pPr>
      <w:tabs>
        <w:tab w:pos="4513" w:val="center"/>
        <w:tab w:pos="9026" w:val="right"/>
      </w:tabs>
      <w:spacing w:after="0"/>
    </w:pPr>
  </w:style>
  <w:style w:customStyle="1" w:styleId="af0" w:type="character">
    <w:name w:val="页眉 字符"/>
    <w:basedOn w:val="a1"/>
    <w:link w:val="af"/>
    <w:rsid w:val="00AD4FA0"/>
  </w:style>
  <w:style w:styleId="af1" w:type="paragraph">
    <w:name w:val="footer"/>
    <w:basedOn w:val="a"/>
    <w:link w:val="af2"/>
    <w:unhideWhenUsed/>
    <w:rsid w:val="00AD4FA0"/>
    <w:pPr>
      <w:tabs>
        <w:tab w:pos="4513" w:val="center"/>
        <w:tab w:pos="9026" w:val="right"/>
      </w:tabs>
      <w:spacing w:after="0"/>
    </w:pPr>
  </w:style>
  <w:style w:customStyle="1" w:styleId="af2" w:type="character">
    <w:name w:val="页脚 字符"/>
    <w:basedOn w:val="a1"/>
    <w:link w:val="af1"/>
    <w:rsid w:val="00AD4FA0"/>
  </w:style>
  <w:style w:customStyle="1" w:styleId="SourceCode" w:type="paragraph">
    <w:name w:val="Source Code"/>
    <w:basedOn w:val="a"/>
    <w:link w:val="VerbatimChar"/>
    <w:pPr>
      <w:wordWrap w:val="0"/>
    </w:pPr>
  </w:style>
  <w:style w:customStyle="1" w:styleId="KeywordTok" w:type="character">
    <w:name w:val="KeywordTok"/>
    <w:basedOn w:val="VerbatimChar"/>
    <w:rPr>
      <w:rFonts w:ascii="Courier New" w:cs="Courier New" w:hAnsi="Courier New"/>
      <w:b/>
      <w:color w:val="007020"/>
      <w:sz w:val="22"/>
      <w:szCs w:val="22"/>
    </w:rPr>
  </w:style>
  <w:style w:customStyle="1" w:styleId="DataTypeTok" w:type="character">
    <w:name w:val="DataTypeTok"/>
    <w:basedOn w:val="VerbatimChar"/>
    <w:rPr>
      <w:rFonts w:ascii="Courier New" w:cs="Courier New" w:hAnsi="Courier New"/>
      <w:color w:val="902000"/>
      <w:sz w:val="22"/>
      <w:szCs w:val="22"/>
    </w:rPr>
  </w:style>
  <w:style w:customStyle="1" w:styleId="DecValTok" w:type="character">
    <w:name w:val="DecValTok"/>
    <w:basedOn w:val="VerbatimChar"/>
    <w:rPr>
      <w:rFonts w:ascii="Courier New" w:cs="Courier New" w:hAnsi="Courier New"/>
      <w:color w:val="40A070"/>
      <w:sz w:val="22"/>
      <w:szCs w:val="22"/>
    </w:rPr>
  </w:style>
  <w:style w:customStyle="1" w:styleId="BaseNTok" w:type="character">
    <w:name w:val="BaseNTok"/>
    <w:basedOn w:val="VerbatimChar"/>
    <w:rPr>
      <w:rFonts w:ascii="Courier New" w:cs="Courier New" w:hAnsi="Courier New"/>
      <w:color w:val="40A070"/>
      <w:sz w:val="22"/>
      <w:szCs w:val="22"/>
    </w:rPr>
  </w:style>
  <w:style w:customStyle="1" w:styleId="FloatTok" w:type="character">
    <w:name w:val="FloatTok"/>
    <w:basedOn w:val="VerbatimChar"/>
    <w:rPr>
      <w:rFonts w:ascii="Courier New" w:cs="Courier New" w:hAnsi="Courier New"/>
      <w:color w:val="40A070"/>
      <w:sz w:val="22"/>
      <w:szCs w:val="22"/>
    </w:rPr>
  </w:style>
  <w:style w:customStyle="1" w:styleId="ConstantTok" w:type="character">
    <w:name w:val="ConstantTok"/>
    <w:basedOn w:val="VerbatimChar"/>
    <w:rPr>
      <w:rFonts w:ascii="Courier New" w:cs="Courier New" w:hAnsi="Courier New"/>
      <w:color w:val="880000"/>
      <w:sz w:val="22"/>
      <w:szCs w:val="22"/>
    </w:rPr>
  </w:style>
  <w:style w:customStyle="1" w:styleId="CharTok" w:type="character">
    <w:name w:val="CharTok"/>
    <w:basedOn w:val="VerbatimChar"/>
    <w:rPr>
      <w:rFonts w:ascii="Courier New" w:cs="Courier New" w:hAnsi="Courier New"/>
      <w:color w:val="4070A0"/>
      <w:sz w:val="22"/>
      <w:szCs w:val="22"/>
    </w:rPr>
  </w:style>
  <w:style w:customStyle="1" w:styleId="SpecialCharTok" w:type="character">
    <w:name w:val="SpecialCharTok"/>
    <w:basedOn w:val="VerbatimChar"/>
    <w:rPr>
      <w:rFonts w:ascii="Courier New" w:cs="Courier New" w:hAnsi="Courier New"/>
      <w:color w:val="4070A0"/>
      <w:sz w:val="22"/>
      <w:szCs w:val="22"/>
    </w:rPr>
  </w:style>
  <w:style w:customStyle="1" w:styleId="StringTok" w:type="character">
    <w:name w:val="StringTok"/>
    <w:basedOn w:val="VerbatimChar"/>
    <w:rPr>
      <w:rFonts w:ascii="Courier New" w:cs="Courier New" w:hAnsi="Courier New"/>
      <w:color w:val="4070A0"/>
      <w:sz w:val="22"/>
      <w:szCs w:val="22"/>
    </w:rPr>
  </w:style>
  <w:style w:customStyle="1" w:styleId="VerbatimStringTok" w:type="character">
    <w:name w:val="VerbatimStringTok"/>
    <w:basedOn w:val="VerbatimChar"/>
    <w:rPr>
      <w:rFonts w:ascii="Courier New" w:cs="Courier New" w:hAnsi="Courier New"/>
      <w:color w:val="4070A0"/>
      <w:sz w:val="22"/>
      <w:szCs w:val="22"/>
    </w:rPr>
  </w:style>
  <w:style w:customStyle="1" w:styleId="SpecialStringTok" w:type="character">
    <w:name w:val="SpecialStringTok"/>
    <w:basedOn w:val="VerbatimChar"/>
    <w:rPr>
      <w:rFonts w:ascii="Courier New" w:cs="Courier New" w:hAnsi="Courier New"/>
      <w:color w:val="BB6688"/>
      <w:sz w:val="22"/>
      <w:szCs w:val="22"/>
    </w:rPr>
  </w:style>
  <w:style w:customStyle="1" w:styleId="ImportTok" w:type="character">
    <w:name w:val="ImportTok"/>
    <w:basedOn w:val="VerbatimChar"/>
    <w:rPr>
      <w:rFonts w:ascii="Courier New" w:cs="Courier New" w:hAnsi="Courier New"/>
      <w:sz w:val="22"/>
      <w:szCs w:val="22"/>
    </w:rPr>
  </w:style>
  <w:style w:customStyle="1" w:styleId="CommentTok" w:type="character">
    <w:name w:val="CommentTok"/>
    <w:basedOn w:val="VerbatimChar"/>
    <w:rPr>
      <w:rFonts w:ascii="Courier New" w:cs="Courier New" w:hAnsi="Courier New"/>
      <w:i/>
      <w:color w:val="60A0B0"/>
      <w:sz w:val="22"/>
      <w:szCs w:val="22"/>
    </w:rPr>
  </w:style>
  <w:style w:customStyle="1" w:styleId="DocumentationTok" w:type="character">
    <w:name w:val="DocumentationTok"/>
    <w:basedOn w:val="VerbatimChar"/>
    <w:rPr>
      <w:rFonts w:ascii="Courier New" w:cs="Courier New" w:hAnsi="Courier New"/>
      <w:i/>
      <w:color w:val="BA2121"/>
      <w:sz w:val="22"/>
      <w:szCs w:val="22"/>
    </w:rPr>
  </w:style>
  <w:style w:customStyle="1" w:styleId="AnnotationTok" w:type="character">
    <w:name w:val="AnnotationTok"/>
    <w:basedOn w:val="VerbatimChar"/>
    <w:rPr>
      <w:rFonts w:ascii="Courier New" w:cs="Courier New" w:hAnsi="Courier New"/>
      <w:b/>
      <w:i/>
      <w:color w:val="60A0B0"/>
      <w:sz w:val="22"/>
      <w:szCs w:val="22"/>
    </w:rPr>
  </w:style>
  <w:style w:customStyle="1" w:styleId="CommentVarTok" w:type="character">
    <w:name w:val="CommentVarTok"/>
    <w:basedOn w:val="VerbatimChar"/>
    <w:rPr>
      <w:rFonts w:ascii="Courier New" w:cs="Courier New" w:hAnsi="Courier New"/>
      <w:b/>
      <w:i/>
      <w:color w:val="60A0B0"/>
      <w:sz w:val="22"/>
      <w:szCs w:val="22"/>
    </w:rPr>
  </w:style>
  <w:style w:customStyle="1" w:styleId="OtherTok" w:type="character">
    <w:name w:val="OtherTok"/>
    <w:basedOn w:val="VerbatimChar"/>
    <w:rPr>
      <w:rFonts w:ascii="Courier New" w:cs="Courier New" w:hAnsi="Courier New"/>
      <w:color w:val="007020"/>
      <w:sz w:val="22"/>
      <w:szCs w:val="22"/>
    </w:rPr>
  </w:style>
  <w:style w:customStyle="1" w:styleId="FunctionTok" w:type="character">
    <w:name w:val="FunctionTok"/>
    <w:basedOn w:val="VerbatimChar"/>
    <w:rPr>
      <w:rFonts w:ascii="Courier New" w:cs="Courier New" w:hAnsi="Courier New"/>
      <w:color w:val="06287E"/>
      <w:sz w:val="22"/>
      <w:szCs w:val="22"/>
    </w:rPr>
  </w:style>
  <w:style w:customStyle="1" w:styleId="VariableTok" w:type="character">
    <w:name w:val="VariableTok"/>
    <w:basedOn w:val="VerbatimChar"/>
    <w:rPr>
      <w:rFonts w:ascii="Courier New" w:cs="Courier New" w:hAnsi="Courier New"/>
      <w:color w:val="19177C"/>
      <w:sz w:val="22"/>
      <w:szCs w:val="22"/>
    </w:rPr>
  </w:style>
  <w:style w:customStyle="1" w:styleId="ControlFlowTok" w:type="character">
    <w:name w:val="ControlFlowTok"/>
    <w:basedOn w:val="VerbatimChar"/>
    <w:rPr>
      <w:rFonts w:ascii="Courier New" w:cs="Courier New" w:hAnsi="Courier New"/>
      <w:b/>
      <w:color w:val="007020"/>
      <w:sz w:val="22"/>
      <w:szCs w:val="22"/>
    </w:rPr>
  </w:style>
  <w:style w:customStyle="1" w:styleId="OperatorTok" w:type="character">
    <w:name w:val="OperatorTok"/>
    <w:basedOn w:val="VerbatimChar"/>
    <w:rPr>
      <w:rFonts w:ascii="Courier New" w:cs="Courier New" w:hAnsi="Courier New"/>
      <w:color w:val="666666"/>
      <w:sz w:val="22"/>
      <w:szCs w:val="22"/>
    </w:rPr>
  </w:style>
  <w:style w:customStyle="1" w:styleId="BuiltInTok" w:type="character">
    <w:name w:val="BuiltInTok"/>
    <w:basedOn w:val="VerbatimChar"/>
    <w:rPr>
      <w:rFonts w:ascii="Courier New" w:cs="Courier New" w:hAnsi="Courier New"/>
      <w:sz w:val="22"/>
      <w:szCs w:val="22"/>
    </w:rPr>
  </w:style>
  <w:style w:customStyle="1" w:styleId="ExtensionTok" w:type="character">
    <w:name w:val="ExtensionTok"/>
    <w:basedOn w:val="VerbatimChar"/>
    <w:rPr>
      <w:rFonts w:ascii="Courier New" w:cs="Courier New" w:hAnsi="Courier New"/>
      <w:sz w:val="22"/>
      <w:szCs w:val="22"/>
    </w:rPr>
  </w:style>
  <w:style w:customStyle="1" w:styleId="PreprocessorTok" w:type="character">
    <w:name w:val="PreprocessorTok"/>
    <w:basedOn w:val="VerbatimChar"/>
    <w:rPr>
      <w:rFonts w:ascii="Courier New" w:cs="Courier New" w:hAnsi="Courier New"/>
      <w:color w:val="BC7A00"/>
      <w:sz w:val="22"/>
      <w:szCs w:val="22"/>
    </w:rPr>
  </w:style>
  <w:style w:customStyle="1" w:styleId="AttributeTok" w:type="character">
    <w:name w:val="AttributeTok"/>
    <w:basedOn w:val="VerbatimChar"/>
    <w:rPr>
      <w:rFonts w:ascii="Courier New" w:cs="Courier New" w:hAnsi="Courier New"/>
      <w:color w:val="7D9029"/>
      <w:sz w:val="22"/>
      <w:szCs w:val="22"/>
    </w:rPr>
  </w:style>
  <w:style w:customStyle="1" w:styleId="RegionMarkerTok" w:type="character">
    <w:name w:val="RegionMarkerTok"/>
    <w:basedOn w:val="VerbatimChar"/>
    <w:rPr>
      <w:rFonts w:ascii="Courier New" w:cs="Courier New" w:hAnsi="Courier New"/>
      <w:sz w:val="22"/>
      <w:szCs w:val="22"/>
    </w:rPr>
  </w:style>
  <w:style w:customStyle="1" w:styleId="InformationTok" w:type="character">
    <w:name w:val="InformationTok"/>
    <w:basedOn w:val="VerbatimChar"/>
    <w:rPr>
      <w:rFonts w:ascii="Courier New" w:cs="Courier New" w:hAnsi="Courier New"/>
      <w:b/>
      <w:i/>
      <w:color w:val="60A0B0"/>
      <w:sz w:val="22"/>
      <w:szCs w:val="22"/>
    </w:rPr>
  </w:style>
  <w:style w:customStyle="1" w:styleId="WarningTok" w:type="character">
    <w:name w:val="WarningTok"/>
    <w:basedOn w:val="VerbatimChar"/>
    <w:rPr>
      <w:rFonts w:ascii="Courier New" w:cs="Courier New" w:hAnsi="Courier New"/>
      <w:b/>
      <w:i/>
      <w:color w:val="60A0B0"/>
      <w:sz w:val="22"/>
      <w:szCs w:val="22"/>
    </w:rPr>
  </w:style>
  <w:style w:customStyle="1" w:styleId="AlertTok" w:type="character">
    <w:name w:val="AlertTok"/>
    <w:basedOn w:val="VerbatimChar"/>
    <w:rPr>
      <w:rFonts w:ascii="Courier New" w:cs="Courier New" w:hAnsi="Courier New"/>
      <w:b/>
      <w:color w:val="FF0000"/>
      <w:sz w:val="22"/>
      <w:szCs w:val="22"/>
    </w:rPr>
  </w:style>
  <w:style w:customStyle="1" w:styleId="ErrorTok" w:type="character">
    <w:name w:val="ErrorTok"/>
    <w:basedOn w:val="VerbatimChar"/>
    <w:rPr>
      <w:rFonts w:ascii="Courier New" w:cs="Courier New" w:hAnsi="Courier New"/>
      <w:b/>
      <w:color w:val="FF0000"/>
      <w:sz w:val="22"/>
      <w:szCs w:val="22"/>
    </w:rPr>
  </w:style>
  <w:style w:customStyle="1" w:styleId="NormalTok" w:type="character">
    <w:name w:val="NormalTok"/>
    <w:basedOn w:val="VerbatimChar"/>
    <w:rPr>
      <w:rFonts w:ascii="Courier New" w:cs="Courier New" w:hAnsi="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df" /><Relationship Type="http://schemas.openxmlformats.org/officeDocument/2006/relationships/image" Id="rId26" Target="media/rId26.pdf" /><Relationship Type="http://schemas.openxmlformats.org/officeDocument/2006/relationships/image" Id="rId20" Target="media/rId20.png" /><Relationship Type="http://schemas.openxmlformats.org/officeDocument/2006/relationships/image" Id="rId66" Target="media/rId66.pdf" /><Relationship Type="http://schemas.openxmlformats.org/officeDocument/2006/relationships/image" Id="rId72" Target="media/rId72.pdf" /><Relationship Type="http://schemas.openxmlformats.org/officeDocument/2006/relationships/image" Id="rId69" Target="media/rId69.pdf" /><Relationship Type="http://schemas.openxmlformats.org/officeDocument/2006/relationships/image" Id="rId75" Target="media/rId75.pdf" /><Relationship Type="http://schemas.openxmlformats.org/officeDocument/2006/relationships/image" Id="rId85" Target="media/rId85.jpg" /><Relationship Type="http://schemas.openxmlformats.org/officeDocument/2006/relationships/image" Id="rId90" Target="media/rId90.jpg" /><Relationship Type="http://schemas.openxmlformats.org/officeDocument/2006/relationships/image" Id="rId38" Target="media/rId38.pdf" /><Relationship Type="http://schemas.openxmlformats.org/officeDocument/2006/relationships/image" Id="rId79" Target="media/rId79.pdf" /><Relationship Type="http://schemas.openxmlformats.org/officeDocument/2006/relationships/image" Id="rId35" Target="media/rId35.pdf" /><Relationship Type="http://schemas.openxmlformats.org/officeDocument/2006/relationships/image" Id="rId30" Target="media/rId30.pdf" /><Relationship Type="http://schemas.openxmlformats.org/officeDocument/2006/relationships/hyperlink" Id="rId186" Target="http://www.adb.org/sites/default/files/pub/2013/basic-water-allocation-planning.pdf" TargetMode="External" /><Relationship Type="http://schemas.openxmlformats.org/officeDocument/2006/relationships/hyperlink" Id="rId61" Target="http://www.ccgp.gov.cn/cggg/zygg/gkzb/202107/t20210721_16591901.htm" TargetMode="External" /><Relationship Type="http://schemas.openxmlformats.org/officeDocument/2006/relationships/hyperlink" Id="rId59" Target="http://www.gov.cn/zhengce/content/2011-03/30/content_3138.htm#" TargetMode="External" /><Relationship Type="http://schemas.openxmlformats.org/officeDocument/2006/relationships/hyperlink" Id="rId60" Target="http://www.mwr.gov.cn/ztpd/2013ztbd/2013fxkh/fxkhswcbcs/cs/flfg/201304/t20130411_433489.html" TargetMode="External" /><Relationship Type="http://schemas.openxmlformats.org/officeDocument/2006/relationships/hyperlink" Id="rId50" Target="http://www.yrcc.gov.cn" TargetMode="External" /><Relationship Type="http://schemas.openxmlformats.org/officeDocument/2006/relationships/hyperlink" Id="rId180" Target="https://doi.org/10.1002/2017EF000562" TargetMode="External" /><Relationship Type="http://schemas.openxmlformats.org/officeDocument/2006/relationships/hyperlink" Id="rId157" Target="https://doi.org/10.1002/j.1551-8833.1955.tb19237.x" TargetMode="External" /><Relationship Type="http://schemas.openxmlformats.org/officeDocument/2006/relationships/hyperlink" Id="rId121" Target="https://doi.org/10.1002/pan3.10136" TargetMode="External" /><Relationship Type="http://schemas.openxmlformats.org/officeDocument/2006/relationships/hyperlink" Id="rId151" Target="https://doi.org/10.1007/s13280-021-01699-4" TargetMode="External" /><Relationship Type="http://schemas.openxmlformats.org/officeDocument/2006/relationships/hyperlink" Id="rId123" Target="https://doi.org/10.1016/j.cosust.2015.03.005" TargetMode="External" /><Relationship Type="http://schemas.openxmlformats.org/officeDocument/2006/relationships/hyperlink" Id="rId117" Target="https://doi.org/10.1016/j.cosust.2020.02.004" TargetMode="External" /><Relationship Type="http://schemas.openxmlformats.org/officeDocument/2006/relationships/hyperlink" Id="rId115" Target="https://doi.org/10.1016/j.cosust.2020.02.005" TargetMode="External" /><Relationship Type="http://schemas.openxmlformats.org/officeDocument/2006/relationships/hyperlink" Id="rId96" Target="https://doi.org/10.1016/j.ecolecon.2017.06.019" TargetMode="External" /><Relationship Type="http://schemas.openxmlformats.org/officeDocument/2006/relationships/hyperlink" Id="rId171" Target="https://doi.org/10.1016/j.envsci.2018.10.007" TargetMode="External" /><Relationship Type="http://schemas.openxmlformats.org/officeDocument/2006/relationships/hyperlink" Id="rId165" Target="https://doi.org/10.1016/j.gloenvcha.2012.01.005" TargetMode="External" /><Relationship Type="http://schemas.openxmlformats.org/officeDocument/2006/relationships/hyperlink" Id="rId200" Target="https://doi.org/10.1016/j.jdeveco.2015.04.001" TargetMode="External" /><Relationship Type="http://schemas.openxmlformats.org/officeDocument/2006/relationships/hyperlink" Id="rId145" Target="https://doi.org/10.1016/j.jeem.2015.01.002" TargetMode="External" /><Relationship Type="http://schemas.openxmlformats.org/officeDocument/2006/relationships/hyperlink" Id="rId143" Target="https://doi.org/10.1016/j.jinteco.2009.04.004" TargetMode="External" /><Relationship Type="http://schemas.openxmlformats.org/officeDocument/2006/relationships/hyperlink" Id="rId131" Target="https://doi.org/10.1016/j.oneear.2020.07.007" TargetMode="External" /><Relationship Type="http://schemas.openxmlformats.org/officeDocument/2006/relationships/hyperlink" Id="rId108" Target="https://doi.org/10.1016/j.scib.2019.07.016" TargetMode="External" /><Relationship Type="http://schemas.openxmlformats.org/officeDocument/2006/relationships/hyperlink" Id="rId188" Target="https://doi.org/10.1016/j.tree.2017.06.003" TargetMode="External" /><Relationship Type="http://schemas.openxmlformats.org/officeDocument/2006/relationships/hyperlink" Id="rId159" Target="https://doi.org/10.1017/CBO9780511807763" TargetMode="External" /><Relationship Type="http://schemas.openxmlformats.org/officeDocument/2006/relationships/hyperlink" Id="rId112" Target="https://doi.org/10.1029/2018WR024088" TargetMode="External" /><Relationship Type="http://schemas.openxmlformats.org/officeDocument/2006/relationships/hyperlink" Id="rId161" Target="https://doi.org/10.1029/2021WR030695" TargetMode="External" /><Relationship Type="http://schemas.openxmlformats.org/officeDocument/2006/relationships/hyperlink" Id="rId178" Target="https://doi.org/10.1029/2021WR030779" TargetMode="External" /><Relationship Type="http://schemas.openxmlformats.org/officeDocument/2006/relationships/hyperlink" Id="rId147" Target="https://doi.org/10.1038/s41467-019-09994-1" TargetMode="External" /><Relationship Type="http://schemas.openxmlformats.org/officeDocument/2006/relationships/hyperlink" Id="rId184" Target="https://doi.org/10.1038/s41467-020-17428-6" TargetMode="External" /><Relationship Type="http://schemas.openxmlformats.org/officeDocument/2006/relationships/hyperlink" Id="rId98" Target="https://doi.org/10.1038/s41467-021-22194-0" TargetMode="External" /><Relationship Type="http://schemas.openxmlformats.org/officeDocument/2006/relationships/hyperlink" Id="rId110" Target="https://doi.org/10.1038/s41467-022-28029-w" TargetMode="External" /><Relationship Type="http://schemas.openxmlformats.org/officeDocument/2006/relationships/hyperlink" Id="rId100" Target="https://doi.org/10.1038/s41586-019-1846-3" TargetMode="External" /><Relationship Type="http://schemas.openxmlformats.org/officeDocument/2006/relationships/hyperlink" Id="rId104" Target="https://doi.org/10.1038/s41893-017-0006-8" TargetMode="External" /><Relationship Type="http://schemas.openxmlformats.org/officeDocument/2006/relationships/hyperlink" Id="rId173" Target="https://doi.org/10.1038/s41893-022-00866-z" TargetMode="External" /><Relationship Type="http://schemas.openxmlformats.org/officeDocument/2006/relationships/hyperlink" Id="rId182" Target="https://doi.org/10.1073/pnas.1414640112" TargetMode="External" /><Relationship Type="http://schemas.openxmlformats.org/officeDocument/2006/relationships/hyperlink" Id="rId167" Target="https://doi.org/10.1073/pnas.1604405114" TargetMode="External" /><Relationship Type="http://schemas.openxmlformats.org/officeDocument/2006/relationships/hyperlink" Id="rId190" Target="https://doi.org/10.1073/pnas.1909902117" TargetMode="External" /><Relationship Type="http://schemas.openxmlformats.org/officeDocument/2006/relationships/hyperlink" Id="rId106" Target="https://doi.org/10.1073/pnas.2020431118" TargetMode="External" /><Relationship Type="http://schemas.openxmlformats.org/officeDocument/2006/relationships/hyperlink" Id="rId169" Target="https://doi.org/10.1088/1748-9326/ab2619" TargetMode="External" /><Relationship Type="http://schemas.openxmlformats.org/officeDocument/2006/relationships/hyperlink" Id="rId133" Target="https://doi.org/10.1111/ajps.12116" TargetMode="External" /><Relationship Type="http://schemas.openxmlformats.org/officeDocument/2006/relationships/hyperlink" Id="rId102" Target="https://doi.org/10.1126/sciadv.1500323" TargetMode="External" /><Relationship Type="http://schemas.openxmlformats.org/officeDocument/2006/relationships/hyperlink" Id="rId127" Target="https://doi.org/10.1126/science.1172133" TargetMode="External" /><Relationship Type="http://schemas.openxmlformats.org/officeDocument/2006/relationships/hyperlink" Id="rId119" Target="https://doi.org/10.1126/science.aan1114" TargetMode="External" /><Relationship Type="http://schemas.openxmlformats.org/officeDocument/2006/relationships/hyperlink" Id="rId175" Target="https://doi.org/10.1146/annurev-environ-110615-085349" TargetMode="External" /><Relationship Type="http://schemas.openxmlformats.org/officeDocument/2006/relationships/hyperlink" Id="rId198" Target="https://doi.org/10.1162/REST_a_00324" TargetMode="External" /><Relationship Type="http://schemas.openxmlformats.org/officeDocument/2006/relationships/hyperlink" Id="rId135" Target="https://doi.org/10.1177/0149206320960533" TargetMode="External" /><Relationship Type="http://schemas.openxmlformats.org/officeDocument/2006/relationships/hyperlink" Id="rId194" Target="https://doi.org/10.1198/jasa.2009.ap08746" TargetMode="External" /><Relationship Type="http://schemas.openxmlformats.org/officeDocument/2006/relationships/hyperlink" Id="rId129" Target="https://doi.org/10.1257/aer.20190159" TargetMode="External" /><Relationship Type="http://schemas.openxmlformats.org/officeDocument/2006/relationships/hyperlink" Id="rId196" Target="https://doi.org/10.1257/jel.20191450" TargetMode="External" /><Relationship Type="http://schemas.openxmlformats.org/officeDocument/2006/relationships/hyperlink" Id="rId139" Target="https://doi.org/10.16110/j.cnki.issn2095-3151.2002.63.035" TargetMode="External" /><Relationship Type="http://schemas.openxmlformats.org/officeDocument/2006/relationships/hyperlink" Id="rId155" Target="https://doi.org/10.18402/resci.2020.01.04" TargetMode="External" /><Relationship Type="http://schemas.openxmlformats.org/officeDocument/2006/relationships/hyperlink" Id="rId153" Target="https://doi.org/10.3969/j.issn.1000-1379.2019.09.002" TargetMode="External" /><Relationship Type="http://schemas.openxmlformats.org/officeDocument/2006/relationships/hyperlink" Id="rId202" Target="https://doi.org/10.3969/j.issn.1000-1379.2019.10.019" TargetMode="External" /><Relationship Type="http://schemas.openxmlformats.org/officeDocument/2006/relationships/hyperlink" Id="rId125" Target="https://doi.org/10.5751/ES-05357-180210" TargetMode="External" /><Relationship Type="http://schemas.openxmlformats.org/officeDocument/2006/relationships/hyperlink" Id="rId163" Target="https://doi.org/10.5751/ES-08035-200441" TargetMode="External" /><Relationship Type="http://schemas.openxmlformats.org/officeDocument/2006/relationships/hyperlink" Id="rId149" Target="https://kns.cnki.net/kcms/detail/detail.aspx?dbcode=CJFD&amp;dbname=CJFD2000&amp;filename=ZWQW200020021&amp;uniplatform=NZKPT&amp;v=2rrGzyi0e_w91jdi27jR8I9gdp_Btpa0PKT3pUMZ0ofAYfVyv_Xr7VeoiesoGTxP" TargetMode="External" /><Relationship Type="http://schemas.openxmlformats.org/officeDocument/2006/relationships/hyperlink" Id="rId141" Target="https://kns.cnki.net/kcms/detail/detail.aspx?dbcode=CJFD&amp;dbname=CJFD2007&amp;filename=SLZG200719038&amp;uniplatform=NZKPT&amp;v=5q38Jxp-3Q0FuG3N3kMKdCVt0LTbHDN93vRDqJTzRQsrS0ejKhnJTBGXaCwppoYC" TargetMode="External" /><Relationship Type="http://schemas.openxmlformats.org/officeDocument/2006/relationships/hyperlink" Id="rId137" Target="https://kns.cnki.net/kcms/detail/detail.aspx?dbcode=CJFD&amp;dbname=CJFDLAST2021&amp;filename=ZRZY202104015&amp;uniplatform=NZKPT&amp;v=tQHwxd2_O0DqVtXGxGXcwW5OsqQTjg6OYnfyCjw5KZ9N0rc-WLgZBBQvZ0UYeVHC" TargetMode="External" /><Relationship Type="http://schemas.openxmlformats.org/officeDocument/2006/relationships/hyperlink" Id="rId192" Target="https://papers.ssrn.com/abstract=3920293" TargetMode="External" /></Relationships>
</file>

<file path=word/_rels/footnotes.xml.rels><?xml version="1.0" encoding="UTF-8"?><Relationships xmlns="http://schemas.openxmlformats.org/package/2006/relationships"><Relationship Type="http://schemas.openxmlformats.org/officeDocument/2006/relationships/hyperlink" Id="rId186" Target="http://www.adb.org/sites/default/files/pub/2013/basic-water-allocation-planning.pdf" TargetMode="External" /><Relationship Type="http://schemas.openxmlformats.org/officeDocument/2006/relationships/hyperlink" Id="rId61" Target="http://www.ccgp.gov.cn/cggg/zygg/gkzb/202107/t20210721_16591901.htm" TargetMode="External" /><Relationship Type="http://schemas.openxmlformats.org/officeDocument/2006/relationships/hyperlink" Id="rId59" Target="http://www.gov.cn/zhengce/content/2011-03/30/content_3138.htm#" TargetMode="External" /><Relationship Type="http://schemas.openxmlformats.org/officeDocument/2006/relationships/hyperlink" Id="rId60" Target="http://www.mwr.gov.cn/ztpd/2013ztbd/2013fxkh/fxkhswcbcs/cs/flfg/201304/t20130411_433489.html" TargetMode="External" /><Relationship Type="http://schemas.openxmlformats.org/officeDocument/2006/relationships/hyperlink" Id="rId50" Target="http://www.yrcc.gov.cn" TargetMode="External" /><Relationship Type="http://schemas.openxmlformats.org/officeDocument/2006/relationships/hyperlink" Id="rId180" Target="https://doi.org/10.1002/2017EF000562" TargetMode="External" /><Relationship Type="http://schemas.openxmlformats.org/officeDocument/2006/relationships/hyperlink" Id="rId157" Target="https://doi.org/10.1002/j.1551-8833.1955.tb19237.x" TargetMode="External" /><Relationship Type="http://schemas.openxmlformats.org/officeDocument/2006/relationships/hyperlink" Id="rId121" Target="https://doi.org/10.1002/pan3.10136" TargetMode="External" /><Relationship Type="http://schemas.openxmlformats.org/officeDocument/2006/relationships/hyperlink" Id="rId151" Target="https://doi.org/10.1007/s13280-021-01699-4" TargetMode="External" /><Relationship Type="http://schemas.openxmlformats.org/officeDocument/2006/relationships/hyperlink" Id="rId123" Target="https://doi.org/10.1016/j.cosust.2015.03.005" TargetMode="External" /><Relationship Type="http://schemas.openxmlformats.org/officeDocument/2006/relationships/hyperlink" Id="rId117" Target="https://doi.org/10.1016/j.cosust.2020.02.004" TargetMode="External" /><Relationship Type="http://schemas.openxmlformats.org/officeDocument/2006/relationships/hyperlink" Id="rId115" Target="https://doi.org/10.1016/j.cosust.2020.02.005" TargetMode="External" /><Relationship Type="http://schemas.openxmlformats.org/officeDocument/2006/relationships/hyperlink" Id="rId96" Target="https://doi.org/10.1016/j.ecolecon.2017.06.019" TargetMode="External" /><Relationship Type="http://schemas.openxmlformats.org/officeDocument/2006/relationships/hyperlink" Id="rId171" Target="https://doi.org/10.1016/j.envsci.2018.10.007" TargetMode="External" /><Relationship Type="http://schemas.openxmlformats.org/officeDocument/2006/relationships/hyperlink" Id="rId165" Target="https://doi.org/10.1016/j.gloenvcha.2012.01.005" TargetMode="External" /><Relationship Type="http://schemas.openxmlformats.org/officeDocument/2006/relationships/hyperlink" Id="rId200" Target="https://doi.org/10.1016/j.jdeveco.2015.04.001" TargetMode="External" /><Relationship Type="http://schemas.openxmlformats.org/officeDocument/2006/relationships/hyperlink" Id="rId145" Target="https://doi.org/10.1016/j.jeem.2015.01.002" TargetMode="External" /><Relationship Type="http://schemas.openxmlformats.org/officeDocument/2006/relationships/hyperlink" Id="rId143" Target="https://doi.org/10.1016/j.jinteco.2009.04.004" TargetMode="External" /><Relationship Type="http://schemas.openxmlformats.org/officeDocument/2006/relationships/hyperlink" Id="rId131" Target="https://doi.org/10.1016/j.oneear.2020.07.007" TargetMode="External" /><Relationship Type="http://schemas.openxmlformats.org/officeDocument/2006/relationships/hyperlink" Id="rId108" Target="https://doi.org/10.1016/j.scib.2019.07.016" TargetMode="External" /><Relationship Type="http://schemas.openxmlformats.org/officeDocument/2006/relationships/hyperlink" Id="rId188" Target="https://doi.org/10.1016/j.tree.2017.06.003" TargetMode="External" /><Relationship Type="http://schemas.openxmlformats.org/officeDocument/2006/relationships/hyperlink" Id="rId159" Target="https://doi.org/10.1017/CBO9780511807763" TargetMode="External" /><Relationship Type="http://schemas.openxmlformats.org/officeDocument/2006/relationships/hyperlink" Id="rId112" Target="https://doi.org/10.1029/2018WR024088" TargetMode="External" /><Relationship Type="http://schemas.openxmlformats.org/officeDocument/2006/relationships/hyperlink" Id="rId161" Target="https://doi.org/10.1029/2021WR030695" TargetMode="External" /><Relationship Type="http://schemas.openxmlformats.org/officeDocument/2006/relationships/hyperlink" Id="rId178" Target="https://doi.org/10.1029/2021WR030779" TargetMode="External" /><Relationship Type="http://schemas.openxmlformats.org/officeDocument/2006/relationships/hyperlink" Id="rId147" Target="https://doi.org/10.1038/s41467-019-09994-1" TargetMode="External" /><Relationship Type="http://schemas.openxmlformats.org/officeDocument/2006/relationships/hyperlink" Id="rId184" Target="https://doi.org/10.1038/s41467-020-17428-6" TargetMode="External" /><Relationship Type="http://schemas.openxmlformats.org/officeDocument/2006/relationships/hyperlink" Id="rId98" Target="https://doi.org/10.1038/s41467-021-22194-0" TargetMode="External" /><Relationship Type="http://schemas.openxmlformats.org/officeDocument/2006/relationships/hyperlink" Id="rId110" Target="https://doi.org/10.1038/s41467-022-28029-w" TargetMode="External" /><Relationship Type="http://schemas.openxmlformats.org/officeDocument/2006/relationships/hyperlink" Id="rId100" Target="https://doi.org/10.1038/s41586-019-1846-3" TargetMode="External" /><Relationship Type="http://schemas.openxmlformats.org/officeDocument/2006/relationships/hyperlink" Id="rId104" Target="https://doi.org/10.1038/s41893-017-0006-8" TargetMode="External" /><Relationship Type="http://schemas.openxmlformats.org/officeDocument/2006/relationships/hyperlink" Id="rId173" Target="https://doi.org/10.1038/s41893-022-00866-z" TargetMode="External" /><Relationship Type="http://schemas.openxmlformats.org/officeDocument/2006/relationships/hyperlink" Id="rId182" Target="https://doi.org/10.1073/pnas.1414640112" TargetMode="External" /><Relationship Type="http://schemas.openxmlformats.org/officeDocument/2006/relationships/hyperlink" Id="rId167" Target="https://doi.org/10.1073/pnas.1604405114" TargetMode="External" /><Relationship Type="http://schemas.openxmlformats.org/officeDocument/2006/relationships/hyperlink" Id="rId190" Target="https://doi.org/10.1073/pnas.1909902117" TargetMode="External" /><Relationship Type="http://schemas.openxmlformats.org/officeDocument/2006/relationships/hyperlink" Id="rId106" Target="https://doi.org/10.1073/pnas.2020431118" TargetMode="External" /><Relationship Type="http://schemas.openxmlformats.org/officeDocument/2006/relationships/hyperlink" Id="rId169" Target="https://doi.org/10.1088/1748-9326/ab2619" TargetMode="External" /><Relationship Type="http://schemas.openxmlformats.org/officeDocument/2006/relationships/hyperlink" Id="rId133" Target="https://doi.org/10.1111/ajps.12116" TargetMode="External" /><Relationship Type="http://schemas.openxmlformats.org/officeDocument/2006/relationships/hyperlink" Id="rId102" Target="https://doi.org/10.1126/sciadv.1500323" TargetMode="External" /><Relationship Type="http://schemas.openxmlformats.org/officeDocument/2006/relationships/hyperlink" Id="rId127" Target="https://doi.org/10.1126/science.1172133" TargetMode="External" /><Relationship Type="http://schemas.openxmlformats.org/officeDocument/2006/relationships/hyperlink" Id="rId119" Target="https://doi.org/10.1126/science.aan1114" TargetMode="External" /><Relationship Type="http://schemas.openxmlformats.org/officeDocument/2006/relationships/hyperlink" Id="rId175" Target="https://doi.org/10.1146/annurev-environ-110615-085349" TargetMode="External" /><Relationship Type="http://schemas.openxmlformats.org/officeDocument/2006/relationships/hyperlink" Id="rId198" Target="https://doi.org/10.1162/REST_a_00324" TargetMode="External" /><Relationship Type="http://schemas.openxmlformats.org/officeDocument/2006/relationships/hyperlink" Id="rId135" Target="https://doi.org/10.1177/0149206320960533" TargetMode="External" /><Relationship Type="http://schemas.openxmlformats.org/officeDocument/2006/relationships/hyperlink" Id="rId194" Target="https://doi.org/10.1198/jasa.2009.ap08746" TargetMode="External" /><Relationship Type="http://schemas.openxmlformats.org/officeDocument/2006/relationships/hyperlink" Id="rId129" Target="https://doi.org/10.1257/aer.20190159" TargetMode="External" /><Relationship Type="http://schemas.openxmlformats.org/officeDocument/2006/relationships/hyperlink" Id="rId196" Target="https://doi.org/10.1257/jel.20191450" TargetMode="External" /><Relationship Type="http://schemas.openxmlformats.org/officeDocument/2006/relationships/hyperlink" Id="rId139" Target="https://doi.org/10.16110/j.cnki.issn2095-3151.2002.63.035" TargetMode="External" /><Relationship Type="http://schemas.openxmlformats.org/officeDocument/2006/relationships/hyperlink" Id="rId155" Target="https://doi.org/10.18402/resci.2020.01.04" TargetMode="External" /><Relationship Type="http://schemas.openxmlformats.org/officeDocument/2006/relationships/hyperlink" Id="rId153" Target="https://doi.org/10.3969/j.issn.1000-1379.2019.09.002" TargetMode="External" /><Relationship Type="http://schemas.openxmlformats.org/officeDocument/2006/relationships/hyperlink" Id="rId202" Target="https://doi.org/10.3969/j.issn.1000-1379.2019.10.019" TargetMode="External" /><Relationship Type="http://schemas.openxmlformats.org/officeDocument/2006/relationships/hyperlink" Id="rId125" Target="https://doi.org/10.5751/ES-05357-180210" TargetMode="External" /><Relationship Type="http://schemas.openxmlformats.org/officeDocument/2006/relationships/hyperlink" Id="rId163" Target="https://doi.org/10.5751/ES-08035-200441" TargetMode="External" /><Relationship Type="http://schemas.openxmlformats.org/officeDocument/2006/relationships/hyperlink" Id="rId149" Target="https://kns.cnki.net/kcms/detail/detail.aspx?dbcode=CJFD&amp;dbname=CJFD2000&amp;filename=ZWQW200020021&amp;uniplatform=NZKPT&amp;v=2rrGzyi0e_w91jdi27jR8I9gdp_Btpa0PKT3pUMZ0ofAYfVyv_Xr7VeoiesoGTxP" TargetMode="External" /><Relationship Type="http://schemas.openxmlformats.org/officeDocument/2006/relationships/hyperlink" Id="rId141" Target="https://kns.cnki.net/kcms/detail/detail.aspx?dbcode=CJFD&amp;dbname=CJFD2007&amp;filename=SLZG200719038&amp;uniplatform=NZKPT&amp;v=5q38Jxp-3Q0FuG3N3kMKdCVt0LTbHDN93vRDqJTzRQsrS0ejKhnJTBGXaCwppoYC" TargetMode="External" /><Relationship Type="http://schemas.openxmlformats.org/officeDocument/2006/relationships/hyperlink" Id="rId137" Target="https://kns.cnki.net/kcms/detail/detail.aspx?dbcode=CJFD&amp;dbname=CJFDLAST2021&amp;filename=ZRZY202104015&amp;uniplatform=NZKPT&amp;v=tQHwxd2_O0DqVtXGxGXcwW5OsqQTjg6OYnfyCjw5KZ9N0rc-WLgZBBQvZ0UYeVHC" TargetMode="External" /><Relationship Type="http://schemas.openxmlformats.org/officeDocument/2006/relationships/hyperlink" Id="rId192" Target="https://papers.ssrn.com/abstract=39202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Words>
  <Characters>59</Characters>
  <Application>Microsoft Office Word</Application>
  <DocSecurity>0</DocSecurity>
  <Lines>1</Lines>
  <Paragraphs>1</Paragraphs>
  <ScaleCrop>false</ScaleCrop>
  <Company/>
  <LinksUpToDate>false</LinksUpToDate>
  <CharactersWithSpaces>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Approaching causal linkages between SES structures and outcomes of the Yellow River Basin, China</dc:title>
  <dc:creator>Shuang Song^{1}; Huiyu Wen^2; *Shuai Wang^{1}; Xutong Wu^{1}; Graeme S. Cumming^{3}; Bojie Fu^{1}</dc:creator>
  <cp:keywords/>
  <dcterms:created xsi:type="dcterms:W3CDTF">2022-11-05T12:33:13Z</dcterms:created>
  <dcterms:modified xsi:type="dcterms:W3CDTF">2022-11-05T12:33:13Z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True</vt:lpwstr>
  </property>
  <property fmtid="{D5CDD505-2E9C-101B-9397-08002B2CF9AE}" pid="3" name="autoSectionLabels">
    <vt:lpwstr>False</vt:lpwstr>
  </property>
  <property fmtid="{D5CDD505-2E9C-101B-9397-08002B2CF9AE}" pid="4" name="bibliography">
    <vt:lpwstr>../mybib.bib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/Users/songshgeo/Documents/Dropbox/SongshGeo/nature.csl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References">
    <vt:lpwstr>False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pairDelim">
    <vt:lpwstr>, </vt:lpwstr>
  </property>
  <property fmtid="{D5CDD505-2E9C-101B-9397-08002B2CF9AE}" pid="38" name="rangeDelim">
    <vt:lpwstr>-</vt:lpwstr>
  </property>
  <property fmtid="{D5CDD505-2E9C-101B-9397-08002B2CF9AE}" pid="39" name="refDelim">
    <vt:lpwstr>, </vt:lpwstr>
  </property>
  <property fmtid="{D5CDD505-2E9C-101B-9397-08002B2CF9AE}" pid="40" name="refIndexTemplate">
    <vt:lpwstr>isuf</vt:lpwstr>
  </property>
  <property fmtid="{D5CDD505-2E9C-101B-9397-08002B2CF9AE}" pid="41" name="reference-section-title">
    <vt:lpwstr>Reference</vt:lpwstr>
  </property>
  <property fmtid="{D5CDD505-2E9C-101B-9397-08002B2CF9AE}" pid="42" name="secHeaderDelim">
    <vt:lpwstr> </vt:lpwstr>
  </property>
  <property fmtid="{D5CDD505-2E9C-101B-9397-08002B2CF9AE}" pid="43" name="secHeaderTemplate">
    <vt:lpwstr>isecHeaderDelim[n]t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ubfigGrid">
    <vt:lpwstr>False</vt:lpwstr>
  </property>
  <property fmtid="{D5CDD505-2E9C-101B-9397-08002B2CF9AE}" pid="49" name="subfigLabels">
    <vt:lpwstr>alpha a</vt:lpwstr>
  </property>
  <property fmtid="{D5CDD505-2E9C-101B-9397-08002B2CF9AE}" pid="50" name="subfigureChildTemplate">
    <vt:lpwstr>i</vt:lpwstr>
  </property>
  <property fmtid="{D5CDD505-2E9C-101B-9397-08002B2CF9AE}" pid="51" name="subfigureRefIndexTemplate">
    <vt:lpwstr>isuf (s)</vt:lpwstr>
  </property>
  <property fmtid="{D5CDD505-2E9C-101B-9397-08002B2CF9AE}" pid="52" name="subfigureTemplate">
    <vt:lpwstr>figureTitle ititleDelim t. ccs</vt:lpwstr>
  </property>
  <property fmtid="{D5CDD505-2E9C-101B-9397-08002B2CF9AE}" pid="53" name="tableEqns">
    <vt:lpwstr>True</vt:lpwstr>
  </property>
  <property fmtid="{D5CDD505-2E9C-101B-9397-08002B2CF9AE}" pid="54" name="tableTemplate">
    <vt:lpwstr>tableTitle ititleDelim t</vt:lpwstr>
  </property>
  <property fmtid="{D5CDD505-2E9C-101B-9397-08002B2CF9AE}" pid="55" name="tableTitle">
    <vt:lpwstr>Table</vt:lpwstr>
  </property>
  <property fmtid="{D5CDD505-2E9C-101B-9397-08002B2CF9AE}" pid="56" name="tblLabels">
    <vt:lpwstr>arabic</vt:lpwstr>
  </property>
  <property fmtid="{D5CDD505-2E9C-101B-9397-08002B2CF9AE}" pid="57" name="tblPrefix">
    <vt:lpwstr/>
  </property>
  <property fmtid="{D5CDD505-2E9C-101B-9397-08002B2CF9AE}" pid="58" name="tblPrefixTemplate">
    <vt:lpwstr>p i</vt:lpwstr>
  </property>
  <property fmtid="{D5CDD505-2E9C-101B-9397-08002B2CF9AE}" pid="59" name="titleDelim">
    <vt:lpwstr>:</vt:lpwstr>
  </property>
</Properties>
</file>