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df" ContentType="application/pdf"/>
  <Override PartName="/word/media/rId35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Identifying</w:t>
      </w:r>
      <w:r>
        <w:t xml:space="preserve"> </w:t>
      </w:r>
      <w:r>
        <w:t xml:space="preserve">regime</w:t>
      </w:r>
      <w:r>
        <w:t xml:space="preserve"> </w:t>
      </w:r>
      <w:r>
        <w:t xml:space="preserve">transitions</w:t>
      </w:r>
      <w:r>
        <w:t xml:space="preserve"> </w:t>
      </w:r>
      <w:r>
        <w:t xml:space="preserve">for</w:t>
      </w:r>
      <w:r>
        <w:t xml:space="preserve"> </w:t>
      </w:r>
      <w:r>
        <w:t xml:space="preserve">water</w:t>
      </w:r>
      <w:r>
        <w:t xml:space="preserve"> </w:t>
      </w:r>
      <w:r>
        <w:t xml:space="preserve">governance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basin</w:t>
      </w:r>
      <w:r>
        <w:t xml:space="preserve"> </w:t>
      </w:r>
      <w:r>
        <w:t xml:space="preserve">scale</w:t>
      </w:r>
    </w:p>
    <w:bookmarkStart w:id="20" w:name="sec1"/>
    <w:p>
      <w:pPr>
        <w:pStyle w:val="1"/>
      </w:pPr>
      <w:r>
        <w:t xml:space="preserve">Introduction</w:t>
      </w:r>
    </w:p>
    <w:bookmarkEnd w:id="20"/>
    <w:bookmarkStart w:id="21" w:name="sec2"/>
    <w:p>
      <w:pPr>
        <w:pStyle w:val="1"/>
      </w:pPr>
      <w:r>
        <w:t xml:space="preserve">Results</w:t>
      </w:r>
    </w:p>
    <w:bookmarkEnd w:id="21"/>
    <w:bookmarkStart w:id="22" w:name="sec12"/>
    <w:p>
      <w:pPr>
        <w:pStyle w:val="1"/>
      </w:pPr>
      <w:r>
        <w:t xml:space="preserve">Discussion</w:t>
      </w:r>
    </w:p>
    <w:bookmarkEnd w:id="22"/>
    <w:bookmarkStart w:id="23" w:name="sec13"/>
    <w:p>
      <w:pPr>
        <w:pStyle w:val="1"/>
      </w:pPr>
      <w:r>
        <w:t xml:space="preserve">Conclusion</w:t>
      </w:r>
    </w:p>
    <w:bookmarkEnd w:id="23"/>
    <w:bookmarkStart w:id="24" w:name="sec11"/>
    <w:p>
      <w:pPr>
        <w:pStyle w:val="1"/>
      </w:pPr>
      <w:r>
        <w:t xml:space="preserve">Methods</w:t>
      </w:r>
    </w:p>
    <w:p>
      <w:pPr>
        <w:pStyle w:val="FirstParagraph"/>
      </w:pPr>
      <w:r>
        <w:t xml:space="preserve">When calculating the indicators (especially the SFV water stress index and the allocation entropy metric), we should use data at a lower (regional scale in this study) spatial scale. Therefore, we divide the YRB into four regions: source region (SR), upper region (UR), middle region (MR), and lower region (LR), according to characteristics and customary practices in the</w:t>
      </w:r>
      <w:r>
        <w:t xml:space="preserve"> </w:t>
      </w:r>
      <w:hyperlink w:anchor="secA1">
        <w:r>
          <w:rPr>
            <w:rStyle w:val="ae"/>
          </w:rPr>
          <w:t xml:space="preserve">6</w:t>
        </w:r>
      </w:hyperlink>
      <w:r>
        <w:t xml:space="preserve">.</w:t>
      </w:r>
      <w:r>
        <w:t xml:space="preserve"> </w:t>
      </w:r>
      <w:r>
        <w:t xml:space="preserve">The formulation in detail for applying the SFV-index is available in the</w:t>
      </w:r>
      <w:r>
        <w:t xml:space="preserve"> </w:t>
      </w:r>
      <w:hyperlink w:anchor="secA2">
        <w:r>
          <w:rPr>
            <w:rStyle w:val="ae"/>
          </w:rPr>
          <w:t xml:space="preserve">7</w:t>
        </w:r>
      </w:hyperlink>
      <w:r>
        <w:t xml:space="preserve">.</w:t>
      </w:r>
      <w:r>
        <w:t xml:space="preserve"> </w:t>
      </w:r>
      <w:r>
        <w:t xml:space="preserve">We used multiple sources of datasets in this study,</w:t>
      </w:r>
      <w:r>
        <w:t xml:space="preserve"> </w:t>
      </w:r>
      <w:r>
        <w:rPr>
          <w:iCs/>
          <w:i/>
        </w:rPr>
        <w:t xml:space="preserve">Appendix</w:t>
      </w:r>
      <w:r>
        <w:t xml:space="preserve"> </w:t>
      </w:r>
      <w:hyperlink w:anchor="secA3">
        <w:r>
          <w:rPr>
            <w:rStyle w:val="ae"/>
          </w:rPr>
          <w:t xml:space="preserve">8</w:t>
        </w:r>
      </w:hyperlink>
      <w:r>
        <w:t xml:space="preserve"> </w:t>
      </w:r>
      <w:r>
        <w:t xml:space="preserve">introduces where they came from and how we harmonise them for analysis.</w:t>
      </w:r>
    </w:p>
    <w:p>
      <w:pPr>
        <w:pStyle w:val="a0"/>
      </w:pPr>
      <w:r>
        <w:t xml:space="preserve">Funding was provided by the National Natural Science Foundation of China (CN) (Grant Nos. NSFC 42041007).</w:t>
      </w:r>
    </w:p>
    <w:bookmarkEnd w:id="24"/>
    <w:bookmarkStart w:id="29" w:name="declarations"/>
    <w:p>
      <w:pPr>
        <w:pStyle w:val="1"/>
      </w:pPr>
      <w:r>
        <w:t xml:space="preserve">Declarations</w:t>
      </w:r>
    </w:p>
    <w:p>
      <w:pPr>
        <w:numPr>
          <w:ilvl w:val="0"/>
          <w:numId w:val="1001"/>
        </w:numPr>
      </w:pPr>
      <w:r>
        <w:t xml:space="preserve">Funding</w:t>
      </w:r>
    </w:p>
    <w:p>
      <w:pPr>
        <w:numPr>
          <w:ilvl w:val="0"/>
          <w:numId w:val="1001"/>
        </w:numPr>
      </w:pPr>
      <w:r>
        <w:t xml:space="preserve">Conflict of interest/Competing interests (check journal-specific guidelines for which heading to use)</w:t>
      </w:r>
    </w:p>
    <w:p>
      <w:pPr>
        <w:numPr>
          <w:ilvl w:val="0"/>
          <w:numId w:val="1001"/>
        </w:numPr>
      </w:pPr>
      <w:r>
        <w:t xml:space="preserve">Ethics approval</w:t>
      </w:r>
    </w:p>
    <w:p>
      <w:pPr>
        <w:numPr>
          <w:ilvl w:val="0"/>
          <w:numId w:val="1001"/>
        </w:numPr>
      </w:pPr>
      <w:r>
        <w:t xml:space="preserve">Consent to participate</w:t>
      </w:r>
    </w:p>
    <w:p>
      <w:pPr>
        <w:numPr>
          <w:ilvl w:val="0"/>
          <w:numId w:val="1001"/>
        </w:numPr>
      </w:pPr>
      <w:r>
        <w:t xml:space="preserve">Consent for publication</w:t>
      </w:r>
    </w:p>
    <w:p>
      <w:pPr>
        <w:numPr>
          <w:ilvl w:val="0"/>
          <w:numId w:val="1001"/>
        </w:numPr>
      </w:pPr>
      <w:r>
        <w:t xml:space="preserve">Availability of data and materials</w:t>
      </w:r>
    </w:p>
    <w:p>
      <w:pPr>
        <w:numPr>
          <w:ilvl w:val="0"/>
          <w:numId w:val="1001"/>
        </w:numPr>
      </w:pPr>
      <w:r>
        <w:t xml:space="preserve">Code availability</w:t>
      </w:r>
    </w:p>
    <w:p>
      <w:pPr>
        <w:numPr>
          <w:ilvl w:val="0"/>
          <w:numId w:val="1001"/>
        </w:numPr>
      </w:pPr>
      <w:r>
        <w:t xml:space="preserve">Authors’ contributions</w:t>
      </w:r>
    </w:p>
    <w:p>
      <w:pPr>
        <w:pStyle w:val="FirstParagraph"/>
      </w:pPr>
      <w:r>
        <w:t xml:space="preserve">If any of the sections are not relevant to your manuscript, please include the heading and write</w:t>
      </w:r>
      <w:r>
        <w:t xml:space="preserve"> </w:t>
      </w:r>
      <w:r>
        <w:t xml:space="preserve">‘</w:t>
      </w:r>
      <w:r>
        <w:t xml:space="preserve">Not applicable</w:t>
      </w:r>
      <w:r>
        <w:t xml:space="preserve">’</w:t>
      </w:r>
      <w:r>
        <w:t xml:space="preserve"> </w:t>
      </w:r>
      <w:r>
        <w:t xml:space="preserve">for that section.</w:t>
      </w:r>
    </w:p>
    <w:p>
      <w:pPr>
        <w:pStyle w:val="a0"/>
      </w:pPr>
      <w:r>
        <w:t xml:space="preserve">Editorial Policies for:</w:t>
      </w:r>
    </w:p>
    <w:p>
      <w:pPr>
        <w:pStyle w:val="a0"/>
      </w:pPr>
      <w:r>
        <w:t xml:space="preserve">Springer journals and proceedings:</w:t>
      </w:r>
      <w:r>
        <w:t xml:space="preserve"> </w:t>
      </w:r>
      <w:hyperlink r:id="rId25">
        <w:r>
          <w:rPr>
            <w:rStyle w:val="ae"/>
          </w:rPr>
          <w:t xml:space="preserve">https://www.springer.com/gp/editorial-policies</w:t>
        </w:r>
      </w:hyperlink>
    </w:p>
    <w:p>
      <w:pPr>
        <w:pStyle w:val="a0"/>
      </w:pPr>
      <w:r>
        <w:t xml:space="preserve">Nature Portfolio journals:</w:t>
      </w:r>
      <w:r>
        <w:t xml:space="preserve"> </w:t>
      </w:r>
      <w:hyperlink r:id="rId26">
        <w:r>
          <w:rPr>
            <w:rStyle w:val="ae"/>
          </w:rPr>
          <w:t xml:space="preserve">https://www.nature.com/nature-research/editorial-policies</w:t>
        </w:r>
      </w:hyperlink>
    </w:p>
    <w:p>
      <w:pPr>
        <w:pStyle w:val="a0"/>
      </w:pPr>
      <w:r>
        <w:rPr>
          <w:iCs/>
          <w:i/>
        </w:rPr>
        <w:t xml:space="preserve">Scientific Reports</w:t>
      </w:r>
      <w:r>
        <w:t xml:space="preserve">:</w:t>
      </w:r>
      <w:r>
        <w:t xml:space="preserve"> </w:t>
      </w:r>
      <w:hyperlink r:id="rId27">
        <w:r>
          <w:rPr>
            <w:rStyle w:val="ae"/>
          </w:rPr>
          <w:t xml:space="preserve">https://www.nature.com/srep/journal-policies/editorial-policies</w:t>
        </w:r>
      </w:hyperlink>
    </w:p>
    <w:p>
      <w:pPr>
        <w:pStyle w:val="a0"/>
      </w:pPr>
      <w:r>
        <w:t xml:space="preserve">BMC journals:</w:t>
      </w:r>
      <w:r>
        <w:t xml:space="preserve"> </w:t>
      </w:r>
      <w:hyperlink r:id="rId28">
        <w:r>
          <w:rPr>
            <w:rStyle w:val="ae"/>
          </w:rPr>
          <w:t xml:space="preserve">https://www.biomedcentral.com/getpublished/editorial-policies</w:t>
        </w:r>
      </w:hyperlink>
    </w:p>
    <w:bookmarkEnd w:id="29"/>
    <w:bookmarkStart w:id="30" w:name="secA1"/>
    <w:p>
      <w:pPr>
        <w:pStyle w:val="1"/>
      </w:pPr>
      <w:r>
        <w:t xml:space="preserve">YRB Regions</w:t>
      </w:r>
    </w:p>
    <w:bookmarkEnd w:id="30"/>
    <w:bookmarkStart w:id="39" w:name="secA2"/>
    <w:p>
      <w:pPr>
        <w:pStyle w:val="1"/>
      </w:pPr>
      <w:r>
        <w:t xml:space="preserve">SFV-index</w:t>
      </w:r>
    </w:p>
    <w:p>
      <w:pPr>
        <w:pStyle w:val="CaptionedFigure"/>
      </w:pPr>
      <w:bookmarkStart w:id="34" w:name="fig:reservoirs"/>
      <w:r>
        <w:drawing>
          <wp:inline>
            <wp:extent cx="2743200" cy="2374900"/>
            <wp:effectExtent b="0" l="0" r="0" t="0"/>
            <wp:docPr descr="Figure 1: Numbers of new reservoirs in each year. " title="" id="32" name="Picture"/>
            <a:graphic>
              <a:graphicData uri="http://schemas.openxmlformats.org/drawingml/2006/picture">
                <pic:pic>
                  <pic:nvPicPr>
                    <pic:cNvPr descr="sup/reservoirs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1:</w:t>
      </w:r>
      <w:r>
        <w:t xml:space="preserve"> </w:t>
      </w:r>
      <w:r>
        <w:t xml:space="preserve">Numbers of new reservoirs in each year.</w:t>
      </w:r>
      <w:r>
        <w:t xml:space="preserve"> </w:t>
      </w:r>
    </w:p>
    <w:p>
      <w:pPr>
        <w:pStyle w:val="CaptionedFigure"/>
      </w:pPr>
      <w:bookmarkStart w:id="38" w:name="fig:sensitivity"/>
      <w:r>
        <w:drawing>
          <wp:inline>
            <wp:extent cx="5486400" cy="3657600"/>
            <wp:effectExtent b="0" l="0" r="0" t="0"/>
            <wp:docPr descr="Figure 2: Sensitivity analysis of the threshold of p-values. A. number of breakpoints in different p-values, the scheme with two-breakpoints are the dominant situation. B. Threshold of p-values \alpha=0.0005. C. Threshold of p-values \alpha=0.05. " title="" id="36" name="Picture"/>
            <a:graphic>
              <a:graphicData uri="http://schemas.openxmlformats.org/drawingml/2006/picture">
                <pic:pic>
                  <pic:nvPicPr>
                    <pic:cNvPr descr="sup/sensitivity.pdf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2:</w:t>
      </w:r>
      <w:r>
        <w:t xml:space="preserve"> </w:t>
      </w:r>
      <w:r>
        <w:t xml:space="preserve">Sensitivity analysis of the threshold of p-values.</w:t>
      </w:r>
      <w:r>
        <w:t xml:space="preserve"> </w:t>
      </w:r>
      <w:r>
        <w:rPr>
          <w:bCs/>
          <w:b/>
        </w:rPr>
        <w:t xml:space="preserve">A.</w:t>
      </w:r>
      <w:r>
        <w:t xml:space="preserve"> </w:t>
      </w:r>
      <w:r>
        <w:t xml:space="preserve">number of breakpoints in different p-values, the scheme with two-breakpoints are the dominant situation.</w:t>
      </w:r>
      <w:r>
        <w:t xml:space="preserve"> </w:t>
      </w:r>
      <w:r>
        <w:rPr>
          <w:bCs/>
          <w:b/>
        </w:rPr>
        <w:t xml:space="preserve">B.</w:t>
      </w:r>
      <w:r>
        <w:t xml:space="preserve"> </w:t>
      </w:r>
      <w:r>
        <w:t xml:space="preserve">Threshold of p-values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0.0005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C.</w:t>
      </w:r>
      <w:r>
        <w:t xml:space="preserve"> </w:t>
      </w:r>
      <w:r>
        <w:t xml:space="preserve">Threshold of p-values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</w:p>
    <w:bookmarkEnd w:id="39"/>
    <w:bookmarkStart w:id="40" w:name="secA3"/>
    <w:p>
      <w:pPr>
        <w:pStyle w:val="1"/>
      </w:pPr>
      <w:r>
        <w:t xml:space="preserve">Datasets</w:t>
      </w:r>
    </w:p>
    <w:bookmarkEnd w:id="40"/>
    <w:sectPr w:rsidR="00E92316" w:rsidRPr="00C46EC0" w:rsidSect="00011435">
      <w:pgSz w:h="16840" w:w="11901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6C870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2C7CEE8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E44447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8365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4B8DED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D3CA60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97AA89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9F42D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0CAEC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60A75C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4D415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B288B11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8C645B"/>
    <w:pPr>
      <w:keepNext/>
      <w:keepLines/>
      <w:spacing w:after="0" w:before="480"/>
      <w:outlineLvl w:val="0"/>
    </w:pPr>
    <w:rPr>
      <w:rFonts w:ascii="Times New Roman" w:cs="Times New Roman" w:eastAsiaTheme="majorEastAsia" w:hAnsi="Times New Roman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8C645B"/>
    <w:pPr>
      <w:keepNext/>
      <w:keepLines/>
      <w:spacing w:after="0" w:before="200"/>
      <w:outlineLvl w:val="1"/>
    </w:pPr>
    <w:rPr>
      <w:rFonts w:ascii="Times New Roman" w:cs="Times New Roman" w:eastAsiaTheme="majorEastAsia" w:hAnsi="Times New Roman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8C645B"/>
    <w:pPr>
      <w:keepNext/>
      <w:keepLines/>
      <w:spacing w:after="0" w:before="200"/>
      <w:outlineLvl w:val="2"/>
    </w:pPr>
    <w:rPr>
      <w:rFonts w:ascii="Times New Roman" w:cs="Times New Roman" w:eastAsiaTheme="majorEastAsia" w:hAnsi="Times New Roman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8C645B"/>
    <w:pPr>
      <w:keepNext/>
      <w:keepLines/>
      <w:spacing w:after="0" w:before="200"/>
      <w:outlineLvl w:val="3"/>
    </w:pPr>
    <w:rPr>
      <w:rFonts w:ascii="Times New Roman" w:cs="Times New Roman" w:eastAsiaTheme="majorEastAsia" w:hAnsi="Times New Roman"/>
      <w:bCs/>
      <w:i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8C645B"/>
    <w:pPr>
      <w:keepNext/>
      <w:keepLines/>
      <w:spacing w:after="0" w:before="200"/>
      <w:outlineLvl w:val="4"/>
    </w:pPr>
    <w:rPr>
      <w:rFonts w:ascii="Times New Roman" w:cs="Times New Roman" w:eastAsiaTheme="majorEastAsia" w:hAnsi="Times New Roman"/>
      <w:iCs/>
      <w:color w:themeColor="text1" w:val="000000"/>
      <w:u w:val="single"/>
    </w:rPr>
  </w:style>
  <w:style w:styleId="6" w:type="paragraph">
    <w:name w:val="heading 6"/>
    <w:basedOn w:val="5"/>
    <w:next w:val="a0"/>
    <w:uiPriority w:val="9"/>
    <w:unhideWhenUsed/>
    <w:qFormat/>
    <w:rsid w:val="008C645B"/>
    <w:pPr>
      <w:outlineLvl w:val="5"/>
    </w:pPr>
  </w:style>
  <w:style w:styleId="7" w:type="paragraph">
    <w:name w:val="heading 7"/>
    <w:basedOn w:val="6"/>
    <w:next w:val="a0"/>
    <w:uiPriority w:val="9"/>
    <w:unhideWhenUsed/>
    <w:qFormat/>
    <w:rsid w:val="008C645B"/>
    <w:pPr>
      <w:outlineLvl w:val="6"/>
    </w:pPr>
  </w:style>
  <w:style w:styleId="8" w:type="paragraph">
    <w:name w:val="heading 8"/>
    <w:basedOn w:val="7"/>
    <w:next w:val="a0"/>
    <w:uiPriority w:val="9"/>
    <w:unhideWhenUsed/>
    <w:qFormat/>
    <w:rsid w:val="008C645B"/>
    <w:pPr>
      <w:outlineLvl w:val="7"/>
    </w:pPr>
  </w:style>
  <w:style w:styleId="9" w:type="paragraph">
    <w:name w:val="heading 9"/>
    <w:basedOn w:val="8"/>
    <w:next w:val="a0"/>
    <w:uiPriority w:val="9"/>
    <w:unhideWhenUsed/>
    <w:qFormat/>
    <w:rsid w:val="008C645B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8C645B"/>
    <w:pPr>
      <w:spacing w:after="120" w:before="120"/>
      <w:jc w:val="both"/>
    </w:pPr>
    <w:rPr>
      <w:rFonts w:ascii="Times New Roman" w:cs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8C645B"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8C645B"/>
    <w:pPr>
      <w:keepNext/>
      <w:keepLines/>
      <w:spacing w:after="240" w:before="480"/>
      <w:jc w:val="center"/>
    </w:pPr>
    <w:rPr>
      <w:rFonts w:ascii="Times New Roman" w:cs="Times New Roman" w:eastAsiaTheme="majorEastAsia" w:hAnsi="Times New Roman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rsid w:val="008C645B"/>
    <w:pPr>
      <w:spacing w:before="240"/>
    </w:pPr>
    <w:rPr>
      <w:b w:val="0"/>
      <w:sz w:val="30"/>
      <w:szCs w:val="30"/>
    </w:rPr>
  </w:style>
  <w:style w:customStyle="1" w:styleId="Author" w:type="paragraph">
    <w:name w:val="Author"/>
    <w:next w:val="a0"/>
    <w:qFormat/>
    <w:rsid w:val="008C645B"/>
    <w:pPr>
      <w:keepNext/>
      <w:keepLines/>
      <w:jc w:val="center"/>
    </w:pPr>
    <w:rPr>
      <w:rFonts w:ascii="Times New Roman" w:cs="Times New Roman" w:hAnsi="Times New Roman"/>
      <w:color w:themeColor="text1" w:val="000000"/>
    </w:rPr>
  </w:style>
  <w:style w:styleId="a7" w:type="paragraph">
    <w:name w:val="Date"/>
    <w:next w:val="a0"/>
    <w:qFormat/>
    <w:rsid w:val="008C645B"/>
    <w:pPr>
      <w:keepNext/>
      <w:keepLines/>
      <w:jc w:val="center"/>
    </w:pPr>
    <w:rPr>
      <w:rFonts w:ascii="Times New Roman" w:cs="Times New Roman" w:hAnsi="Times New Roman"/>
      <w:color w:themeColor="text1" w:val="000000"/>
    </w:rPr>
  </w:style>
  <w:style w:customStyle="1" w:styleId="Abstract" w:type="paragraph">
    <w:name w:val="Abstract"/>
    <w:basedOn w:val="a"/>
    <w:next w:val="a0"/>
    <w:qFormat/>
    <w:rsid w:val="008C645B"/>
    <w:pPr>
      <w:keepNext/>
      <w:keepLines/>
      <w:spacing w:after="300" w:before="300"/>
      <w:jc w:val="both"/>
    </w:pPr>
    <w:rPr>
      <w:rFonts w:ascii="Times New Roman" w:cs="Times New Roman" w:hAnsi="Times New Roman"/>
      <w:color w:themeColor="text1" w:val="000000"/>
      <w:sz w:val="22"/>
      <w:szCs w:val="22"/>
    </w:rPr>
  </w:style>
  <w:style w:styleId="a8" w:type="paragraph">
    <w:name w:val="Bibliography"/>
    <w:basedOn w:val="Definition"/>
    <w:qFormat/>
    <w:rsid w:val="008C645B"/>
    <w:pPr>
      <w:spacing w:after="120" w:before="120"/>
      <w:ind w:hanging="567" w:left="567"/>
    </w:pPr>
  </w:style>
  <w:style w:styleId="a9" w:type="paragraph">
    <w:name w:val="Block Text"/>
    <w:basedOn w:val="a0"/>
    <w:next w:val="a0"/>
    <w:uiPriority w:val="9"/>
    <w:unhideWhenUsed/>
    <w:qFormat/>
    <w:rsid w:val="008C645B"/>
    <w:pPr>
      <w:spacing w:after="80" w:before="80"/>
      <w:ind w:left="567" w:right="567"/>
    </w:pPr>
    <w:rPr>
      <w:rFonts w:cstheme="majorBidi" w:eastAsiaTheme="majorEastAsia"/>
      <w:bCs/>
      <w:sz w:val="22"/>
      <w:szCs w:val="22"/>
    </w:rPr>
  </w:style>
  <w:style w:styleId="aa" w:type="paragraph">
    <w:name w:val="footnote text"/>
    <w:basedOn w:val="a"/>
    <w:uiPriority w:val="9"/>
    <w:unhideWhenUsed/>
    <w:qFormat/>
    <w:rsid w:val="008C645B"/>
    <w:pPr>
      <w:spacing w:after="0"/>
    </w:pPr>
    <w:rPr>
      <w:rFonts w:ascii="Times New Roman" w:cs="Times New Roman" w:hAnsi="Times New Roman"/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8C645B"/>
    <w:pPr>
      <w:keepNext/>
      <w:keepLines/>
      <w:spacing w:after="0"/>
    </w:pPr>
    <w:rPr>
      <w:rFonts w:ascii="Times New Roman" w:cs="Times New Roman" w:hAnsi="Times New Roman"/>
      <w:b/>
      <w:color w:themeColor="text1" w:val="000000"/>
    </w:rPr>
  </w:style>
  <w:style w:customStyle="1" w:styleId="Definition" w:type="paragraph">
    <w:name w:val="Definition"/>
    <w:basedOn w:val="a"/>
    <w:rsid w:val="008C645B"/>
    <w:rPr>
      <w:rFonts w:ascii="Times New Roman" w:cs="Times New Roman" w:hAnsi="Times New Roman"/>
      <w:color w:themeColor="text1" w:val="000000"/>
    </w:rPr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8C645B"/>
    <w:pPr>
      <w:keepNext/>
    </w:pPr>
    <w:rPr>
      <w:rFonts w:ascii="Times New Roman" w:cs="Times New Roman" w:hAnsi="Times New Roman"/>
      <w:color w:themeColor="text1" w:val="000000"/>
    </w:rPr>
  </w:style>
  <w:style w:customStyle="1" w:styleId="ImageCaption" w:type="paragraph">
    <w:name w:val="Image Caption"/>
    <w:basedOn w:val="ab"/>
    <w:rsid w:val="008C645B"/>
    <w:rPr>
      <w:rFonts w:ascii="Times New Roman" w:cs="Times New Roman" w:hAnsi="Times New Roman"/>
      <w:color w:themeColor="text1" w:val="00000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8C645B"/>
    <w:rPr>
      <w:rFonts w:ascii="Courier New" w:cs="Courier New" w:hAnsi="Courier New"/>
      <w:sz w:val="22"/>
      <w:szCs w:val="22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9B6CF0"/>
    <w:rPr>
      <w:color w:themeColor="text2" w:themeTint="99" w:val="548DD4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8C645B"/>
    <w:rPr>
      <w:rFonts w:ascii="Times New Roman" w:cs="Times New Roman" w:hAnsi="Times New Roman"/>
      <w:color w:themeColor="text1" w:val="000000"/>
    </w:rPr>
  </w:style>
  <w:style w:styleId="af" w:type="paragraph">
    <w:name w:val="header"/>
    <w:basedOn w:val="a"/>
    <w:link w:val="af0"/>
    <w:unhideWhenUsed/>
    <w:rsid w:val="00AD4FA0"/>
    <w:pPr>
      <w:tabs>
        <w:tab w:pos="4513" w:val="center"/>
        <w:tab w:pos="9026" w:val="right"/>
      </w:tabs>
      <w:spacing w:after="0"/>
    </w:pPr>
  </w:style>
  <w:style w:customStyle="1" w:styleId="af0" w:type="character">
    <w:name w:val="页眉 字符"/>
    <w:basedOn w:val="a1"/>
    <w:link w:val="af"/>
    <w:rsid w:val="00AD4FA0"/>
  </w:style>
  <w:style w:styleId="af1" w:type="paragraph">
    <w:name w:val="footer"/>
    <w:basedOn w:val="a"/>
    <w:link w:val="af2"/>
    <w:unhideWhenUsed/>
    <w:rsid w:val="00AD4FA0"/>
    <w:pPr>
      <w:tabs>
        <w:tab w:pos="4513" w:val="center"/>
        <w:tab w:pos="9026" w:val="right"/>
      </w:tabs>
      <w:spacing w:after="0"/>
    </w:pPr>
  </w:style>
  <w:style w:customStyle="1" w:styleId="af2" w:type="character">
    <w:name w:val="页脚 字符"/>
    <w:basedOn w:val="a1"/>
    <w:link w:val="af1"/>
    <w:rsid w:val="00AD4FA0"/>
  </w:style>
  <w:style w:customStyle="1" w:styleId="SourceCode" w:type="paragraph">
    <w:name w:val="Source Code"/>
    <w:basedOn w:val="a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urier New" w:cs="Courier New" w:hAnsi="Courier New"/>
      <w:b/>
      <w:color w:val="007020"/>
      <w:sz w:val="22"/>
      <w:szCs w:val="22"/>
    </w:rPr>
  </w:style>
  <w:style w:customStyle="1" w:styleId="DataTypeTok" w:type="character">
    <w:name w:val="DataTypeTok"/>
    <w:basedOn w:val="VerbatimChar"/>
    <w:rPr>
      <w:rFonts w:ascii="Courier New" w:cs="Courier New" w:hAnsi="Courier New"/>
      <w:color w:val="902000"/>
      <w:sz w:val="22"/>
      <w:szCs w:val="22"/>
    </w:rPr>
  </w:style>
  <w:style w:customStyle="1" w:styleId="DecValTok" w:type="character">
    <w:name w:val="DecValTok"/>
    <w:basedOn w:val="VerbatimChar"/>
    <w:rPr>
      <w:rFonts w:ascii="Courier New" w:cs="Courier New" w:hAnsi="Courier New"/>
      <w:color w:val="40A070"/>
      <w:sz w:val="22"/>
      <w:szCs w:val="22"/>
    </w:rPr>
  </w:style>
  <w:style w:customStyle="1" w:styleId="BaseNTok" w:type="character">
    <w:name w:val="BaseNTok"/>
    <w:basedOn w:val="VerbatimChar"/>
    <w:rPr>
      <w:rFonts w:ascii="Courier New" w:cs="Courier New" w:hAnsi="Courier New"/>
      <w:color w:val="40A070"/>
      <w:sz w:val="22"/>
      <w:szCs w:val="22"/>
    </w:rPr>
  </w:style>
  <w:style w:customStyle="1" w:styleId="FloatTok" w:type="character">
    <w:name w:val="FloatTok"/>
    <w:basedOn w:val="VerbatimChar"/>
    <w:rPr>
      <w:rFonts w:ascii="Courier New" w:cs="Courier New" w:hAnsi="Courier New"/>
      <w:color w:val="40A070"/>
      <w:sz w:val="22"/>
      <w:szCs w:val="22"/>
    </w:rPr>
  </w:style>
  <w:style w:customStyle="1" w:styleId="ConstantTok" w:type="character">
    <w:name w:val="ConstantTok"/>
    <w:basedOn w:val="VerbatimChar"/>
    <w:rPr>
      <w:rFonts w:ascii="Courier New" w:cs="Courier New" w:hAnsi="Courier New"/>
      <w:color w:val="880000"/>
      <w:sz w:val="22"/>
      <w:szCs w:val="22"/>
    </w:rPr>
  </w:style>
  <w:style w:customStyle="1" w:styleId="CharTok" w:type="character">
    <w:name w:val="CharTok"/>
    <w:basedOn w:val="VerbatimChar"/>
    <w:rPr>
      <w:rFonts w:ascii="Courier New" w:cs="Courier New" w:hAnsi="Courier New"/>
      <w:color w:val="4070A0"/>
      <w:sz w:val="22"/>
      <w:szCs w:val="22"/>
    </w:rPr>
  </w:style>
  <w:style w:customStyle="1" w:styleId="SpecialCharTok" w:type="character">
    <w:name w:val="SpecialCharTok"/>
    <w:basedOn w:val="VerbatimChar"/>
    <w:rPr>
      <w:rFonts w:ascii="Courier New" w:cs="Courier New" w:hAnsi="Courier New"/>
      <w:color w:val="4070A0"/>
      <w:sz w:val="22"/>
      <w:szCs w:val="22"/>
    </w:rPr>
  </w:style>
  <w:style w:customStyle="1" w:styleId="StringTok" w:type="character">
    <w:name w:val="StringTok"/>
    <w:basedOn w:val="VerbatimChar"/>
    <w:rPr>
      <w:rFonts w:ascii="Courier New" w:cs="Courier New" w:hAnsi="Courier New"/>
      <w:color w:val="4070A0"/>
      <w:sz w:val="22"/>
      <w:szCs w:val="22"/>
    </w:rPr>
  </w:style>
  <w:style w:customStyle="1" w:styleId="VerbatimStringTok" w:type="character">
    <w:name w:val="VerbatimStringTok"/>
    <w:basedOn w:val="VerbatimChar"/>
    <w:rPr>
      <w:rFonts w:ascii="Courier New" w:cs="Courier New" w:hAnsi="Courier New"/>
      <w:color w:val="4070A0"/>
      <w:sz w:val="22"/>
      <w:szCs w:val="22"/>
    </w:rPr>
  </w:style>
  <w:style w:customStyle="1" w:styleId="SpecialStringTok" w:type="character">
    <w:name w:val="SpecialStringTok"/>
    <w:basedOn w:val="VerbatimChar"/>
    <w:rPr>
      <w:rFonts w:ascii="Courier New" w:cs="Courier New" w:hAnsi="Courier New"/>
      <w:color w:val="BB6688"/>
      <w:sz w:val="22"/>
      <w:szCs w:val="22"/>
    </w:rPr>
  </w:style>
  <w:style w:customStyle="1" w:styleId="ImportTok" w:type="character">
    <w:name w:val="ImportTok"/>
    <w:basedOn w:val="VerbatimChar"/>
    <w:rPr>
      <w:rFonts w:ascii="Courier New" w:cs="Courier New" w:hAnsi="Courier New"/>
      <w:sz w:val="22"/>
      <w:szCs w:val="22"/>
    </w:rPr>
  </w:style>
  <w:style w:customStyle="1" w:styleId="CommentTok" w:type="character">
    <w:name w:val="CommentTok"/>
    <w:basedOn w:val="VerbatimChar"/>
    <w:rPr>
      <w:rFonts w:ascii="Courier New" w:cs="Courier New" w:hAnsi="Courier New"/>
      <w:i/>
      <w:color w:val="60A0B0"/>
      <w:sz w:val="22"/>
      <w:szCs w:val="22"/>
    </w:rPr>
  </w:style>
  <w:style w:customStyle="1" w:styleId="DocumentationTok" w:type="character">
    <w:name w:val="DocumentationTok"/>
    <w:basedOn w:val="VerbatimChar"/>
    <w:rPr>
      <w:rFonts w:ascii="Courier New" w:cs="Courier New" w:hAnsi="Courier New"/>
      <w:i/>
      <w:color w:val="BA2121"/>
      <w:sz w:val="22"/>
      <w:szCs w:val="22"/>
    </w:rPr>
  </w:style>
  <w:style w:customStyle="1" w:styleId="AnnotationTok" w:type="character">
    <w:name w:val="AnnotationTok"/>
    <w:basedOn w:val="VerbatimChar"/>
    <w:rPr>
      <w:rFonts w:ascii="Courier New" w:cs="Courier New" w:hAnsi="Courier New"/>
      <w:b/>
      <w:i/>
      <w:color w:val="60A0B0"/>
      <w:sz w:val="22"/>
      <w:szCs w:val="22"/>
    </w:rPr>
  </w:style>
  <w:style w:customStyle="1" w:styleId="CommentVarTok" w:type="character">
    <w:name w:val="CommentVarTok"/>
    <w:basedOn w:val="VerbatimChar"/>
    <w:rPr>
      <w:rFonts w:ascii="Courier New" w:cs="Courier New" w:hAnsi="Courier New"/>
      <w:b/>
      <w:i/>
      <w:color w:val="60A0B0"/>
      <w:sz w:val="22"/>
      <w:szCs w:val="22"/>
    </w:rPr>
  </w:style>
  <w:style w:customStyle="1" w:styleId="OtherTok" w:type="character">
    <w:name w:val="OtherTok"/>
    <w:basedOn w:val="VerbatimChar"/>
    <w:rPr>
      <w:rFonts w:ascii="Courier New" w:cs="Courier New" w:hAnsi="Courier New"/>
      <w:color w:val="007020"/>
      <w:sz w:val="22"/>
      <w:szCs w:val="22"/>
    </w:rPr>
  </w:style>
  <w:style w:customStyle="1" w:styleId="FunctionTok" w:type="character">
    <w:name w:val="FunctionTok"/>
    <w:basedOn w:val="VerbatimChar"/>
    <w:rPr>
      <w:rFonts w:ascii="Courier New" w:cs="Courier New" w:hAnsi="Courier New"/>
      <w:color w:val="06287E"/>
      <w:sz w:val="22"/>
      <w:szCs w:val="22"/>
    </w:rPr>
  </w:style>
  <w:style w:customStyle="1" w:styleId="VariableTok" w:type="character">
    <w:name w:val="VariableTok"/>
    <w:basedOn w:val="VerbatimChar"/>
    <w:rPr>
      <w:rFonts w:ascii="Courier New" w:cs="Courier New" w:hAnsi="Courier New"/>
      <w:color w:val="19177C"/>
      <w:sz w:val="22"/>
      <w:szCs w:val="22"/>
    </w:rPr>
  </w:style>
  <w:style w:customStyle="1" w:styleId="ControlFlowTok" w:type="character">
    <w:name w:val="ControlFlowTok"/>
    <w:basedOn w:val="VerbatimChar"/>
    <w:rPr>
      <w:rFonts w:ascii="Courier New" w:cs="Courier New" w:hAnsi="Courier New"/>
      <w:b/>
      <w:color w:val="007020"/>
      <w:sz w:val="22"/>
      <w:szCs w:val="22"/>
    </w:rPr>
  </w:style>
  <w:style w:customStyle="1" w:styleId="OperatorTok" w:type="character">
    <w:name w:val="OperatorTok"/>
    <w:basedOn w:val="VerbatimChar"/>
    <w:rPr>
      <w:rFonts w:ascii="Courier New" w:cs="Courier New" w:hAnsi="Courier New"/>
      <w:color w:val="666666"/>
      <w:sz w:val="22"/>
      <w:szCs w:val="22"/>
    </w:rPr>
  </w:style>
  <w:style w:customStyle="1" w:styleId="BuiltInTok" w:type="character">
    <w:name w:val="BuiltInTok"/>
    <w:basedOn w:val="VerbatimChar"/>
    <w:rPr>
      <w:rFonts w:ascii="Courier New" w:cs="Courier New" w:hAnsi="Courier New"/>
      <w:sz w:val="22"/>
      <w:szCs w:val="22"/>
    </w:rPr>
  </w:style>
  <w:style w:customStyle="1" w:styleId="ExtensionTok" w:type="character">
    <w:name w:val="ExtensionTok"/>
    <w:basedOn w:val="VerbatimChar"/>
    <w:rPr>
      <w:rFonts w:ascii="Courier New" w:cs="Courier New" w:hAnsi="Courier New"/>
      <w:sz w:val="22"/>
      <w:szCs w:val="22"/>
    </w:rPr>
  </w:style>
  <w:style w:customStyle="1" w:styleId="PreprocessorTok" w:type="character">
    <w:name w:val="PreprocessorTok"/>
    <w:basedOn w:val="VerbatimChar"/>
    <w:rPr>
      <w:rFonts w:ascii="Courier New" w:cs="Courier New" w:hAnsi="Courier New"/>
      <w:color w:val="BC7A00"/>
      <w:sz w:val="22"/>
      <w:szCs w:val="22"/>
    </w:rPr>
  </w:style>
  <w:style w:customStyle="1" w:styleId="AttributeTok" w:type="character">
    <w:name w:val="AttributeTok"/>
    <w:basedOn w:val="VerbatimChar"/>
    <w:rPr>
      <w:rFonts w:ascii="Courier New" w:cs="Courier New" w:hAnsi="Courier New"/>
      <w:color w:val="7D9029"/>
      <w:sz w:val="22"/>
      <w:szCs w:val="22"/>
    </w:rPr>
  </w:style>
  <w:style w:customStyle="1" w:styleId="RegionMarkerTok" w:type="character">
    <w:name w:val="RegionMarkerTok"/>
    <w:basedOn w:val="VerbatimChar"/>
    <w:rPr>
      <w:rFonts w:ascii="Courier New" w:cs="Courier New" w:hAnsi="Courier New"/>
      <w:sz w:val="22"/>
      <w:szCs w:val="22"/>
    </w:rPr>
  </w:style>
  <w:style w:customStyle="1" w:styleId="InformationTok" w:type="character">
    <w:name w:val="InformationTok"/>
    <w:basedOn w:val="VerbatimChar"/>
    <w:rPr>
      <w:rFonts w:ascii="Courier New" w:cs="Courier New" w:hAnsi="Courier New"/>
      <w:b/>
      <w:i/>
      <w:color w:val="60A0B0"/>
      <w:sz w:val="22"/>
      <w:szCs w:val="22"/>
    </w:rPr>
  </w:style>
  <w:style w:customStyle="1" w:styleId="WarningTok" w:type="character">
    <w:name w:val="WarningTok"/>
    <w:basedOn w:val="VerbatimChar"/>
    <w:rPr>
      <w:rFonts w:ascii="Courier New" w:cs="Courier New" w:hAnsi="Courier New"/>
      <w:b/>
      <w:i/>
      <w:color w:val="60A0B0"/>
      <w:sz w:val="22"/>
      <w:szCs w:val="22"/>
    </w:rPr>
  </w:style>
  <w:style w:customStyle="1" w:styleId="AlertTok" w:type="character">
    <w:name w:val="AlertTok"/>
    <w:basedOn w:val="VerbatimChar"/>
    <w:rPr>
      <w:rFonts w:ascii="Courier New" w:cs="Courier New" w:hAnsi="Courier New"/>
      <w:b/>
      <w:color w:val="FF0000"/>
      <w:sz w:val="22"/>
      <w:szCs w:val="22"/>
    </w:rPr>
  </w:style>
  <w:style w:customStyle="1" w:styleId="ErrorTok" w:type="character">
    <w:name w:val="ErrorTok"/>
    <w:basedOn w:val="VerbatimChar"/>
    <w:rPr>
      <w:rFonts w:ascii="Courier New" w:cs="Courier New" w:hAnsi="Courier New"/>
      <w:b/>
      <w:color w:val="FF0000"/>
      <w:sz w:val="22"/>
      <w:szCs w:val="22"/>
    </w:rPr>
  </w:style>
  <w:style w:customStyle="1" w:styleId="NormalTok" w:type="character">
    <w:name w:val="NormalTok"/>
    <w:basedOn w:val="VerbatimChar"/>
    <w:rPr>
      <w:rFonts w:ascii="Courier New" w:cs="Courier New" w:hAnsi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df" /><Relationship Type="http://schemas.openxmlformats.org/officeDocument/2006/relationships/image" Id="rId35" Target="media/rId35.pdf" /><Relationship Type="http://schemas.openxmlformats.org/officeDocument/2006/relationships/hyperlink" Id="rId28" Target="https://www.biomedcentral.com/getpublished/editorial-policies" TargetMode="External" /><Relationship Type="http://schemas.openxmlformats.org/officeDocument/2006/relationships/hyperlink" Id="rId26" Target="https://www.nature.com/nature-research/editorial-policies" TargetMode="External" /><Relationship Type="http://schemas.openxmlformats.org/officeDocument/2006/relationships/hyperlink" Id="rId27" Target="https://www.nature.com/srep/journal-policies/editorial-policies" TargetMode="External" /><Relationship Type="http://schemas.openxmlformats.org/officeDocument/2006/relationships/hyperlink" Id="rId25" Target="https://www.springer.com/gp/editorial-poli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biomedcentral.com/getpublished/editorial-policies" TargetMode="External" /><Relationship Type="http://schemas.openxmlformats.org/officeDocument/2006/relationships/hyperlink" Id="rId26" Target="https://www.nature.com/nature-research/editorial-policies" TargetMode="External" /><Relationship Type="http://schemas.openxmlformats.org/officeDocument/2006/relationships/hyperlink" Id="rId27" Target="https://www.nature.com/srep/journal-policies/editorial-policies" TargetMode="External" /><Relationship Type="http://schemas.openxmlformats.org/officeDocument/2006/relationships/hyperlink" Id="rId25" Target="https://www.springer.com/gp/editorial-poli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regime transitions for water governance at a basin scale</dc:title>
  <dc:creator>; ; ; ; ; </dc:creator>
  <cp:keywords/>
  <dcterms:created xsi:type="dcterms:W3CDTF">2022-05-02T01:13:38Z</dcterms:created>
  <dcterms:modified xsi:type="dcterms:W3CDTF">2022-05-02T01:13:38Z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main/mybib.bib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isecHeaderDelim[n]t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sDepth">
    <vt:lpwstr>0</vt:lpwstr>
  </property>
  <property fmtid="{D5CDD505-2E9C-101B-9397-08002B2CF9AE}" pid="46" name="subfigGrid">
    <vt:lpwstr>False</vt:lpwstr>
  </property>
  <property fmtid="{D5CDD505-2E9C-101B-9397-08002B2CF9AE}" pid="47" name="subfigLabels">
    <vt:lpwstr>alpha a</vt:lpwstr>
  </property>
  <property fmtid="{D5CDD505-2E9C-101B-9397-08002B2CF9AE}" pid="48" name="subfigureChildTemplate">
    <vt:lpwstr>i</vt:lpwstr>
  </property>
  <property fmtid="{D5CDD505-2E9C-101B-9397-08002B2CF9AE}" pid="49" name="subfigureRefIndexTemplate">
    <vt:lpwstr>isuf (s)</vt:lpwstr>
  </property>
  <property fmtid="{D5CDD505-2E9C-101B-9397-08002B2CF9AE}" pid="50" name="subfigureTemplate">
    <vt:lpwstr>figureTitle ititleDelim t. ccs</vt:lpwstr>
  </property>
  <property fmtid="{D5CDD505-2E9C-101B-9397-08002B2CF9AE}" pid="51" name="tableEqns">
    <vt:lpwstr>False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Table</vt:lpwstr>
  </property>
  <property fmtid="{D5CDD505-2E9C-101B-9397-08002B2CF9AE}" pid="54" name="tblLabels">
    <vt:lpwstr>arabic</vt:lpwstr>
  </property>
  <property fmtid="{D5CDD505-2E9C-101B-9397-08002B2CF9AE}" pid="55" name="tblPrefix">
    <vt:lpwstr/>
  </property>
  <property fmtid="{D5CDD505-2E9C-101B-9397-08002B2CF9AE}" pid="56" name="tblPrefixTemplate">
    <vt:lpwstr>p i</vt:lpwstr>
  </property>
  <property fmtid="{D5CDD505-2E9C-101B-9397-08002B2CF9AE}" pid="57" name="titleDelim">
    <vt:lpwstr>:</vt:lpwstr>
  </property>
</Properties>
</file>