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y-doc"/>
      <w:r>
        <w:t xml:space="preserve">My doc</w:t>
      </w:r>
      <w:bookmarkEnd w:id="20"/>
    </w:p>
    <w:p>
      <w:pPr>
        <w:pStyle w:val="FirstParagraph"/>
      </w:pPr>
      <w:r>
        <w:t xml:space="preserve">Here, we constructed the Integrated Water Resources Utilization (IWRU) Index which consists of three dimensions and identified the changes periods of the index over time by change points detection. Each dimension is reflected by an independent indicator after normalization, and water utilization regime were characterized by combination of impacts of each dimension in periods. In addition, the contribution to changes of IWRU index along with each main indicators were decomposed and calculated separately for each regime (i.e. period).</w:t>
      </w:r>
    </w:p>
    <w:p>
      <w:pPr>
        <w:pStyle w:val="Heading2"/>
      </w:pPr>
      <w:bookmarkStart w:id="21" w:name="X9e43a97fb3aa180032f31ea1f3b08126cd82710"/>
      <w:r>
        <w:t xml:space="preserve">Integrated Water Resources Utilization (IWRU) Index</w:t>
      </w:r>
      <w:bookmarkEnd w:id="21"/>
    </w:p>
    <w:p>
      <w:pPr>
        <w:pStyle w:val="FirstParagraph"/>
      </w:pPr>
      <w:r>
        <w:t xml:space="preserve">Water resources utilization system is closely related to the social developments in three dimensions below (see</w:t>
      </w:r>
      <w:r>
        <w:t xml:space="preserve"> </w:t>
      </w:r>
      <w:r>
        <w:rPr>
          <w:i/>
        </w:rPr>
        <w:t xml:space="preserve">SI Appendix</w:t>
      </w:r>
      <w:r>
        <w:t xml:space="preserve"> </w:t>
      </w:r>
      <w:r>
        <w:t xml:space="preserve">Methods S4 for details):</w:t>
      </w:r>
    </w:p>
    <w:p>
      <w:pPr>
        <w:pStyle w:val="BodyText"/>
      </w:pPr>
      <w:r>
        <w:t xml:space="preserve">Social development is usually accompanied by a change of priority in water use towards social and economic systems because of higher returns:</w:t>
      </w:r>
    </w:p>
    <w:p>
      <w:pPr>
        <w:pStyle w:val="BodyText"/>
      </w:pPr>
      <m:oMathPara>
        <m:oMathParaPr>
          <m:jc m:val="center"/>
        </m:oMathParaPr>
        <m:oMath>
          <m:r>
            <m:t>D</m:t>
          </m:r>
          <m:r>
            <m:t>e</m:t>
          </m:r>
          <m:r>
            <m:t>v</m:t>
          </m:r>
          <m:r>
            <m:t>.</m:t>
          </m:r>
          <m:r>
            <m:t>∝</m:t>
          </m:r>
          <m:r>
            <m:t>P</m:t>
          </m:r>
        </m:oMath>
      </m:oMathPara>
    </w:p>
    <w:p>
      <w:pPr>
        <w:pStyle w:val="FirstParagraph"/>
      </w:pPr>
      <w:r>
        <w:t xml:space="preserve">Social development usually lead to more complex structure in configuration of water resources, which is a result of division and cooperation between regions and sectors for developing:</w:t>
      </w:r>
    </w:p>
    <w:p>
      <w:pPr>
        <w:pStyle w:val="BodyText"/>
      </w:pPr>
      <m:oMathPara>
        <m:oMathParaPr>
          <m:jc m:val="center"/>
        </m:oMathParaPr>
        <m:oMath>
          <m:r>
            <m:t>D</m:t>
          </m:r>
          <m:r>
            <m:t>e</m:t>
          </m:r>
          <m:r>
            <m:t>v</m:t>
          </m:r>
          <m:r>
            <m:t>∝</m:t>
          </m:r>
          <m:r>
            <m:t>C</m:t>
          </m:r>
        </m:oMath>
      </m:oMathPara>
    </w:p>
    <w:p>
      <w:pPr>
        <w:pStyle w:val="FirstParagraph"/>
      </w:pPr>
      <w:r>
        <w:t xml:space="preserve">Further social development can only be achieved by effectively alleviating the water resource stresses generated in the process of development through technological means:</w:t>
      </w:r>
    </w:p>
    <w:p>
      <w:pPr>
        <w:pStyle w:val="BodyText"/>
      </w:pPr>
      <m:oMathPara>
        <m:oMathParaPr>
          <m:jc m:val="center"/>
        </m:oMathParaPr>
        <m:oMath>
          <m:r>
            <m:t>D</m:t>
          </m:r>
          <m:r>
            <m:t>e</m:t>
          </m:r>
          <m:r>
            <m:t>v</m:t>
          </m:r>
          <m:r>
            <m:t>∝</m:t>
          </m:r>
          <m:sSup>
            <m:e>
              <m:r>
                <m:t>S</m:t>
              </m:r>
            </m:e>
            <m:sup>
              <m:r>
                <m:t>−</m:t>
              </m:r>
              <m:r>
                <m:t>1</m:t>
              </m:r>
            </m:sup>
          </m:sSup>
        </m:oMath>
      </m:oMathPara>
    </w:p>
    <w:p>
      <w:pPr>
        <w:pStyle w:val="FirstParagraph"/>
      </w:pPr>
      <w:r>
        <w:t xml:space="preserve">We combine the above three dimensions for an integrated index, remaining their positive or negative relationship with social development:</w:t>
      </w:r>
    </w:p>
    <w:p>
      <w:pPr>
        <w:pStyle w:val="BodyText"/>
      </w:pPr>
      <m:oMathPara>
        <m:oMathParaPr>
          <m:jc m:val="center"/>
        </m:oMathParaPr>
        <m:oMath>
          <m:r>
            <m:t>D</m:t>
          </m:r>
          <m:r>
            <m:t>e</m:t>
          </m:r>
          <m:r>
            <m:t>v</m:t>
          </m:r>
          <m:r>
            <m:t>.</m:t>
          </m:r>
          <m:r>
            <m:t>∝</m:t>
          </m:r>
          <m:r>
            <m:t>P</m:t>
          </m:r>
          <m:r>
            <m:t>*</m:t>
          </m:r>
          <m:r>
            <m:t>C</m:t>
          </m:r>
          <m:r>
            <m:t>*</m:t>
          </m:r>
          <m:sSup>
            <m:e>
              <m:r>
                <m:t>S</m:t>
              </m:r>
            </m:e>
            <m:sup>
              <m:r>
                <m:t>−</m:t>
              </m:r>
              <m:r>
                <m:t>1</m:t>
              </m:r>
            </m:sup>
          </m:sSup>
        </m:oMath>
      </m:oMathPara>
    </w:p>
    <w:p>
      <w:pPr>
        <w:pStyle w:val="FirstParagraph"/>
      </w:pPr>
      <w:r>
        <w:t xml:space="preserve">To effectively represent the three dimensions, we select an appropriate indicator (</w:t>
      </w:r>
      <m:oMath>
        <m:sSub>
          <m:e>
            <m:r>
              <m:t>I</m:t>
            </m:r>
          </m:e>
          <m:sub>
            <m:r>
              <m:t>x</m:t>
            </m:r>
          </m:sub>
        </m:sSub>
      </m:oMath>
      <w:r>
        <w:t xml:space="preserve">,</w:t>
      </w:r>
      <w:r>
        <w:t xml:space="preserve"> </w:t>
      </w:r>
      <m:oMath>
        <m:r>
          <m:t>x</m:t>
        </m:r>
        <m:r>
          <m:t>=</m:t>
        </m:r>
        <m:r>
          <m:t>P</m:t>
        </m:r>
      </m:oMath>
      <w:r>
        <w:t xml:space="preserve">,</w:t>
      </w:r>
      <w:r>
        <w:t xml:space="preserve"> </w:t>
      </w:r>
      <m:oMath>
        <m:r>
          <m:t>C</m:t>
        </m:r>
      </m:oMath>
      <w:r>
        <w:t xml:space="preserve"> </w:t>
      </w:r>
      <w:r>
        <w:t xml:space="preserve">or</w:t>
      </w:r>
      <w:r>
        <w:t xml:space="preserve"> </w:t>
      </w:r>
      <m:oMath>
        <m:r>
          <m:t>S</m:t>
        </m:r>
      </m:oMath>
      <w:r>
        <w:t xml:space="preserve"> </w:t>
      </w:r>
      <w:r>
        <w:t xml:space="preserve">corresponding to Priority, Configuration and Stress respectively) for each dimension. Then, the above equation is transformed into a natural logarithm to facilitate calculation:</w:t>
      </w:r>
    </w:p>
    <w:p>
      <w:pPr>
        <w:pStyle w:val="BodyText"/>
      </w:pPr>
      <m:oMathPara>
        <m:oMathParaPr>
          <m:jc m:val="center"/>
        </m:oMathParaPr>
        <m:oMath>
          <m:r>
            <m:t>D</m:t>
          </m:r>
          <m:r>
            <m:t>e</m:t>
          </m:r>
          <m:r>
            <m:t>v</m:t>
          </m:r>
          <m:r>
            <m:t>.</m:t>
          </m:r>
          <m:r>
            <m:t>∝</m:t>
          </m:r>
          <m:r>
            <m:t>l</m:t>
          </m:r>
          <m:r>
            <m:t>n</m:t>
          </m:r>
          <m:r>
            <m:t>(</m:t>
          </m:r>
          <m:sSub>
            <m:e>
              <m:r>
                <m:t>I</m:t>
              </m:r>
            </m:e>
            <m:sub>
              <m:r>
                <m:t>P</m:t>
              </m:r>
            </m:sub>
          </m:sSub>
          <m:r>
            <m:t>)</m:t>
          </m:r>
          <m:r>
            <m:t>+</m:t>
          </m:r>
          <m:r>
            <m:t>l</m:t>
          </m:r>
          <m:r>
            <m:t>n</m:t>
          </m:r>
          <m:r>
            <m:t>(</m:t>
          </m:r>
          <m:sSub>
            <m:e>
              <m:r>
                <m:t>I</m:t>
              </m:r>
            </m:e>
            <m:sub>
              <m:r>
                <m:t>C</m:t>
              </m:r>
            </m:sub>
          </m:sSub>
          <m:r>
            <m:t>)</m:t>
          </m:r>
          <m:r>
            <m:t>−</m:t>
          </m:r>
          <m:r>
            <m:t>l</m:t>
          </m:r>
          <m:r>
            <m:t>n</m:t>
          </m:r>
          <m:r>
            <m:t>(</m:t>
          </m:r>
          <m:sSub>
            <m:e>
              <m:r>
                <m:t>I</m:t>
              </m:r>
            </m:e>
            <m:sub>
              <m:r>
                <m:t>S</m:t>
              </m:r>
            </m:sub>
          </m:sSub>
          <m:r>
            <m:t>)</m:t>
          </m:r>
        </m:oMath>
      </m:oMathPara>
    </w:p>
    <w:p>
      <w:pPr>
        <w:pStyle w:val="FirstParagraph"/>
      </w:pPr>
      <w:r>
        <w:t xml:space="preserve">Assuming they have equal weights, the Integrated Water Resources Utilization (IWRU) Index:</w:t>
      </w:r>
    </w:p>
    <w:p>
      <w:pPr>
        <w:pStyle w:val="BodyText"/>
      </w:pPr>
      <m:oMathPara>
        <m:oMathParaPr>
          <m:jc m:val="center"/>
        </m:oMathParaPr>
        <m:oMath>
          <m:r>
            <m:t>I</m:t>
          </m:r>
          <m:r>
            <m:t>W</m:t>
          </m:r>
          <m:r>
            <m:t>R</m:t>
          </m:r>
          <m:r>
            <m:t>U</m:t>
          </m:r>
          <m:r>
            <m:t>=</m:t>
          </m:r>
          <m:r>
            <m:t>I</m:t>
          </m:r>
          <m:sSub>
            <m:e>
              <m:r>
                <m:t>′</m:t>
              </m:r>
            </m:e>
            <m:sub>
              <m:r>
                <m:t>T</m:t>
              </m:r>
            </m:sub>
          </m:sSub>
          <m:r>
            <m:t>+</m:t>
          </m:r>
          <m:r>
            <m:t>I</m:t>
          </m:r>
          <m:sSub>
            <m:e>
              <m:r>
                <m:t>′</m:t>
              </m:r>
            </m:e>
            <m:sub>
              <m:r>
                <m:t>P</m:t>
              </m:r>
            </m:sub>
          </m:sSub>
          <m:r>
            <m:t>−</m:t>
          </m:r>
          <m:r>
            <m:t>I</m:t>
          </m:r>
          <m:sSub>
            <m:e>
              <m:r>
                <m:t>′</m:t>
              </m:r>
            </m:e>
            <m:sub>
              <m:r>
                <m:t>S</m:t>
              </m:r>
            </m:sub>
          </m:sSub>
        </m:oMath>
      </m:oMathPara>
    </w:p>
    <w:p>
      <w:pPr>
        <w:pStyle w:val="FirstParagraph"/>
      </w:pPr>
      <w:r>
        <w:t xml:space="preserve">where</w:t>
      </w:r>
      <w:r>
        <w:t xml:space="preserve"> </w:t>
      </w:r>
      <m:oMath>
        <m:r>
          <m:t>I</m:t>
        </m:r>
        <m:sSub>
          <m:e>
            <m:r>
              <m:t>′</m:t>
            </m:r>
          </m:e>
          <m:sub>
            <m:r>
              <m:t>x</m:t>
            </m:r>
          </m:sub>
        </m:sSub>
      </m:oMath>
      <w:r>
        <w:t xml:space="preserve"> </w:t>
      </w:r>
      <w:r>
        <w:t xml:space="preserve">is a normalization of log-transformed indicator</w:t>
      </w:r>
      <w:r>
        <w:t xml:space="preserve"> </w:t>
      </w:r>
      <m:oMath>
        <m:sSub>
          <m:e>
            <m:r>
              <m:t>I</m:t>
            </m:r>
          </m:e>
          <m:sub>
            <m:r>
              <m:t>x</m:t>
            </m:r>
          </m:sub>
        </m:sSub>
      </m:oMath>
      <w:r>
        <w:t xml:space="preserve"> </w:t>
      </w:r>
      <w:r>
        <w:t xml:space="preserve">for a certain dimension:</w:t>
      </w:r>
    </w:p>
    <w:p>
      <w:pPr>
        <w:pStyle w:val="BodyText"/>
      </w:pPr>
      <m:oMathPara>
        <m:oMathParaPr>
          <m:jc m:val="center"/>
        </m:oMathParaPr>
        <m:oMath>
          <m:r>
            <m:t>I</m:t>
          </m:r>
          <m:sSub>
            <m:e>
              <m:r>
                <m:t>′</m:t>
              </m:r>
            </m:e>
            <m:sub>
              <m:r>
                <m:t>x</m:t>
              </m:r>
            </m:sub>
          </m:sSub>
          <m:r>
            <m:t>=</m:t>
          </m:r>
          <m:r>
            <m:t>n</m:t>
          </m:r>
          <m:r>
            <m:t>o</m:t>
          </m:r>
          <m:r>
            <m:t>r</m:t>
          </m:r>
          <m:r>
            <m:t>m</m:t>
          </m:r>
          <m:r>
            <m:t>a</m:t>
          </m:r>
          <m:r>
            <m:t>l</m:t>
          </m:r>
          <m:r>
            <m:t>i</m:t>
          </m:r>
          <m:r>
            <m:t>z</m:t>
          </m:r>
          <m:r>
            <m:t>e</m:t>
          </m:r>
          <m:r>
            <m:t>(</m:t>
          </m:r>
          <m:r>
            <m:t>l</m:t>
          </m:r>
          <m:r>
            <m:t>n</m:t>
          </m:r>
          <m:r>
            <m:t>(</m:t>
          </m:r>
          <m:sSub>
            <m:e>
              <m:r>
                <m:t>I</m:t>
              </m:r>
            </m:e>
            <m:sub>
              <m:r>
                <m:t>x</m:t>
              </m:r>
            </m:sub>
          </m:sSub>
          <m:r>
            <m:t>)</m:t>
          </m:r>
          <m:r>
            <m:t>)</m:t>
          </m:r>
        </m:oMath>
      </m:oMathPara>
    </w:p>
    <w:p>
      <w:pPr>
        <w:pStyle w:val="FirstParagraph"/>
      </w:pPr>
      <w:r>
        <w:t xml:space="preserve">In fact, we have tested different normalization methods and it makes no difference in change points detection (see</w:t>
      </w:r>
      <w:r>
        <w:t xml:space="preserve"> </w:t>
      </w:r>
      <w:r>
        <w:t xml:space="preserve"> </w:t>
      </w:r>
      <w:r>
        <w:t xml:space="preserve">Methods S5. Sensitivity analysis). In this study, finally, we performed min-max normalization as the formulation below:</w:t>
      </w:r>
    </w:p>
    <w:p>
      <w:pPr>
        <w:pStyle w:val="BodyText"/>
      </w:pPr>
      <m:oMathPara>
        <m:oMathParaPr>
          <m:jc m:val="center"/>
        </m:oMathParaPr>
        <m:oMath>
          <m:r>
            <m:t>n</m:t>
          </m:r>
          <m:r>
            <m:t>o</m:t>
          </m:r>
          <m:r>
            <m:t>r</m:t>
          </m:r>
          <m:r>
            <m:t>m</m:t>
          </m:r>
          <m:r>
            <m:t>a</m:t>
          </m:r>
          <m:r>
            <m:t>l</m:t>
          </m:r>
          <m:r>
            <m:t>i</m:t>
          </m:r>
          <m:r>
            <m:t>z</m:t>
          </m:r>
          <m:r>
            <m:t>e</m:t>
          </m:r>
          <m:r>
            <m:t>(</m:t>
          </m:r>
          <m:r>
            <m:t>X</m:t>
          </m:r>
          <m:r>
            <m:t>)</m:t>
          </m:r>
          <m:r>
            <m:t>=</m:t>
          </m:r>
          <m:r>
            <m:t>(</m:t>
          </m:r>
          <m:r>
            <m:t>X</m:t>
          </m:r>
          <m:r>
            <m:t>−</m:t>
          </m:r>
          <m:sSub>
            <m:e>
              <m:r>
                <m:t>X</m:t>
              </m:r>
            </m:e>
            <m:sub>
              <m:r>
                <m:t>m</m:t>
              </m:r>
              <m:r>
                <m:t>i</m:t>
              </m:r>
              <m:r>
                <m:t>n</m:t>
              </m:r>
            </m:sub>
          </m:sSub>
          <m:r>
            <m:t>)</m:t>
          </m:r>
          <m:r>
            <m:t>/</m:t>
          </m:r>
          <m:r>
            <m:t>(</m:t>
          </m:r>
          <m:sSub>
            <m:e>
              <m:r>
                <m:t>X</m:t>
              </m:r>
            </m:e>
            <m:sub>
              <m:r>
                <m:t>m</m:t>
              </m:r>
              <m:r>
                <m:t>a</m:t>
              </m:r>
              <m:r>
                <m:t>x</m:t>
              </m:r>
            </m:sub>
          </m:sSub>
          <m:r>
            <m:t>−</m:t>
          </m:r>
          <m:sSub>
            <m:e>
              <m:r>
                <m:t>X</m:t>
              </m:r>
            </m:e>
            <m:sub>
              <m:r>
                <m:t>m</m:t>
              </m:r>
              <m:r>
                <m:t>i</m:t>
              </m:r>
              <m:r>
                <m:t>n</m:t>
              </m:r>
            </m:sub>
          </m:sSub>
          <m:r>
            <m:t>)</m:t>
          </m:r>
        </m:oMath>
      </m:oMathPara>
    </w:p>
    <w:p>
      <w:pPr>
        <w:pStyle w:val="Heading2"/>
      </w:pPr>
      <w:bookmarkStart w:id="22" w:name="indicator-of-stress"/>
      <w:r>
        <w:t xml:space="preserve">Indicator of Stress</w:t>
      </w:r>
      <w:bookmarkEnd w:id="22"/>
    </w:p>
    <w:p>
      <w:pPr>
        <w:pStyle w:val="FirstParagraph"/>
      </w:pPr>
      <w:r>
        <w:t xml:space="preserve">We refer to the scarcity-flexibility-variability (SFV) water stress index proposed in Qin et al., 2019 to evaluate water stress (</w:t>
      </w:r>
      <m:oMath>
        <m:r>
          <m:t>S</m:t>
        </m:r>
        <m:r>
          <m:t>F</m:t>
        </m:r>
        <m:sSub>
          <m:e>
            <m:r>
              <m:t>V</m:t>
            </m:r>
          </m:e>
          <m:sub>
            <m:r>
              <m:t>i</m:t>
            </m:r>
          </m:sub>
        </m:sSub>
      </m:oMath>
      <w:r>
        <w:t xml:space="preserve">) as the indicator in a certain region</w:t>
      </w:r>
      <w:r>
        <w:t xml:space="preserve"> </w:t>
      </w:r>
      <m:oMath>
        <m:r>
          <m:t>i</m:t>
        </m:r>
      </m:oMath>
      <w:r>
        <w:t xml:space="preserve"> </w:t>
      </w:r>
      <w:r>
        <w:t xml:space="preserve">. This metric takes into account management measures (such as the construction of reservoirs) and the impact of changes in the industrial structure of water use on the evaluation of water scarcity (see</w:t>
      </w:r>
      <w:r>
        <w:t xml:space="preserve"> </w:t>
      </w:r>
      <w:r>
        <w:t xml:space="preserve"> </w:t>
      </w:r>
      <w:r>
        <w:t xml:space="preserve">Methods S4 for details). For the whole YRB, indicator of stress</w:t>
      </w:r>
      <w:r>
        <w:t xml:space="preserve"> </w:t>
      </w:r>
      <m:oMath>
        <m:sSub>
          <m:e>
            <m:r>
              <m:t>I</m:t>
            </m:r>
          </m:e>
          <m:sub>
            <m:r>
              <m:t>S</m:t>
            </m:r>
          </m:sub>
        </m:sSub>
      </m:oMath>
      <w:r>
        <w:t xml:space="preserve"> </w:t>
      </w:r>
      <w:r>
        <w:t xml:space="preserve">is the average stress of all regions’ SFV-index:</w:t>
      </w:r>
    </w:p>
    <w:p>
      <w:pPr>
        <w:pStyle w:val="BodyText"/>
      </w:pPr>
      <m:oMathPara>
        <m:oMathParaPr>
          <m:jc m:val="center"/>
        </m:oMathParaPr>
        <m:oMath>
          <m:sSub>
            <m:e>
              <m:r>
                <m:t>I</m:t>
              </m:r>
            </m:e>
            <m:sub>
              <m:r>
                <m:t>S</m:t>
              </m:r>
            </m:sub>
          </m:sSub>
          <m:r>
            <m:t>=</m:t>
          </m:r>
          <m:f>
            <m:fPr>
              <m:type m:val="bar"/>
            </m:fPr>
            <m:num>
              <m:r>
                <m:t>1</m:t>
              </m:r>
            </m:num>
            <m:den>
              <m:r>
                <m:t>4</m:t>
              </m:r>
            </m:den>
          </m:f>
          <m:r>
            <m:t>*</m:t>
          </m:r>
          <m:nary>
            <m:naryPr>
              <m:chr m:val="∑"/>
              <m:limLoc m:val="undOvr"/>
              <m:subHide m:val="0"/>
              <m:supHide m:val="0"/>
            </m:naryPr>
            <m:sub>
              <m:r>
                <m:t>i</m:t>
              </m:r>
              <m:r>
                <m:t>=</m:t>
              </m:r>
              <m:r>
                <m:t>1</m:t>
              </m:r>
            </m:sub>
            <m:sup>
              <m:r>
                <m:t>4</m:t>
              </m:r>
            </m:sup>
            <m:e>
              <m:r>
                <m:t>S</m:t>
              </m:r>
            </m:e>
          </m:nary>
          <m:r>
            <m:t>F</m:t>
          </m:r>
          <m:sSub>
            <m:e>
              <m:r>
                <m:t>V</m:t>
              </m:r>
            </m:e>
            <m:sub>
              <m:r>
                <m:t>i</m:t>
              </m:r>
            </m:sub>
          </m:sSub>
        </m:oMath>
      </m:oMathPara>
    </w:p>
    <w:p>
      <w:pPr>
        <w:pStyle w:val="FirstParagraph"/>
      </w:pPr>
      <w:r>
        <w:t xml:space="preserve">Where</w:t>
      </w:r>
      <w:r>
        <w:t xml:space="preserve"> </w:t>
      </w:r>
      <m:oMath>
        <m:r>
          <m:t>S</m:t>
        </m:r>
        <m:r>
          <m:t>F</m:t>
        </m:r>
        <m:sSub>
          <m:e>
            <m:r>
              <m:t>V</m:t>
            </m:r>
          </m:e>
          <m:sub>
            <m:r>
              <m:t>i</m:t>
            </m:r>
          </m:sub>
        </m:sSub>
      </m:oMath>
      <w:r>
        <w:t xml:space="preserve"> </w:t>
      </w:r>
      <w:r>
        <w:t xml:space="preserve">is the SFV-index for region</w:t>
      </w:r>
      <w:r>
        <w:t xml:space="preserve"> </w:t>
      </w:r>
      <m:oMath>
        <m:r>
          <m:t>i</m:t>
        </m:r>
      </m:oMath>
      <w:r>
        <w:t xml:space="preserve">, and</w:t>
      </w:r>
      <w:r>
        <w:t xml:space="preserve"> </w:t>
      </w:r>
      <m:oMath>
        <m:r>
          <m:t>i</m:t>
        </m:r>
        <m:r>
          <m:t>=</m:t>
        </m:r>
        <m:r>
          <m:t>1</m:t>
        </m:r>
      </m:oMath>
      <w:r>
        <w:t xml:space="preserve"> </w:t>
      </w:r>
      <w:r>
        <w:t xml:space="preserve">to</w:t>
      </w:r>
      <w:r>
        <w:t xml:space="preserve"> </w:t>
      </w:r>
      <m:oMath>
        <m:r>
          <m:t>4</m:t>
        </m:r>
      </m:oMath>
      <w:r>
        <w:t xml:space="preserve"> </w:t>
      </w:r>
      <w:r>
        <w:t xml:space="preserve">refers SR, UR, MR, and DR (see</w:t>
      </w:r>
      <w:r>
        <w:t xml:space="preserve"> </w:t>
      </w:r>
      <w:r>
        <w:t xml:space="preserve"> </w:t>
      </w:r>
      <w:r>
        <w:t xml:space="preserve">Methods S1 Definition of study area).</w:t>
      </w:r>
    </w:p>
    <w:p>
      <w:pPr>
        <w:pStyle w:val="Heading2"/>
      </w:pPr>
      <w:bookmarkStart w:id="23" w:name="indicator-of-priority"/>
      <w:r>
        <w:t xml:space="preserve">Indicator of priority</w:t>
      </w:r>
      <w:bookmarkEnd w:id="23"/>
    </w:p>
    <w:p>
      <w:pPr>
        <w:pStyle w:val="FirstParagraph"/>
      </w:pPr>
      <w:r>
        <w:t xml:space="preserve">To priority</w:t>
      </w:r>
      <w:r>
        <w:t xml:space="preserve"> </w:t>
      </w:r>
      <m:oMath>
        <m:sSub>
          <m:e>
            <m:r>
              <m:t>I</m:t>
            </m:r>
          </m:e>
          <m:sub>
            <m:r>
              <m:t>P</m:t>
            </m:r>
          </m:sub>
        </m:sSub>
      </m:oMath>
      <w:r>
        <w:t xml:space="preserve">, we use Non-Provisioning Shares (NPS) of water use as an indicator. While provisional water use (</w:t>
      </w:r>
      <m:oMath>
        <m:r>
          <m:t>W</m:t>
        </m:r>
        <m:sSub>
          <m:e>
            <m:r>
              <m:t>U</m:t>
            </m:r>
          </m:e>
          <m:sub>
            <m:r>
              <m:t>p</m:t>
            </m:r>
            <m:r>
              <m:t>r</m:t>
            </m:r>
            <m:r>
              <m:t>o</m:t>
            </m:r>
          </m:sub>
        </m:sSub>
      </m:oMath>
      <w:r>
        <w:t xml:space="preserve">) includes domestic, irrigated and livestock water uses, the non-provisioning water use (</w:t>
      </w:r>
      <m:oMath>
        <m:r>
          <m:t>W</m:t>
        </m:r>
        <m:sSub>
          <m:e>
            <m:r>
              <m:t>U</m:t>
            </m:r>
          </m:e>
          <m:sub>
            <m:r>
              <m:t>n</m:t>
            </m:r>
            <m:r>
              <m:t>o</m:t>
            </m:r>
            <m:r>
              <m:t>n</m:t>
            </m:r>
            <m:r>
              <m:t>−</m:t>
            </m:r>
            <m:r>
              <m:t>p</m:t>
            </m:r>
            <m:r>
              <m:t>r</m:t>
            </m:r>
            <m:r>
              <m:t>o</m:t>
            </m:r>
          </m:sub>
        </m:sSub>
      </m:oMath>
      <w:r>
        <w:t xml:space="preserve">) includes industrial and urban services water uses. Then, we can calculate the non-provisioning shares by:</w:t>
      </w:r>
    </w:p>
    <w:p>
      <w:pPr>
        <w:pStyle w:val="BodyText"/>
      </w:pPr>
      <m:oMathPara>
        <m:oMathParaPr>
          <m:jc m:val="center"/>
        </m:oMathParaPr>
        <m:oMath>
          <m:r>
            <m:t>N</m:t>
          </m:r>
          <m:r>
            <m:t>P</m:t>
          </m:r>
          <m:sSub>
            <m:e>
              <m:r>
                <m:t>S</m:t>
              </m:r>
            </m:e>
            <m:sub>
              <m:r>
                <m:t>i</m:t>
              </m:r>
            </m:sub>
          </m:sSub>
          <m:r>
            <m:t>=</m:t>
          </m:r>
          <m:f>
            <m:fPr>
              <m:type m:val="bar"/>
            </m:fPr>
            <m:num>
              <m:r>
                <m:t>W</m:t>
              </m:r>
              <m:sSub>
                <m:e>
                  <m:r>
                    <m:t>U</m:t>
                  </m:r>
                </m:e>
                <m:sub>
                  <m:r>
                    <m:t>n</m:t>
                  </m:r>
                  <m:r>
                    <m:t>o</m:t>
                  </m:r>
                  <m:r>
                    <m:t>n</m:t>
                  </m:r>
                  <m:r>
                    <m:t>−</m:t>
                  </m:r>
                  <m:r>
                    <m:t>p</m:t>
                  </m:r>
                  <m:r>
                    <m:t>r</m:t>
                  </m:r>
                  <m:r>
                    <m:t>o</m:t>
                  </m:r>
                  <m:r>
                    <m:t>,</m:t>
                  </m:r>
                  <m:r>
                    <m:t>i</m:t>
                  </m:r>
                </m:sub>
              </m:sSub>
            </m:num>
            <m:den>
              <m:r>
                <m:t>W</m:t>
              </m:r>
              <m:sSub>
                <m:e>
                  <m:r>
                    <m:t>U</m:t>
                  </m:r>
                </m:e>
                <m:sub>
                  <m:r>
                    <m:t>p</m:t>
                  </m:r>
                  <m:r>
                    <m:t>r</m:t>
                  </m:r>
                  <m:r>
                    <m:t>o</m:t>
                  </m:r>
                  <m:r>
                    <m:t>,</m:t>
                  </m:r>
                  <m:r>
                    <m:t>i</m:t>
                  </m:r>
                </m:sub>
              </m:sSub>
              <m:r>
                <m:t>+</m:t>
              </m:r>
              <m:r>
                <m:t>W</m:t>
              </m:r>
              <m:sSub>
                <m:e>
                  <m:r>
                    <m:t>U</m:t>
                  </m:r>
                </m:e>
                <m:sub>
                  <m:r>
                    <m:t>n</m:t>
                  </m:r>
                  <m:r>
                    <m:t>o</m:t>
                  </m:r>
                  <m:r>
                    <m:t>n</m:t>
                  </m:r>
                  <m:r>
                    <m:t>−</m:t>
                  </m:r>
                  <m:r>
                    <m:t>p</m:t>
                  </m:r>
                  <m:r>
                    <m:t>r</m:t>
                  </m:r>
                  <m:r>
                    <m:t>o</m:t>
                  </m:r>
                  <m:r>
                    <m:t>,</m:t>
                  </m:r>
                  <m:r>
                    <m:t>i</m:t>
                  </m:r>
                </m:sub>
              </m:sSub>
            </m:den>
          </m:f>
        </m:oMath>
      </m:oMathPara>
    </w:p>
    <w:p>
      <w:pPr>
        <w:pStyle w:val="FirstParagraph"/>
      </w:pPr>
      <w:r>
        <w:t xml:space="preserve">Where</w:t>
      </w:r>
      <w:r>
        <w:t xml:space="preserve"> </w:t>
      </w:r>
      <m:oMath>
        <m:r>
          <m:t>i</m:t>
        </m:r>
      </m:oMath>
      <w:r>
        <w:t xml:space="preserve"> </w:t>
      </w:r>
      <w:r>
        <w:t xml:space="preserve">refers a certain region, or the whole basin, i.e:</w:t>
      </w:r>
    </w:p>
    <w:p>
      <w:pPr>
        <w:pStyle w:val="BodyText"/>
      </w:pPr>
      <m:oMathPara>
        <m:oMathParaPr>
          <m:jc m:val="center"/>
        </m:oMathParaPr>
        <m:oMath>
          <m:sSub>
            <m:e>
              <m:r>
                <m:t>I</m:t>
              </m:r>
            </m:e>
            <m:sub>
              <m:r>
                <m:t>P</m:t>
              </m:r>
            </m:sub>
          </m:sSub>
          <m:r>
            <m:t>=</m:t>
          </m:r>
          <m:r>
            <m:t>N</m:t>
          </m:r>
          <m:r>
            <m:t>P</m:t>
          </m:r>
          <m:sSub>
            <m:e>
              <m:r>
                <m:t>S</m:t>
              </m:r>
            </m:e>
            <m:sub>
              <m:r>
                <m:t>b</m:t>
              </m:r>
              <m:r>
                <m:t>a</m:t>
              </m:r>
              <m:r>
                <m:t>s</m:t>
              </m:r>
              <m:r>
                <m:t>i</m:t>
              </m:r>
              <m:r>
                <m:t>n</m:t>
              </m:r>
            </m:sub>
          </m:sSub>
        </m:oMath>
      </m:oMathPara>
    </w:p>
    <w:p>
      <w:pPr>
        <w:pStyle w:val="FirstParagraph"/>
      </w:pPr>
      <w:r>
        <w:t xml:space="preserve">Indicator of configurations</w:t>
      </w:r>
    </w:p>
    <w:p>
      <w:pPr>
        <w:pStyle w:val="BodyText"/>
      </w:pPr>
      <w:r>
        <w:t xml:space="preserve">To description of configurations</w:t>
      </w:r>
      <w:r>
        <w:t xml:space="preserve"> </w:t>
      </w:r>
      <m:oMath>
        <m:sSub>
          <m:e>
            <m:r>
              <m:t>I</m:t>
            </m:r>
          </m:e>
          <m:sub>
            <m:r>
              <m:t>C</m:t>
            </m:r>
          </m:sub>
        </m:sSub>
      </m:oMath>
      <w:r>
        <w:t xml:space="preserve">, we designed an indicator by imitation of information entropy, called Configuration Entropy Metric (CEM), a metric to measure the degree of evenness of water configuration (see</w:t>
      </w:r>
      <w:r>
        <w:t xml:space="preserve"> </w:t>
      </w:r>
      <w:r>
        <w:t xml:space="preserve"> </w:t>
      </w:r>
      <w:r>
        <w:t xml:space="preserve">Methods S4).</w:t>
      </w:r>
      <w:r>
        <w:t xml:space="preserve"> </w:t>
      </w:r>
      <w:r>
        <w:t xml:space="preserve">While our indicator</w:t>
      </w:r>
      <w:r>
        <w:t xml:space="preserve"> </w:t>
      </w:r>
      <m:oMath>
        <m:sSub>
          <m:e>
            <m:r>
              <m:t>I</m:t>
            </m:r>
          </m:e>
          <m:sub>
            <m:r>
              <m:t>C</m:t>
            </m:r>
          </m:sub>
        </m:sSub>
      </m:oMath>
      <w:r>
        <w:t xml:space="preserve"> </w:t>
      </w:r>
      <w:r>
        <w:t xml:space="preserve">should reflect that with the development of society, water resources configuration is more balanced among regions and generally meets the needs of different sectors (means smaller gaps, too), but different regions have a trend of division of labour among various sectors (with larger gaps):</w:t>
      </w:r>
    </w:p>
    <w:p>
      <w:pPr>
        <w:pStyle w:val="BodyText"/>
      </w:pPr>
      <m:oMathPara>
        <m:oMathParaPr>
          <m:jc m:val="center"/>
        </m:oMathParaPr>
        <m:oMath>
          <m:sSub>
            <m:e>
              <m:r>
                <m:t>I</m:t>
              </m:r>
            </m:e>
            <m:sub>
              <m:r>
                <m:t>C</m:t>
              </m:r>
            </m:sub>
          </m:sSub>
          <m:r>
            <m:t>=</m:t>
          </m:r>
          <m:f>
            <m:fPr>
              <m:type m:val="bar"/>
            </m:fPr>
            <m:num>
              <m:r>
                <m:t>C</m:t>
              </m:r>
              <m:r>
                <m:t>E</m:t>
              </m:r>
              <m:sSub>
                <m:e>
                  <m:r>
                    <m:t>M</m:t>
                  </m:r>
                </m:e>
                <m:sub>
                  <m:r>
                    <m:t>r</m:t>
                  </m:r>
                </m:sub>
              </m:sSub>
              <m:r>
                <m:t>*</m:t>
              </m:r>
              <m:r>
                <m:t>C</m:t>
              </m:r>
              <m:r>
                <m:t>E</m:t>
              </m:r>
              <m:sSub>
                <m:e>
                  <m:r>
                    <m:t>M</m:t>
                  </m:r>
                </m:e>
                <m:sub>
                  <m:r>
                    <m:t>s</m:t>
                  </m:r>
                </m:sub>
              </m:sSub>
            </m:num>
            <m:den>
              <m:r>
                <m:t>C</m:t>
              </m:r>
              <m:r>
                <m:t>E</m:t>
              </m:r>
              <m:sSub>
                <m:e>
                  <m:r>
                    <m:t>M</m:t>
                  </m:r>
                </m:e>
                <m:sub>
                  <m:r>
                    <m:t>r</m:t>
                  </m:r>
                  <m:r>
                    <m:t>s</m:t>
                  </m:r>
                </m:sub>
              </m:sSub>
            </m:den>
          </m:f>
        </m:oMath>
      </m:oMathPara>
    </w:p>
    <w:p>
      <w:pPr>
        <w:pStyle w:val="FirstParagraph"/>
      </w:pPr>
      <w:r>
        <w:t xml:space="preserve">where</w:t>
      </w:r>
      <w:r>
        <w:t xml:space="preserve"> </w:t>
      </w:r>
      <m:oMath>
        <m:r>
          <m:t>C</m:t>
        </m:r>
        <m:r>
          <m:t>E</m:t>
        </m:r>
        <m:sSub>
          <m:e>
            <m:r>
              <m:t>N</m:t>
            </m:r>
          </m:e>
          <m:sub>
            <m:r>
              <m:t>r</m:t>
            </m:r>
          </m:sub>
        </m:sSub>
      </m:oMath>
      <w:r>
        <w:t xml:space="preserve"> </w:t>
      </w:r>
      <w:r>
        <w:t xml:space="preserve">and</w:t>
      </w:r>
      <w:r>
        <w:t xml:space="preserve"> </w:t>
      </w:r>
      <m:oMath>
        <m:r>
          <m:t>C</m:t>
        </m:r>
        <m:r>
          <m:t>E</m:t>
        </m:r>
        <m:sSub>
          <m:e>
            <m:r>
              <m:t>N</m:t>
            </m:r>
          </m:e>
          <m:sub>
            <m:r>
              <m:t>s</m:t>
            </m:r>
          </m:sub>
        </m:sSub>
      </m:oMath>
      <w:r>
        <w:t xml:space="preserve"> </w:t>
      </w:r>
      <w:r>
        <w:t xml:space="preserve">are Configuration Entropy Metric in different regions and different sectors.</w:t>
      </w:r>
      <w:r>
        <w:t xml:space="preserve"> </w:t>
      </w:r>
      <m:oMath>
        <m:r>
          <m:t>C</m:t>
        </m:r>
        <m:r>
          <m:t>E</m:t>
        </m:r>
        <m:sSub>
          <m:e>
            <m:r>
              <m:t>N</m:t>
            </m:r>
          </m:e>
          <m:sub>
            <m:r>
              <m:t>r</m:t>
            </m:r>
            <m:r>
              <m:t>s</m:t>
            </m:r>
          </m:sub>
        </m:sSub>
      </m:oMath>
      <w:r>
        <w:t xml:space="preserve"> </w:t>
      </w:r>
      <w:r>
        <w:t xml:space="preserve">is differences between sectors in a certain region to the whole basin (see</w:t>
      </w:r>
      <w:r>
        <w:t xml:space="preserve"> </w:t>
      </w:r>
      <w:r>
        <w:t xml:space="preserve"> </w:t>
      </w:r>
      <w:r>
        <w:t xml:space="preserve">Methods S4).</w:t>
      </w:r>
    </w:p>
    <w:p>
      <w:pPr>
        <w:pStyle w:val="Heading2"/>
      </w:pPr>
      <w:bookmarkStart w:id="24" w:name="change-points-detection"/>
      <w:r>
        <w:t xml:space="preserve">Change points detection</w:t>
      </w:r>
      <w:bookmarkEnd w:id="24"/>
    </w:p>
    <w:p>
      <w:pPr>
        <w:pStyle w:val="FirstParagraph"/>
      </w:pPr>
      <w:r>
        <w:t xml:space="preserve">With no assumptions about the distribution of the data, the Pettitt (1979) approach of changing points detection is commonly applied to detect a single change-point in hydrological series with continuous data</w:t>
      </w:r>
      <w:r>
        <w:t xml:space="preserve"> </w:t>
      </w:r>
      <w:r>
        <w:t xml:space="preserve">. It tests the</w:t>
      </w:r>
      <w:r>
        <w:t xml:space="preserve"> </w:t>
      </w:r>
      <m:oMath>
        <m:r>
          <m:t>H</m:t>
        </m:r>
        <m:r>
          <m:t>0</m:t>
        </m:r>
      </m:oMath>
      <w:r>
        <w:t xml:space="preserve">: The variables follow one or more distributions that have the same location parameter (no change), against the alternative: a change point exists. The non-parametric statistic is defined as:</w:t>
      </w:r>
    </w:p>
    <w:p>
      <w:pPr>
        <w:pStyle w:val="BodyText"/>
      </w:pPr>
      <m:oMathPara>
        <m:oMathParaPr>
          <m:jc m:val="center"/>
        </m:oMathParaPr>
        <m:oMath>
          <m:sSub>
            <m:e>
              <m:r>
                <m:t>K</m:t>
              </m:r>
            </m:e>
            <m:sub>
              <m:r>
                <m:t>t</m:t>
              </m:r>
            </m:sub>
          </m:sSub>
          <m:r>
            <m:t>=</m:t>
          </m:r>
          <m:r>
            <m:t>m</m:t>
          </m:r>
          <m:r>
            <m:t>a</m:t>
          </m:r>
          <m:r>
            <m:t>x</m:t>
          </m:r>
          <m:r>
            <m:t>|</m:t>
          </m:r>
          <m:sSub>
            <m:e>
              <m:r>
                <m:t>U</m:t>
              </m:r>
            </m:e>
            <m:sub>
              <m:r>
                <m:t>t</m:t>
              </m:r>
              <m:r>
                <m:t>,</m:t>
              </m:r>
              <m:r>
                <m:t>T</m:t>
              </m:r>
            </m:sub>
          </m:sSub>
          <m:r>
            <m:t>|</m:t>
          </m:r>
        </m:oMath>
      </m:oMathPara>
    </w:p>
    <w:p>
      <w:pPr>
        <w:pStyle w:val="FirstParagraph"/>
      </w:pPr>
      <w:r>
        <w:t xml:space="preserve">Where:</w:t>
      </w:r>
    </w:p>
    <w:p>
      <w:pPr>
        <w:pStyle w:val="BodyText"/>
      </w:pPr>
      <m:oMathPara>
        <m:oMathParaPr>
          <m:jc m:val="center"/>
        </m:oMathParaPr>
        <m:oMath>
          <m:sSub>
            <m:e>
              <m:r>
                <m:t>U</m:t>
              </m:r>
            </m:e>
            <m:sub>
              <m:r>
                <m:t>t</m:t>
              </m:r>
              <m:r>
                <m:t>,</m:t>
              </m:r>
              <m:r>
                <m:t>T</m:t>
              </m:r>
            </m:sub>
          </m:sSub>
          <m:r>
            <m:t>=</m:t>
          </m:r>
          <m:nary>
            <m:naryPr>
              <m:chr m:val="∑"/>
              <m:limLoc m:val="undOvr"/>
              <m:subHide m:val="0"/>
              <m:supHide m:val="0"/>
            </m:naryPr>
            <m:sub>
              <m:r>
                <m:t>i</m:t>
              </m:r>
              <m:r>
                <m:t>=</m:t>
              </m:r>
              <m:r>
                <m:t>1</m:t>
              </m:r>
            </m:sub>
            <m:sup>
              <m:r>
                <m:t>t</m:t>
              </m:r>
            </m:sup>
            <m:e>
              <m:nary>
                <m:naryPr>
                  <m:chr m:val="∑"/>
                  <m:limLoc m:val="undOvr"/>
                  <m:subHide m:val="0"/>
                  <m:supHide m:val="0"/>
                </m:naryPr>
                <m:sub>
                  <m:r>
                    <m:t>j</m:t>
                  </m:r>
                  <m:r>
                    <m:t>=</m:t>
                  </m:r>
                  <m:r>
                    <m:t>t</m:t>
                  </m:r>
                  <m:r>
                    <m:t>+</m:t>
                  </m:r>
                  <m:r>
                    <m:t>1</m:t>
                  </m:r>
                </m:sub>
                <m:sup>
                  <m:r>
                    <m:t>T</m:t>
                  </m:r>
                </m:sup>
                <m:e>
                  <m:r>
                    <m:t>s</m:t>
                  </m:r>
                </m:e>
              </m:nary>
            </m:e>
          </m:nary>
          <m:r>
            <m:t>g</m:t>
          </m:r>
          <m:r>
            <m:t>n</m:t>
          </m:r>
          <m:r>
            <m:t>(</m:t>
          </m:r>
          <m:sSub>
            <m:e>
              <m:r>
                <m:t>X</m:t>
              </m:r>
            </m:e>
            <m:sub>
              <m:r>
                <m:t>i</m:t>
              </m:r>
            </m:sub>
          </m:sSub>
          <m:r>
            <m:t>−</m:t>
          </m:r>
          <m:sSub>
            <m:e>
              <m:r>
                <m:t>X</m:t>
              </m:r>
            </m:e>
            <m:sub>
              <m:r>
                <m:t>j</m:t>
              </m:r>
            </m:sub>
          </m:sSub>
          <m:r>
            <m:t>)</m:t>
          </m:r>
        </m:oMath>
      </m:oMathPara>
    </w:p>
    <w:p>
      <w:pPr>
        <w:pStyle w:val="FirstParagraph"/>
      </w:pPr>
      <w:r>
        <w:t xml:space="preserve">The change-point of the series is located at</w:t>
      </w:r>
      <w:r>
        <w:t xml:space="preserve"> </w:t>
      </w:r>
      <m:oMath>
        <m:sSub>
          <m:e>
            <m:r>
              <m:t>K</m:t>
            </m:r>
          </m:e>
          <m:sub>
            <m:r>
              <m:t>T</m:t>
            </m:r>
          </m:sub>
        </m:sSub>
      </m:oMath>
      <w:r>
        <w:t xml:space="preserve">, provided that the statistic is significant. We use 0.001 as the threshold of p-value (see</w:t>
      </w:r>
      <w:r>
        <w:t xml:space="preserve"> </w:t>
      </w:r>
      <w:r>
        <w:t xml:space="preserve"> </w:t>
      </w:r>
      <w:r>
        <w:t xml:space="preserve">Methods S5 for Sensitivity analysis), which means the probability of a statistically significant change-point judgment being valid is more than</w:t>
      </w:r>
      <w:r>
        <w:t xml:space="preserve"> </w:t>
      </w:r>
      <m:oMath>
        <m:r>
          <m:t>99.9</m:t>
        </m:r>
        <m:r>
          <m:t>%</m:t>
        </m:r>
      </m:oMath>
      <w:r>
        <w:t xml:space="preserve">. Since this method only can return one significant change point, we repeat it Until all significant change points were detected.</w:t>
      </w:r>
    </w:p>
    <w:p>
      <w:pPr>
        <w:pStyle w:val="Heading2"/>
      </w:pPr>
      <w:bookmarkStart w:id="25" w:name="contribution-decomposition"/>
      <w:r>
        <w:t xml:space="preserve">Contribution decomposition</w:t>
      </w:r>
      <w:bookmarkEnd w:id="25"/>
    </w:p>
    <w:p>
      <w:pPr>
        <w:pStyle w:val="FirstParagraph"/>
      </w:pPr>
      <w:r>
        <w:t xml:space="preserve">We have decomposed the amount of variation in each index at different stages in order to observe the contribution of each influencing factor to them. Use Integrated Water Resources Utilization (IWRU) Index as an example, which influenced by three dimensions’ normalized indicator: stress (</w:t>
      </w:r>
      <m:oMath>
        <m:r>
          <m:t>I</m:t>
        </m:r>
        <m:sSub>
          <m:e>
            <m:r>
              <m:t>′</m:t>
            </m:r>
          </m:e>
          <m:sub>
            <m:r>
              <m:t>S</m:t>
            </m:r>
          </m:sub>
        </m:sSub>
      </m:oMath>
      <w:r>
        <w:t xml:space="preserve">), priority (</w:t>
      </w:r>
      <m:oMath>
        <m:r>
          <m:t>I</m:t>
        </m:r>
        <m:sSub>
          <m:e>
            <m:r>
              <m:t>′</m:t>
            </m:r>
          </m:e>
          <m:sub>
            <m:r>
              <m:t>P</m:t>
            </m:r>
          </m:sub>
        </m:sSub>
      </m:oMath>
      <w:r>
        <w:t xml:space="preserve">) and configuration (</w:t>
      </w:r>
      <m:oMath>
        <m:r>
          <m:t>I</m:t>
        </m:r>
        <m:sSub>
          <m:e>
            <m:r>
              <m:t>′</m:t>
            </m:r>
          </m:e>
          <m:sub>
            <m:r>
              <m:t>C</m:t>
            </m:r>
          </m:sub>
        </m:sSub>
      </m:oMath>
      <w:r>
        <w:t xml:space="preserve">). We can calculate their differences between two certain years (</w:t>
      </w:r>
      <m:oMath>
        <m:sSub>
          <m:e>
            <m:r>
              <m:t>y</m:t>
            </m:r>
          </m:e>
          <m:sub>
            <m:r>
              <m:t>2</m:t>
            </m:r>
          </m:sub>
        </m:sSub>
      </m:oMath>
      <w:r>
        <w:t xml:space="preserve"> </w:t>
      </w:r>
      <w:r>
        <w:t xml:space="preserve">and</w:t>
      </w:r>
      <w:r>
        <w:t xml:space="preserve"> </w:t>
      </w:r>
      <m:oMath>
        <m:sSub>
          <m:e>
            <m:r>
              <m:t>y</m:t>
            </m:r>
          </m:e>
          <m:sub>
            <m:r>
              <m:t>1</m:t>
            </m:r>
          </m:sub>
        </m:sSub>
      </m:oMath>
      <w:r>
        <w:t xml:space="preserve">,</w:t>
      </w:r>
      <w:r>
        <w:t xml:space="preserve"> </w:t>
      </w:r>
      <m:oMath>
        <m:sSub>
          <m:e>
            <m:r>
              <m:t>y</m:t>
            </m:r>
          </m:e>
          <m:sub>
            <m:r>
              <m:t>2</m:t>
            </m:r>
          </m:sub>
        </m:sSub>
        <m:r>
          <m:t>&gt;</m:t>
        </m:r>
        <m:sSub>
          <m:e>
            <m:r>
              <m:t>y</m:t>
            </m:r>
          </m:e>
          <m:sub>
            <m:r>
              <m:t>1</m:t>
            </m:r>
          </m:sub>
        </m:sSub>
      </m:oMath>
      <w:r>
        <w:t xml:space="preserve">) by:</w:t>
      </w:r>
    </w:p>
    <w:p>
      <w:pPr>
        <w:pStyle w:val="BodyText"/>
      </w:pPr>
      <w:r>
        <w:t xml:space="preserve">Then, the contribution of dimension</w:t>
      </w:r>
      <w:r>
        <w:t xml:space="preserve"> </w:t>
      </w:r>
      <m:oMath>
        <m:r>
          <m:t>x</m:t>
        </m:r>
      </m:oMath>
      <w:r>
        <w:t xml:space="preserve"> </w:t>
      </w:r>
      <w:r>
        <w:t xml:space="preserve">to IWRU’s changes can be referred as:</w:t>
      </w:r>
    </w:p>
    <w:p>
      <w:pPr>
        <w:pStyle w:val="BodyText"/>
      </w:pPr>
      <m:oMathPara>
        <m:oMathParaPr>
          <m:jc m:val="center"/>
        </m:oMathParaPr>
        <m:oMath>
          <m:r>
            <m:t>C</m:t>
          </m:r>
          <m:r>
            <m:t>o</m:t>
          </m:r>
          <m:r>
            <m:t>n</m:t>
          </m:r>
          <m:r>
            <m:t>t</m:t>
          </m:r>
          <m:r>
            <m:t>r</m:t>
          </m:r>
          <m:r>
            <m:t>i</m:t>
          </m:r>
          <m:r>
            <m:t>b</m:t>
          </m:r>
          <m:r>
            <m:t>u</m:t>
          </m:r>
          <m:r>
            <m:t>t</m:t>
          </m:r>
          <m:r>
            <m:t>i</m:t>
          </m:r>
          <m:r>
            <m:t>o</m:t>
          </m:r>
          <m:sSub>
            <m:e>
              <m:r>
                <m:t>n</m:t>
              </m:r>
            </m:e>
            <m:sub>
              <m:r>
                <m:t>x</m:t>
              </m:r>
            </m:sub>
          </m:sSub>
          <m:r>
            <m:t>=</m:t>
          </m:r>
          <m:f>
            <m:fPr>
              <m:type m:val="bar"/>
            </m:fPr>
            <m:num>
              <m:r>
                <m:t>Δ</m:t>
              </m:r>
              <m:r>
                <m:t>I</m:t>
              </m:r>
              <m:sSub>
                <m:e>
                  <m:r>
                    <m:t>′</m:t>
                  </m:r>
                </m:e>
                <m:sub>
                  <m:r>
                    <m:t>x</m:t>
                  </m:r>
                </m:sub>
              </m:sSub>
            </m:num>
            <m:den>
              <m:r>
                <m:t>|</m:t>
              </m:r>
              <m:r>
                <m:t>Δ</m:t>
              </m:r>
              <m:r>
                <m:t>I</m:t>
              </m:r>
              <m:r>
                <m:t>W</m:t>
              </m:r>
              <m:r>
                <m:t>R</m:t>
              </m:r>
              <m:r>
                <m:t>U</m:t>
              </m:r>
              <m:r>
                <m:t>|</m:t>
              </m:r>
            </m:den>
          </m:f>
        </m:oMath>
      </m:oMathPara>
    </w:p>
    <w:p>
      <w:pPr>
        <w:pStyle w:val="FirstParagraph"/>
      </w:pPr>
      <w:r>
        <w:t xml:space="preserve">Datasets</w:t>
      </w:r>
    </w:p>
    <w:p>
      <w:pPr>
        <w:pStyle w:val="BodyText"/>
      </w:pPr>
      <w:r>
        <w:t xml:space="preserve">In order to calculate IWRU, we need to calculate multiple indicators and sub-indicators. All the datasets used are listed in the</w:t>
      </w:r>
      <w:r>
        <w:t xml:space="preserve"> </w:t>
      </w:r>
      <w:r>
        <w:t xml:space="preserve"> </w:t>
      </w:r>
      <w:r>
        <w:t xml:space="preserve">table S1. A detailed description of the data can be seen in the supplementary materials</w:t>
      </w:r>
      <w:r>
        <w:t xml:space="preserve"> </w:t>
      </w:r>
      <w:r>
        <w:t xml:space="preserve"> </w:t>
      </w:r>
      <w:r>
        <w:t xml:space="preserve">Methods S2.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2020-10-24T13:50:25Z</dcterms:created>
  <dcterms:modified xsi:type="dcterms:W3CDTF">2020-10-24T13:50:25Z</dcterms:modified>
</cp:coreProperties>
</file>

<file path=docProps/custom.xml><?xml version="1.0" encoding="utf-8"?>
<Properties xmlns="http://schemas.openxmlformats.org/officeDocument/2006/custom-properties" xmlns:vt="http://schemas.openxmlformats.org/officeDocument/2006/docPropsVTypes"/>
</file>