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E5AB40">
      <w:pPr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提需求人：</w:t>
      </w:r>
    </w:p>
    <w:p w14:paraId="7214C728">
      <w:pPr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整理人：秦楠</w:t>
      </w:r>
    </w:p>
    <w:p w14:paraId="4921E655">
      <w:pPr>
        <w:rPr>
          <w:rFonts w:hint="default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</w:rPr>
        <w:t>整理时间：202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5</w:t>
      </w:r>
      <w:r>
        <w:rPr>
          <w:rFonts w:hint="eastAsia" w:ascii="仿宋" w:hAnsi="仿宋" w:eastAsia="仿宋" w:cs="仿宋"/>
          <w:sz w:val="30"/>
          <w:szCs w:val="30"/>
        </w:rPr>
        <w:t>-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06</w:t>
      </w:r>
      <w:r>
        <w:rPr>
          <w:rFonts w:hint="eastAsia" w:ascii="仿宋" w:hAnsi="仿宋" w:eastAsia="仿宋" w:cs="仿宋"/>
          <w:sz w:val="30"/>
          <w:szCs w:val="30"/>
        </w:rPr>
        <w:t>-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05</w:t>
      </w:r>
    </w:p>
    <w:p w14:paraId="2C4688BC">
      <w:pPr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</w:rPr>
        <w:t>测试环境：192.168.6.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227</w:t>
      </w:r>
    </w:p>
    <w:p w14:paraId="55960FB4">
      <w:pPr>
        <w:rPr>
          <w:rFonts w:hint="default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</w:rPr>
        <w:t>期望完成时间：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2025-06-13前</w:t>
      </w:r>
    </w:p>
    <w:p w14:paraId="22A0C97F">
      <w:pPr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备注：</w:t>
      </w:r>
    </w:p>
    <w:p w14:paraId="13C0743C">
      <w:pPr>
        <w:pStyle w:val="2"/>
        <w:rPr>
          <w:rFonts w:hint="eastAsia" w:ascii="仿宋" w:hAnsi="仿宋" w:eastAsia="仿宋" w:cs="仿宋"/>
          <w:sz w:val="30"/>
          <w:szCs w:val="30"/>
          <w:lang w:val="en-US" w:eastAsia="zh-CN"/>
        </w:rPr>
      </w:pPr>
    </w:p>
    <w:p w14:paraId="24259296">
      <w:pPr>
        <w:pStyle w:val="2"/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1、计算服务需求：</w:t>
      </w:r>
    </w:p>
    <w:p w14:paraId="4FD53769">
      <w:pPr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①最大负荷月均值（xxxx年x月-x月）</w:t>
      </w:r>
    </w:p>
    <w:p w14:paraId="12A7223D">
      <w:pPr>
        <w:pStyle w:val="2"/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时段：00:00-23:45,每15分钟一个点的值（:00,:15,:30,:45），每日一共96个点</w:t>
      </w:r>
    </w:p>
    <w:p w14:paraId="423C8F68">
      <w:pPr>
        <w:pStyle w:val="2"/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计算公式为：求各区县每天各时刻的最大值累加的和/天数</w:t>
      </w:r>
    </w:p>
    <w:p w14:paraId="49C4D5C4">
      <w:pPr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②平均负荷月均值（xxxx年x月-x月）</w:t>
      </w:r>
    </w:p>
    <w:p w14:paraId="7391CAB3">
      <w:pPr>
        <w:pStyle w:val="2"/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计算公式为：求各区县每天的各时刻（96个点的值）累加的和/（天数*每天多少个值（96点））</w:t>
      </w:r>
    </w:p>
    <w:p w14:paraId="633911D0">
      <w:pPr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③峰段最大负荷月均值（xxxx年x月-x月）</w:t>
      </w:r>
    </w:p>
    <w:p w14:paraId="129027F4">
      <w:pPr>
        <w:numPr>
          <w:ilvl w:val="0"/>
          <w:numId w:val="0"/>
        </w:numPr>
        <w:spacing w:line="560" w:lineRule="exact"/>
        <w:textAlignment w:val="baseline"/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</w:rPr>
        <w:t>高峰负荷统计时段：11:00-18:00,20:00-23:00。</w:t>
      </w:r>
    </w:p>
    <w:p w14:paraId="14AF373B">
      <w:pPr>
        <w:pStyle w:val="2"/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计算公式为：求峰段时刻各区县每天各时刻的最大值累加的和/天数</w:t>
      </w:r>
    </w:p>
    <w:p w14:paraId="7651F072">
      <w:pPr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④峰段负荷月均值（xxxx年x月-x月）</w:t>
      </w:r>
    </w:p>
    <w:p w14:paraId="2FBFE428">
      <w:pPr>
        <w:numPr>
          <w:ilvl w:val="0"/>
          <w:numId w:val="0"/>
        </w:numPr>
        <w:spacing w:line="560" w:lineRule="exact"/>
        <w:textAlignment w:val="baseline"/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</w:rPr>
        <w:t>高峰负荷统计时段：11:00-18:00,20:00-23:00。</w:t>
      </w:r>
    </w:p>
    <w:p w14:paraId="48D8D847">
      <w:pPr>
        <w:pStyle w:val="2"/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计算公式为：求峰段时刻各区县每天的各时刻累加的和/（天数</w:t>
      </w:r>
    </w:p>
    <w:p w14:paraId="079D78CE">
      <w:pPr>
        <w:pStyle w:val="2"/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*每天峰段的值的个数）</w:t>
      </w:r>
    </w:p>
    <w:p w14:paraId="43A4D964">
      <w:pPr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⑤平段最大负荷月均值（xxxx年x月-x月）</w:t>
      </w:r>
    </w:p>
    <w:p w14:paraId="48C8DB6E">
      <w:pPr>
        <w:numPr>
          <w:ilvl w:val="0"/>
          <w:numId w:val="0"/>
        </w:numPr>
        <w:spacing w:line="560" w:lineRule="exact"/>
        <w:textAlignment w:val="baseline"/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</w:rPr>
        <w:t>平段负荷统计时段：7:00-11:00,18:00-20:00,23:00-次日01:00。</w:t>
      </w:r>
    </w:p>
    <w:p w14:paraId="21A69E30">
      <w:pPr>
        <w:pStyle w:val="2"/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计算公式为：求平段时刻各区县每天各时刻的最大值累加的和/天数</w:t>
      </w:r>
    </w:p>
    <w:p w14:paraId="436AB54D">
      <w:pPr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⑥平段负荷月均值（xxxx年x月-x月）</w:t>
      </w:r>
    </w:p>
    <w:p w14:paraId="7AA68947">
      <w:pPr>
        <w:numPr>
          <w:ilvl w:val="0"/>
          <w:numId w:val="0"/>
        </w:numPr>
        <w:spacing w:line="560" w:lineRule="exact"/>
        <w:textAlignment w:val="baseline"/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</w:rPr>
        <w:t>平段负荷统计时段：7:00-11:00,18:00-20:00,23:00-次日01:00。</w:t>
      </w:r>
    </w:p>
    <w:p w14:paraId="6B7B4DA2">
      <w:pPr>
        <w:pStyle w:val="2"/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计算公式为：求平段时刻各区县每天的各时刻累加的和/（天数</w:t>
      </w:r>
    </w:p>
    <w:p w14:paraId="3F94D919">
      <w:pPr>
        <w:pStyle w:val="2"/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*每日平段值的个数）</w:t>
      </w:r>
    </w:p>
    <w:p w14:paraId="051DE0F3">
      <w:pPr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⑦谷段最大负荷月均值（xxxx年x月-x月）</w:t>
      </w:r>
    </w:p>
    <w:p w14:paraId="35C732FF">
      <w:pPr>
        <w:pStyle w:val="2"/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</w:rPr>
        <w:t>谷段负荷统计时段：01:00-7:00。</w:t>
      </w:r>
    </w:p>
    <w:p w14:paraId="4B947707">
      <w:pPr>
        <w:pStyle w:val="2"/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计算公式为：求谷段时刻各区县每天各时刻的最大值累加的和/天数</w:t>
      </w:r>
    </w:p>
    <w:p w14:paraId="52AC154A">
      <w:pPr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⑧谷段负荷月均值（xxxx年x月-x月）</w:t>
      </w:r>
    </w:p>
    <w:p w14:paraId="4652F5ED">
      <w:pPr>
        <w:pStyle w:val="2"/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</w:rPr>
        <w:t>谷段负荷统计时段：01:00-7:00。</w:t>
      </w:r>
    </w:p>
    <w:p w14:paraId="21D15FED">
      <w:pPr>
        <w:pStyle w:val="2"/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计算公式为：求谷段时刻各区县每天的各时刻累加的和/（天数*每日谷段值的个数）</w:t>
      </w:r>
    </w:p>
    <w:p w14:paraId="63958D84">
      <w:pPr>
        <w:pStyle w:val="2"/>
        <w:rPr>
          <w:rFonts w:hint="eastAsia" w:ascii="仿宋" w:hAnsi="仿宋" w:eastAsia="仿宋" w:cs="仿宋"/>
          <w:sz w:val="30"/>
          <w:szCs w:val="30"/>
          <w:lang w:val="en-US" w:eastAsia="zh-CN"/>
        </w:rPr>
      </w:pPr>
    </w:p>
    <w:p w14:paraId="0667BE06">
      <w:pPr>
        <w:pStyle w:val="2"/>
        <w:numPr>
          <w:ilvl w:val="0"/>
          <w:numId w:val="1"/>
        </w:numPr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通过比例重新计算各区县分配值（在原有系统界面上进行改造）</w:t>
      </w:r>
    </w:p>
    <w:p w14:paraId="027042F1">
      <w:pPr>
        <w:pStyle w:val="2"/>
        <w:numPr>
          <w:ilvl w:val="0"/>
          <w:numId w:val="0"/>
        </w:numPr>
        <w:rPr>
          <w:rFonts w:hint="default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改造前：</w:t>
      </w:r>
    </w:p>
    <w:p w14:paraId="46D5AEE2">
      <w:pPr>
        <w:pStyle w:val="2"/>
        <w:numPr>
          <w:ilvl w:val="0"/>
          <w:numId w:val="0"/>
        </w:numPr>
      </w:pPr>
      <w:r>
        <w:drawing>
          <wp:inline distT="0" distB="0" distL="114300" distR="114300">
            <wp:extent cx="4598670" cy="1979295"/>
            <wp:effectExtent l="0" t="0" r="3810" b="190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98670" cy="197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E4273">
      <w:pPr>
        <w:pStyle w:val="2"/>
        <w:numPr>
          <w:ilvl w:val="0"/>
          <w:numId w:val="0"/>
        </w:num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改造后：</w:t>
      </w:r>
    </w:p>
    <w:p w14:paraId="6FA2ABE1">
      <w:pPr>
        <w:pStyle w:val="2"/>
        <w:numPr>
          <w:ilvl w:val="0"/>
          <w:numId w:val="0"/>
        </w:numPr>
      </w:pPr>
      <w:r>
        <w:drawing>
          <wp:inline distT="0" distB="0" distL="114300" distR="114300">
            <wp:extent cx="4293235" cy="2050415"/>
            <wp:effectExtent l="0" t="0" r="4445" b="698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3235" cy="205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905F1">
      <w:pPr>
        <w:pStyle w:val="2"/>
        <w:numPr>
          <w:ilvl w:val="0"/>
          <w:numId w:val="0"/>
        </w:num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曲线以上更换为白色板块</w:t>
      </w:r>
    </w:p>
    <w:p w14:paraId="7618E249">
      <w:pPr>
        <w:pStyle w:val="2"/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74310" cy="1873250"/>
            <wp:effectExtent l="0" t="0" r="1397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7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04D92">
      <w:pPr>
        <w:pStyle w:val="2"/>
        <w:jc w:val="both"/>
        <w:rPr>
          <w:rFonts w:hint="default" w:ascii="仿宋" w:hAnsi="仿宋" w:eastAsia="仿宋" w:cs="仿宋"/>
          <w:kern w:val="2"/>
          <w:sz w:val="30"/>
          <w:szCs w:val="30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30"/>
          <w:szCs w:val="30"/>
          <w:lang w:val="en-US" w:eastAsia="zh-CN" w:bidi="ar-SA"/>
        </w:rPr>
        <w:t>*按钮逻辑注释：</w:t>
      </w:r>
    </w:p>
    <w:p w14:paraId="7DB66B5B">
      <w:pPr>
        <w:pStyle w:val="2"/>
        <w:jc w:val="both"/>
        <w:rPr>
          <w:rFonts w:hint="default" w:ascii="仿宋" w:hAnsi="仿宋" w:eastAsia="仿宋" w:cs="仿宋"/>
          <w:kern w:val="2"/>
          <w:sz w:val="30"/>
          <w:szCs w:val="30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30"/>
          <w:szCs w:val="30"/>
          <w:lang w:val="en-US" w:eastAsia="zh-CN" w:bidi="ar-SA"/>
        </w:rPr>
        <w:t>1）周期选择下拉框：只有年月的日历选择，选择年月，选择年份为XX年XX月-XX年XX月，如下图所示</w:t>
      </w:r>
    </w:p>
    <w:p w14:paraId="01009035">
      <w:pPr>
        <w:pStyle w:val="2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2482850" cy="1137920"/>
            <wp:effectExtent l="0" t="0" r="1270" b="508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82850" cy="113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F882B">
      <w:pPr>
        <w:pStyle w:val="2"/>
        <w:jc w:val="both"/>
        <w:rPr>
          <w:rFonts w:hint="eastAsia" w:ascii="仿宋" w:hAnsi="仿宋" w:eastAsia="仿宋" w:cs="仿宋"/>
          <w:kern w:val="2"/>
          <w:sz w:val="30"/>
          <w:szCs w:val="30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30"/>
          <w:szCs w:val="30"/>
          <w:lang w:val="en-US" w:eastAsia="zh-CN" w:bidi="ar-SA"/>
        </w:rPr>
        <w:t>2）计算比例选择下拉框：为需求1的8种计算方式，点击确定按钮后在下方通过表格展示出具体计算比例系数；</w:t>
      </w:r>
    </w:p>
    <w:p w14:paraId="73DDC227">
      <w:pPr>
        <w:pStyle w:val="2"/>
        <w:jc w:val="both"/>
        <w:rPr>
          <w:rFonts w:hint="eastAsia" w:ascii="仿宋" w:hAnsi="仿宋" w:eastAsia="仿宋" w:cs="仿宋"/>
          <w:kern w:val="2"/>
          <w:sz w:val="30"/>
          <w:szCs w:val="30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30"/>
          <w:szCs w:val="30"/>
          <w:lang w:val="en-US" w:eastAsia="zh-CN" w:bidi="ar-SA"/>
        </w:rPr>
        <w:t>3）点击进行分配按钮通过上方选择的计算比例规则来计算各区县分配，展示在列表下方,如下图所示;</w:t>
      </w:r>
    </w:p>
    <w:p w14:paraId="3EFC1689">
      <w:pPr>
        <w:pStyle w:val="2"/>
        <w:jc w:val="both"/>
        <w:rPr>
          <w:rFonts w:hint="eastAsia" w:ascii="仿宋" w:hAnsi="仿宋" w:eastAsia="仿宋" w:cs="仿宋"/>
          <w:kern w:val="2"/>
          <w:sz w:val="30"/>
          <w:szCs w:val="30"/>
          <w:lang w:val="en-US" w:eastAsia="zh-CN" w:bidi="ar-SA"/>
        </w:rPr>
      </w:pPr>
      <w:r>
        <w:drawing>
          <wp:inline distT="0" distB="0" distL="114300" distR="114300">
            <wp:extent cx="5267325" cy="359410"/>
            <wp:effectExtent l="0" t="0" r="5715" b="635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5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2C913">
      <w:pPr>
        <w:pStyle w:val="2"/>
        <w:jc w:val="both"/>
      </w:pPr>
      <w:r>
        <w:drawing>
          <wp:inline distT="0" distB="0" distL="114300" distR="114300">
            <wp:extent cx="5274310" cy="1269365"/>
            <wp:effectExtent l="0" t="0" r="13970" b="10795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69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809D2">
      <w:pPr>
        <w:pStyle w:val="2"/>
        <w:jc w:val="both"/>
        <w:rPr>
          <w:rFonts w:hint="default"/>
          <w:lang w:val="en-US" w:eastAsia="zh-CN"/>
        </w:rPr>
      </w:pPr>
    </w:p>
    <w:p w14:paraId="3486C7F9">
      <w:pPr>
        <w:pStyle w:val="2"/>
        <w:jc w:val="both"/>
        <w:rPr>
          <w:rFonts w:hint="default" w:ascii="仿宋" w:hAnsi="仿宋" w:eastAsia="仿宋" w:cs="仿宋"/>
          <w:kern w:val="2"/>
          <w:sz w:val="30"/>
          <w:szCs w:val="30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30"/>
          <w:szCs w:val="30"/>
          <w:lang w:val="en-US" w:eastAsia="zh-CN" w:bidi="ar-SA"/>
        </w:rPr>
        <w:t>4）点击重置按钮清空分配规则;</w:t>
      </w:r>
    </w:p>
    <w:p w14:paraId="006179BA">
      <w:pPr>
        <w:pStyle w:val="2"/>
        <w:jc w:val="both"/>
        <w:rPr>
          <w:rFonts w:hint="default" w:ascii="仿宋" w:hAnsi="仿宋" w:eastAsia="仿宋" w:cs="仿宋"/>
          <w:kern w:val="2"/>
          <w:sz w:val="30"/>
          <w:szCs w:val="30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30"/>
          <w:szCs w:val="30"/>
          <w:lang w:val="en-US" w:eastAsia="zh-CN" w:bidi="ar-SA"/>
        </w:rPr>
        <w:t>5）点击提交分配数据入库，展示曲线及数据在负荷分配曲线模块;</w:t>
      </w:r>
    </w:p>
    <w:p w14:paraId="235FBD6E">
      <w:pPr>
        <w:pStyle w:val="2"/>
        <w:jc w:val="both"/>
        <w:rPr>
          <w:rFonts w:hint="default" w:ascii="仿宋" w:hAnsi="仿宋" w:eastAsia="仿宋" w:cs="仿宋"/>
          <w:kern w:val="2"/>
          <w:sz w:val="30"/>
          <w:szCs w:val="30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30"/>
          <w:szCs w:val="30"/>
          <w:lang w:val="en-US" w:eastAsia="zh-CN" w:bidi="ar-SA"/>
        </w:rPr>
        <w:t>*具体计算逻辑如下：</w:t>
      </w:r>
    </w:p>
    <w:p w14:paraId="4943FDFB">
      <w:pPr>
        <w:spacing w:line="560" w:lineRule="exact"/>
        <w:ind w:firstLine="600" w:firstLineChars="200"/>
        <w:textAlignment w:val="baseline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通过需求1某个表得出比例，如下图按照最大负荷月均值得出比例为：</w:t>
      </w:r>
      <w:r>
        <w:rPr>
          <w:rFonts w:hint="eastAsia" w:ascii="仿宋" w:hAnsi="仿宋" w:eastAsia="仿宋" w:cs="仿宋"/>
          <w:sz w:val="30"/>
          <w:szCs w:val="30"/>
        </w:rPr>
        <w:t>市区、游仙、安州、江油、梓潼、北川、盐亭、三台下网、平武下网最大负荷月均值占比分别为33.35%、21.03%、8.09%、18.07%、3.84%、3.16%、4.88%、6.49%、0.43%。</w:t>
      </w:r>
    </w:p>
    <w:p w14:paraId="173253A9">
      <w:pPr>
        <w:pStyle w:val="2"/>
        <w:rPr>
          <w:rFonts w:hint="eastAsia" w:ascii="仿宋" w:hAnsi="仿宋" w:eastAsia="仿宋" w:cs="仿宋"/>
          <w:sz w:val="30"/>
          <w:szCs w:val="30"/>
          <w:lang w:val="en-US" w:eastAsia="zh-CN"/>
        </w:rPr>
      </w:pPr>
    </w:p>
    <w:tbl>
      <w:tblPr>
        <w:tblStyle w:val="3"/>
        <w:tblW w:w="9685" w:type="dxa"/>
        <w:tblInd w:w="16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4"/>
        <w:gridCol w:w="876"/>
        <w:gridCol w:w="887"/>
        <w:gridCol w:w="865"/>
        <w:gridCol w:w="916"/>
        <w:gridCol w:w="876"/>
        <w:gridCol w:w="825"/>
        <w:gridCol w:w="850"/>
        <w:gridCol w:w="766"/>
        <w:gridCol w:w="794"/>
        <w:gridCol w:w="766"/>
      </w:tblGrid>
      <w:tr w14:paraId="7B223F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968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5C52294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18"/>
                <w:szCs w:val="18"/>
              </w:rPr>
              <w:t>表1 按最大负荷月均值统计（单位:万千瓦）</w:t>
            </w:r>
          </w:p>
        </w:tc>
      </w:tr>
      <w:tr w14:paraId="2F8346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2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C604C6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18"/>
                <w:szCs w:val="18"/>
              </w:rPr>
              <w:t>日期</w:t>
            </w: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BF66FE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18"/>
                <w:szCs w:val="18"/>
              </w:rPr>
              <w:t>全网</w:t>
            </w:r>
          </w:p>
        </w:tc>
        <w:tc>
          <w:tcPr>
            <w:tcW w:w="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4138DF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18"/>
                <w:szCs w:val="18"/>
              </w:rPr>
              <w:t>市区</w:t>
            </w:r>
          </w:p>
        </w:tc>
        <w:tc>
          <w:tcPr>
            <w:tcW w:w="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A5278D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18"/>
                <w:szCs w:val="18"/>
              </w:rPr>
              <w:t>游仙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EB8136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18"/>
                <w:szCs w:val="18"/>
              </w:rPr>
              <w:t>安州</w:t>
            </w: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CE41BA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18"/>
                <w:szCs w:val="18"/>
              </w:rPr>
              <w:t>江油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8562A5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18"/>
                <w:szCs w:val="18"/>
              </w:rPr>
              <w:t>梓潼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93320C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18"/>
                <w:szCs w:val="18"/>
              </w:rPr>
              <w:t>北川</w:t>
            </w:r>
          </w:p>
        </w:tc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7A3AF2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18"/>
                <w:szCs w:val="18"/>
              </w:rPr>
              <w:t>盐亭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0132DD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18"/>
                <w:szCs w:val="18"/>
              </w:rPr>
              <w:t>三台下网</w:t>
            </w:r>
          </w:p>
        </w:tc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992118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18"/>
                <w:szCs w:val="18"/>
              </w:rPr>
              <w:t>平武下网</w:t>
            </w:r>
          </w:p>
        </w:tc>
      </w:tr>
      <w:tr w14:paraId="2BA3B6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2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587DFB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18"/>
                <w:szCs w:val="18"/>
              </w:rPr>
              <w:t>7月最大负荷月均值</w:t>
            </w: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606908">
            <w:pPr>
              <w:widowControl/>
              <w:spacing w:line="240" w:lineRule="auto"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18"/>
                <w:szCs w:val="18"/>
              </w:rPr>
              <w:t>2476.56</w:t>
            </w:r>
          </w:p>
        </w:tc>
        <w:tc>
          <w:tcPr>
            <w:tcW w:w="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5D5FCF">
            <w:pPr>
              <w:jc w:val="center"/>
              <w:rPr>
                <w:rFonts w:hint="eastAsia" w:ascii="仿宋" w:hAnsi="仿宋" w:eastAsia="仿宋" w:cs="仿宋"/>
                <w:color w:val="000000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000000"/>
                <w:sz w:val="18"/>
                <w:szCs w:val="18"/>
              </w:rPr>
              <w:t>840.77</w:t>
            </w:r>
          </w:p>
        </w:tc>
        <w:tc>
          <w:tcPr>
            <w:tcW w:w="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AE9FE0">
            <w:pPr>
              <w:jc w:val="center"/>
              <w:rPr>
                <w:rFonts w:hint="eastAsia" w:ascii="仿宋" w:hAnsi="仿宋" w:eastAsia="仿宋" w:cs="仿宋"/>
                <w:color w:val="000000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000000"/>
                <w:sz w:val="18"/>
                <w:szCs w:val="18"/>
              </w:rPr>
              <w:t>537.48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6AC698">
            <w:pPr>
              <w:jc w:val="center"/>
              <w:rPr>
                <w:rFonts w:hint="eastAsia" w:ascii="仿宋" w:hAnsi="仿宋" w:eastAsia="仿宋" w:cs="仿宋"/>
                <w:color w:val="000000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000000"/>
                <w:sz w:val="18"/>
                <w:szCs w:val="18"/>
              </w:rPr>
              <w:t>204.4</w:t>
            </w: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BF3804">
            <w:pPr>
              <w:jc w:val="center"/>
              <w:rPr>
                <w:rFonts w:hint="eastAsia" w:ascii="仿宋" w:hAnsi="仿宋" w:eastAsia="仿宋" w:cs="仿宋"/>
                <w:color w:val="000000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000000"/>
                <w:sz w:val="18"/>
                <w:szCs w:val="18"/>
              </w:rPr>
              <w:t>457.48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11975C">
            <w:pPr>
              <w:jc w:val="center"/>
              <w:rPr>
                <w:rFonts w:hint="eastAsia" w:ascii="仿宋" w:hAnsi="仿宋" w:eastAsia="仿宋" w:cs="仿宋"/>
                <w:color w:val="000000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000000"/>
                <w:sz w:val="18"/>
                <w:szCs w:val="18"/>
              </w:rPr>
              <w:t>89.3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F9FBAB">
            <w:pPr>
              <w:jc w:val="center"/>
              <w:rPr>
                <w:rFonts w:hint="eastAsia" w:ascii="仿宋" w:hAnsi="仿宋" w:eastAsia="仿宋" w:cs="仿宋"/>
                <w:color w:val="000000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000000"/>
                <w:sz w:val="18"/>
                <w:szCs w:val="18"/>
              </w:rPr>
              <w:t>80.83</w:t>
            </w:r>
          </w:p>
        </w:tc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902D2B">
            <w:pPr>
              <w:jc w:val="center"/>
              <w:rPr>
                <w:rFonts w:hint="eastAsia" w:ascii="仿宋" w:hAnsi="仿宋" w:eastAsia="仿宋" w:cs="仿宋"/>
                <w:color w:val="000000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000000"/>
                <w:sz w:val="18"/>
                <w:szCs w:val="18"/>
              </w:rPr>
              <w:t>112.9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F40C0E">
            <w:pPr>
              <w:jc w:val="center"/>
              <w:rPr>
                <w:rFonts w:hint="eastAsia" w:ascii="仿宋" w:hAnsi="仿宋" w:eastAsia="仿宋" w:cs="仿宋"/>
                <w:color w:val="000000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000000"/>
                <w:sz w:val="18"/>
                <w:szCs w:val="18"/>
              </w:rPr>
              <w:t>133.84</w:t>
            </w:r>
          </w:p>
        </w:tc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87CA22">
            <w:pPr>
              <w:jc w:val="center"/>
              <w:rPr>
                <w:rFonts w:hint="eastAsia" w:ascii="仿宋" w:hAnsi="仿宋" w:eastAsia="仿宋" w:cs="仿宋"/>
                <w:color w:val="000000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000000"/>
                <w:sz w:val="18"/>
                <w:szCs w:val="18"/>
              </w:rPr>
              <w:t>15.98</w:t>
            </w:r>
          </w:p>
        </w:tc>
      </w:tr>
      <w:tr w14:paraId="7EAC44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2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D39E20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18"/>
                <w:szCs w:val="18"/>
              </w:rPr>
              <w:t>8月最大负荷月均值</w:t>
            </w: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F7AC00">
            <w:pPr>
              <w:jc w:val="center"/>
              <w:rPr>
                <w:rFonts w:hint="eastAsia" w:ascii="仿宋" w:hAnsi="仿宋" w:eastAsia="仿宋" w:cs="仿宋"/>
                <w:color w:val="000000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000000"/>
                <w:sz w:val="18"/>
                <w:szCs w:val="18"/>
              </w:rPr>
              <w:t>3034</w:t>
            </w:r>
          </w:p>
        </w:tc>
        <w:tc>
          <w:tcPr>
            <w:tcW w:w="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042F0D">
            <w:pPr>
              <w:jc w:val="center"/>
              <w:rPr>
                <w:rFonts w:hint="eastAsia" w:ascii="仿宋" w:hAnsi="仿宋" w:eastAsia="仿宋" w:cs="仿宋"/>
                <w:color w:val="000000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000000"/>
                <w:sz w:val="18"/>
                <w:szCs w:val="18"/>
              </w:rPr>
              <w:t>993.68</w:t>
            </w:r>
          </w:p>
        </w:tc>
        <w:tc>
          <w:tcPr>
            <w:tcW w:w="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B7B7B1">
            <w:pPr>
              <w:jc w:val="center"/>
              <w:rPr>
                <w:rFonts w:hint="eastAsia" w:ascii="仿宋" w:hAnsi="仿宋" w:eastAsia="仿宋" w:cs="仿宋"/>
                <w:color w:val="000000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000000"/>
                <w:sz w:val="18"/>
                <w:szCs w:val="18"/>
              </w:rPr>
              <w:t>647.72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72DF13">
            <w:pPr>
              <w:jc w:val="center"/>
              <w:rPr>
                <w:rFonts w:hint="eastAsia" w:ascii="仿宋" w:hAnsi="仿宋" w:eastAsia="仿宋" w:cs="仿宋"/>
                <w:color w:val="000000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000000"/>
                <w:sz w:val="18"/>
                <w:szCs w:val="18"/>
              </w:rPr>
              <w:t>243.83</w:t>
            </w: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A29F1D">
            <w:pPr>
              <w:jc w:val="center"/>
              <w:rPr>
                <w:rFonts w:hint="eastAsia" w:ascii="仿宋" w:hAnsi="仿宋" w:eastAsia="仿宋" w:cs="仿宋"/>
                <w:color w:val="000000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000000"/>
                <w:sz w:val="18"/>
                <w:szCs w:val="18"/>
              </w:rPr>
              <w:t>539.35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A9AF5E">
            <w:pPr>
              <w:jc w:val="center"/>
              <w:rPr>
                <w:rFonts w:hint="eastAsia" w:ascii="仿宋" w:hAnsi="仿宋" w:eastAsia="仿宋" w:cs="仿宋"/>
                <w:color w:val="000000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000000"/>
                <w:sz w:val="18"/>
                <w:szCs w:val="18"/>
              </w:rPr>
              <w:t>122.62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40FC71">
            <w:pPr>
              <w:jc w:val="center"/>
              <w:rPr>
                <w:rFonts w:hint="eastAsia" w:ascii="仿宋" w:hAnsi="仿宋" w:eastAsia="仿宋" w:cs="仿宋"/>
                <w:color w:val="000000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000000"/>
                <w:sz w:val="18"/>
                <w:szCs w:val="18"/>
              </w:rPr>
              <w:t>96.54</w:t>
            </w:r>
          </w:p>
        </w:tc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21201E">
            <w:pPr>
              <w:jc w:val="center"/>
              <w:rPr>
                <w:rFonts w:hint="eastAsia" w:ascii="仿宋" w:hAnsi="仿宋" w:eastAsia="仿宋" w:cs="仿宋"/>
                <w:color w:val="000000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000000"/>
                <w:sz w:val="18"/>
                <w:szCs w:val="18"/>
              </w:rPr>
              <w:t>156.65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877179">
            <w:pPr>
              <w:jc w:val="center"/>
              <w:rPr>
                <w:rFonts w:hint="eastAsia" w:ascii="仿宋" w:hAnsi="仿宋" w:eastAsia="仿宋" w:cs="仿宋"/>
                <w:color w:val="000000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000000"/>
                <w:sz w:val="18"/>
                <w:szCs w:val="18"/>
              </w:rPr>
              <w:t>228</w:t>
            </w:r>
          </w:p>
        </w:tc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512CCA">
            <w:pPr>
              <w:jc w:val="center"/>
              <w:rPr>
                <w:rFonts w:hint="eastAsia" w:ascii="仿宋" w:hAnsi="仿宋" w:eastAsia="仿宋" w:cs="仿宋"/>
                <w:color w:val="000000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000000"/>
                <w:sz w:val="18"/>
                <w:szCs w:val="18"/>
              </w:rPr>
              <w:t>8.6</w:t>
            </w:r>
          </w:p>
        </w:tc>
      </w:tr>
      <w:tr w14:paraId="37F3C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2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68D1CD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18"/>
                <w:szCs w:val="18"/>
              </w:rPr>
              <w:t>7-8月最大负荷月均值</w:t>
            </w: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ED2922">
            <w:pPr>
              <w:jc w:val="center"/>
              <w:rPr>
                <w:rFonts w:hint="eastAsia" w:ascii="仿宋" w:hAnsi="仿宋" w:eastAsia="仿宋" w:cs="仿宋"/>
                <w:color w:val="000000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000000"/>
                <w:sz w:val="18"/>
                <w:szCs w:val="18"/>
              </w:rPr>
              <w:t>2755.38</w:t>
            </w:r>
          </w:p>
        </w:tc>
        <w:tc>
          <w:tcPr>
            <w:tcW w:w="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3A4B40">
            <w:pPr>
              <w:jc w:val="center"/>
              <w:rPr>
                <w:rFonts w:hint="eastAsia" w:ascii="仿宋" w:hAnsi="仿宋" w:eastAsia="仿宋" w:cs="仿宋"/>
                <w:color w:val="000000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000000"/>
                <w:sz w:val="18"/>
                <w:szCs w:val="18"/>
              </w:rPr>
              <w:t>917.23</w:t>
            </w:r>
          </w:p>
        </w:tc>
        <w:tc>
          <w:tcPr>
            <w:tcW w:w="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911DE9">
            <w:pPr>
              <w:jc w:val="center"/>
              <w:rPr>
                <w:rFonts w:hint="eastAsia" w:ascii="仿宋" w:hAnsi="仿宋" w:eastAsia="仿宋" w:cs="仿宋"/>
                <w:color w:val="000000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000000"/>
                <w:sz w:val="18"/>
                <w:szCs w:val="18"/>
              </w:rPr>
              <w:t>592.6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8CE5FC">
            <w:pPr>
              <w:jc w:val="center"/>
              <w:rPr>
                <w:rFonts w:hint="eastAsia" w:ascii="仿宋" w:hAnsi="仿宋" w:eastAsia="仿宋" w:cs="仿宋"/>
                <w:color w:val="000000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000000"/>
                <w:sz w:val="18"/>
                <w:szCs w:val="18"/>
              </w:rPr>
              <w:t>224.11</w:t>
            </w: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28FE46">
            <w:pPr>
              <w:jc w:val="center"/>
              <w:rPr>
                <w:rFonts w:hint="eastAsia" w:ascii="仿宋" w:hAnsi="仿宋" w:eastAsia="仿宋" w:cs="仿宋"/>
                <w:color w:val="000000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000000"/>
                <w:sz w:val="18"/>
                <w:szCs w:val="18"/>
              </w:rPr>
              <w:t>498.41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A1E0AC">
            <w:pPr>
              <w:jc w:val="center"/>
              <w:rPr>
                <w:rFonts w:hint="eastAsia" w:ascii="仿宋" w:hAnsi="仿宋" w:eastAsia="仿宋" w:cs="仿宋"/>
                <w:color w:val="000000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000000"/>
                <w:sz w:val="18"/>
                <w:szCs w:val="18"/>
              </w:rPr>
              <w:t>105.96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518C60">
            <w:pPr>
              <w:jc w:val="center"/>
              <w:rPr>
                <w:rFonts w:hint="eastAsia" w:ascii="仿宋" w:hAnsi="仿宋" w:eastAsia="仿宋" w:cs="仿宋"/>
                <w:color w:val="000000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000000"/>
                <w:sz w:val="18"/>
                <w:szCs w:val="18"/>
              </w:rPr>
              <w:t>88.68</w:t>
            </w:r>
          </w:p>
        </w:tc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28A7D0">
            <w:pPr>
              <w:jc w:val="center"/>
              <w:rPr>
                <w:rFonts w:hint="eastAsia" w:ascii="仿宋" w:hAnsi="仿宋" w:eastAsia="仿宋" w:cs="仿宋"/>
                <w:color w:val="000000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000000"/>
                <w:sz w:val="18"/>
                <w:szCs w:val="18"/>
              </w:rPr>
              <w:t>134.78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41C14F">
            <w:pPr>
              <w:jc w:val="center"/>
              <w:rPr>
                <w:rFonts w:hint="eastAsia" w:ascii="仿宋" w:hAnsi="仿宋" w:eastAsia="仿宋" w:cs="仿宋"/>
                <w:color w:val="000000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000000"/>
                <w:sz w:val="18"/>
                <w:szCs w:val="18"/>
              </w:rPr>
              <w:t>180.91</w:t>
            </w:r>
          </w:p>
        </w:tc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8F7043">
            <w:pPr>
              <w:jc w:val="center"/>
              <w:rPr>
                <w:rFonts w:hint="eastAsia" w:ascii="仿宋" w:hAnsi="仿宋" w:eastAsia="仿宋" w:cs="仿宋"/>
                <w:color w:val="000000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000000"/>
                <w:sz w:val="18"/>
                <w:szCs w:val="18"/>
              </w:rPr>
              <w:t>12.28</w:t>
            </w:r>
          </w:p>
        </w:tc>
      </w:tr>
      <w:tr w14:paraId="144FDA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14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D4FDC8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18"/>
                <w:szCs w:val="18"/>
              </w:rPr>
              <w:t>7-8月最大负荷月均值占比</w:t>
            </w:r>
          </w:p>
        </w:tc>
        <w:tc>
          <w:tcPr>
            <w:tcW w:w="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03E744">
            <w:pPr>
              <w:widowControl/>
              <w:spacing w:line="240" w:lineRule="auto"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18"/>
                <w:szCs w:val="18"/>
              </w:rPr>
              <w:t>33.29%</w:t>
            </w:r>
          </w:p>
        </w:tc>
        <w:tc>
          <w:tcPr>
            <w:tcW w:w="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23C19C">
            <w:pPr>
              <w:jc w:val="center"/>
              <w:rPr>
                <w:rFonts w:hint="eastAsia" w:ascii="仿宋" w:hAnsi="仿宋" w:eastAsia="仿宋" w:cs="仿宋"/>
                <w:color w:val="000000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000000"/>
                <w:sz w:val="18"/>
                <w:szCs w:val="18"/>
              </w:rPr>
              <w:t>21.51%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C1B9CC">
            <w:pPr>
              <w:jc w:val="center"/>
              <w:rPr>
                <w:rFonts w:hint="eastAsia" w:ascii="仿宋" w:hAnsi="仿宋" w:eastAsia="仿宋" w:cs="仿宋"/>
                <w:color w:val="000000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000000"/>
                <w:sz w:val="18"/>
                <w:szCs w:val="18"/>
              </w:rPr>
              <w:t xml:space="preserve">8.13% </w:t>
            </w: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B6B0DA">
            <w:pPr>
              <w:jc w:val="center"/>
              <w:rPr>
                <w:rFonts w:hint="eastAsia" w:ascii="仿宋" w:hAnsi="仿宋" w:eastAsia="仿宋" w:cs="仿宋"/>
                <w:color w:val="000000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000000"/>
                <w:sz w:val="18"/>
                <w:szCs w:val="18"/>
              </w:rPr>
              <w:t>18.09%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691C62">
            <w:pPr>
              <w:jc w:val="center"/>
              <w:rPr>
                <w:rFonts w:hint="eastAsia" w:ascii="仿宋" w:hAnsi="仿宋" w:eastAsia="仿宋" w:cs="仿宋"/>
                <w:color w:val="000000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000000"/>
                <w:sz w:val="18"/>
                <w:szCs w:val="18"/>
              </w:rPr>
              <w:t>3.85%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F539C4">
            <w:pPr>
              <w:jc w:val="center"/>
              <w:rPr>
                <w:rFonts w:hint="eastAsia" w:ascii="仿宋" w:hAnsi="仿宋" w:eastAsia="仿宋" w:cs="仿宋"/>
                <w:color w:val="000000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000000"/>
                <w:sz w:val="18"/>
                <w:szCs w:val="18"/>
              </w:rPr>
              <w:t>3.22%</w:t>
            </w:r>
          </w:p>
        </w:tc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B8D627">
            <w:pPr>
              <w:jc w:val="center"/>
              <w:rPr>
                <w:rFonts w:hint="eastAsia" w:ascii="仿宋" w:hAnsi="仿宋" w:eastAsia="仿宋" w:cs="仿宋"/>
                <w:color w:val="000000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000000"/>
                <w:sz w:val="18"/>
                <w:szCs w:val="18"/>
              </w:rPr>
              <w:t>4.89%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482339">
            <w:pPr>
              <w:jc w:val="center"/>
              <w:rPr>
                <w:rFonts w:hint="eastAsia" w:ascii="仿宋" w:hAnsi="仿宋" w:eastAsia="仿宋" w:cs="仿宋"/>
                <w:color w:val="000000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000000"/>
                <w:sz w:val="18"/>
                <w:szCs w:val="18"/>
              </w:rPr>
              <w:t>6.57%</w:t>
            </w:r>
          </w:p>
        </w:tc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212CC5">
            <w:pPr>
              <w:jc w:val="center"/>
              <w:rPr>
                <w:rFonts w:hint="eastAsia" w:ascii="仿宋" w:hAnsi="仿宋" w:eastAsia="仿宋" w:cs="仿宋"/>
                <w:color w:val="000000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000000"/>
                <w:sz w:val="18"/>
                <w:szCs w:val="18"/>
              </w:rPr>
              <w:t>0.45%</w:t>
            </w:r>
          </w:p>
        </w:tc>
      </w:tr>
    </w:tbl>
    <w:p w14:paraId="1D691A42">
      <w:pPr>
        <w:numPr>
          <w:ilvl w:val="0"/>
          <w:numId w:val="0"/>
        </w:numPr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①取 tb_valueycinfo 的（绵阳主网有功负荷计划值-调整量）用来给各个区县分配。（通过Open3000数据库只读账号获取）。</w:t>
      </w:r>
    </w:p>
    <w:p w14:paraId="67903DB6">
      <w:pPr>
        <w:pStyle w:val="2"/>
        <w:rPr>
          <w:rFonts w:hint="eastAsia"/>
          <w:lang w:val="en-US" w:eastAsia="zh-CN"/>
        </w:rPr>
      </w:pPr>
      <w:r>
        <w:drawing>
          <wp:inline distT="0" distB="0" distL="114300" distR="114300">
            <wp:extent cx="5271135" cy="410210"/>
            <wp:effectExtent l="0" t="0" r="1905" b="127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1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C9F2A">
      <w:pPr>
        <w:numPr>
          <w:ilvl w:val="0"/>
          <w:numId w:val="0"/>
        </w:numPr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涡轮院站试验负荷：手动输入</w:t>
      </w:r>
    </w:p>
    <w:p w14:paraId="0655E93B">
      <w:pPr>
        <w:numPr>
          <w:ilvl w:val="0"/>
          <w:numId w:val="0"/>
        </w:numPr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三台下网调整量：手动输入</w:t>
      </w:r>
    </w:p>
    <w:p w14:paraId="24A3FDEB">
      <w:pPr>
        <w:numPr>
          <w:ilvl w:val="0"/>
          <w:numId w:val="0"/>
        </w:numPr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因关口原因总量减少值：手动输入</w:t>
      </w:r>
    </w:p>
    <w:p w14:paraId="0C0C1CE2">
      <w:pPr>
        <w:rPr>
          <w:rFonts w:hint="eastAsia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最终的主网负荷分配值=绵阳主网有功负荷计划值－三台下网调整量－涡轮院试验负荷－因关口原因总量减少值</w:t>
      </w:r>
    </w:p>
    <w:p w14:paraId="7F5494D2">
      <w:pPr>
        <w:numPr>
          <w:ilvl w:val="0"/>
          <w:numId w:val="0"/>
        </w:numPr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根据得出的比例来算当日分配。如从Open3000数据库取得7月1日的主网有功负荷计划值00:00为2000；00:15为2300</w:t>
      </w:r>
    </w:p>
    <w:p w14:paraId="537C9CE1">
      <w:pPr>
        <w:numPr>
          <w:ilvl w:val="0"/>
          <w:numId w:val="0"/>
        </w:numPr>
        <w:ind w:leftChars="200"/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7月1日市区00:00=（2000-调整值）*33.29%。</w:t>
      </w:r>
    </w:p>
    <w:p w14:paraId="46D35B50">
      <w:pPr>
        <w:numPr>
          <w:ilvl w:val="0"/>
          <w:numId w:val="0"/>
        </w:numPr>
        <w:ind w:leftChars="200"/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7月1日游仙00:00=（2000-调整值）*21.51%</w:t>
      </w:r>
    </w:p>
    <w:p w14:paraId="0CF109BE">
      <w:pPr>
        <w:numPr>
          <w:ilvl w:val="0"/>
          <w:numId w:val="0"/>
        </w:numPr>
        <w:ind w:leftChars="200"/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以此类推</w:t>
      </w:r>
    </w:p>
    <w:p w14:paraId="02F07F76">
      <w:pPr>
        <w:numPr>
          <w:ilvl w:val="0"/>
          <w:numId w:val="0"/>
        </w:numPr>
        <w:ind w:leftChars="200"/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7月2日市区00:00=（2300-调整值）*33.29%</w:t>
      </w:r>
    </w:p>
    <w:p w14:paraId="130130A5">
      <w:pPr>
        <w:numPr>
          <w:ilvl w:val="0"/>
          <w:numId w:val="0"/>
        </w:numPr>
        <w:ind w:firstLine="600" w:firstLineChars="200"/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7月2日游仙00:00=（2300-调整值）*21.51%</w:t>
      </w:r>
    </w:p>
    <w:p w14:paraId="0469006F">
      <w:pPr>
        <w:numPr>
          <w:ilvl w:val="0"/>
          <w:numId w:val="0"/>
        </w:numPr>
        <w:ind w:firstLine="600" w:firstLineChars="200"/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以此类推</w:t>
      </w:r>
    </w:p>
    <w:p w14:paraId="15BB5A12">
      <w:pPr>
        <w:numPr>
          <w:ilvl w:val="0"/>
          <w:numId w:val="0"/>
        </w:numPr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将（绵阳主网有功负荷计划值－三台下网调整量－涡轮院试验负荷－因关口原因总量减少值）进行分配，依据上述占比进行96点自动分配。</w:t>
      </w:r>
    </w:p>
    <w:p w14:paraId="49DC5AC2">
      <w:pPr>
        <w:numPr>
          <w:ilvl w:val="0"/>
          <w:numId w:val="0"/>
        </w:numPr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②游仙的最后分配值=上述的自动分配值+涡轮院站试验负荷</w:t>
      </w:r>
    </w:p>
    <w:p w14:paraId="3A425457">
      <w:pPr>
        <w:numPr>
          <w:ilvl w:val="0"/>
          <w:numId w:val="0"/>
        </w:numPr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③三台下网的最后分配值=上述的自动分配值+三台下网调整量</w:t>
      </w:r>
    </w:p>
    <w:p w14:paraId="3B278AB3">
      <w:pPr>
        <w:pStyle w:val="2"/>
        <w:rPr>
          <w:rFonts w:hint="eastAsia" w:ascii="仿宋" w:hAnsi="仿宋" w:eastAsia="仿宋" w:cs="仿宋"/>
          <w:sz w:val="30"/>
          <w:szCs w:val="30"/>
          <w:lang w:val="en-US" w:eastAsia="zh-CN"/>
        </w:rPr>
      </w:pPr>
    </w:p>
    <w:p w14:paraId="588EBB89">
      <w:pPr>
        <w:numPr>
          <w:ilvl w:val="0"/>
          <w:numId w:val="0"/>
        </w:numPr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④天气不考虑，只需要按照比例计算出数据</w:t>
      </w:r>
    </w:p>
    <w:p w14:paraId="3750EAB5">
      <w:pPr>
        <w:numPr>
          <w:ilvl w:val="0"/>
          <w:numId w:val="0"/>
        </w:numPr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⑤比例一旦确定，不会进行更改，只是可以手动进行微小调整</w:t>
      </w:r>
    </w:p>
    <w:p w14:paraId="0454DD26">
      <w:pPr>
        <w:numPr>
          <w:ilvl w:val="0"/>
          <w:numId w:val="0"/>
        </w:numPr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⑥分配后显示主网计划、市区（不含三台）、游仙、安州、江油（不含平武）、梓潼、北川、盐亭、三台下网、平武下网10个地区的分配曲线。</w:t>
      </w:r>
    </w:p>
    <w:p w14:paraId="1487A561">
      <w:pPr>
        <w:pStyle w:val="2"/>
        <w:jc w:val="both"/>
      </w:pPr>
      <w:bookmarkStart w:id="0" w:name="_GoBack"/>
      <w:bookmarkEnd w:id="0"/>
    </w:p>
    <w:p w14:paraId="40FDF1B9">
      <w:pPr>
        <w:pStyle w:val="2"/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E1ADA32"/>
    <w:multiLevelType w:val="singleLevel"/>
    <w:tmpl w:val="2E1ADA32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D27225"/>
    <w:rsid w:val="00D80F20"/>
    <w:rsid w:val="04D27225"/>
    <w:rsid w:val="04E83035"/>
    <w:rsid w:val="1168209E"/>
    <w:rsid w:val="19CA72DF"/>
    <w:rsid w:val="1D72724E"/>
    <w:rsid w:val="23B25A21"/>
    <w:rsid w:val="2C6F79BE"/>
    <w:rsid w:val="2E1C51B6"/>
    <w:rsid w:val="3DC064DE"/>
    <w:rsid w:val="40D340D2"/>
    <w:rsid w:val="52C4745A"/>
    <w:rsid w:val="60741968"/>
    <w:rsid w:val="75894A23"/>
    <w:rsid w:val="762848E9"/>
    <w:rsid w:val="76CD52B1"/>
    <w:rsid w:val="78350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spacing w:line="240" w:lineRule="atLeast"/>
      <w:jc w:val="both"/>
    </w:pPr>
    <w:rPr>
      <w:rFonts w:ascii="Times New Roman" w:hAnsi="Times New Roman" w:eastAsia="仿宋_GB2312" w:cs="Times New Roman"/>
      <w:kern w:val="2"/>
      <w:sz w:val="32"/>
      <w:szCs w:val="22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1517</Words>
  <Characters>2053</Characters>
  <Lines>0</Lines>
  <Paragraphs>0</Paragraphs>
  <TotalTime>7</TotalTime>
  <ScaleCrop>false</ScaleCrop>
  <LinksUpToDate>false</LinksUpToDate>
  <CharactersWithSpaces>2057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2025-05-27T02:59:00Z</dcterms:created>
  <dc:creator>教授</dc:creator>
  <cp:lastModifiedBy>教授</cp:lastModifiedBy>
  <dcterms:modified xsi:type="dcterms:W3CDTF">2025-06-05T06:32:29Z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8508CF5D0201486A82B44E5EEB147078_13</vt:lpwstr>
  </property>
  <property fmtid="{D5CDD505-2E9C-101B-9397-08002B2CF9AE}" pid="4" name="KSOTemplateDocerSaveRecord">
    <vt:lpwstr>eyJoZGlkIjoiNmQzMGJhYzhkMDUzMTY0MDM4MTQyYWYzYmZkMmJjYWUiLCJ1c2VySWQiOiI3MjM1MDcyMjcifQ==</vt:lpwstr>
  </property>
</Properties>
</file>