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left="0" w:hanging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Internet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left="0" w:hanging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five years of experience in test strategy design, test automation, test plan, test execution(manual and automated), and test framework/tool development in the highly regulated industry in a SCRUM/Agile environment. Experienced in complex test management and tractability. Have a deep understanding of functional testing with behavior-driven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Participating in multiple company-wide quality-related projects for a cloud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Advancing the product(React+Flask+GraphQL+SQLalchemy+PostgreSQL+OpenSearch) verification and validation by establishing SOP(standard operating procedure) for test case management that meets the regulations, designing/implementing a test traceability system with Jira/Xray integration, improving E2E (end-to-end) automated testing coverage for various teams/components by at least 30% using Cypress, and collaborating with various teams/components to create 300+ new E2E test cases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Worked on various test infrastructure improvements including but not limited to E2E (end-to-end) test framework development/maintenance/integration using Typescript(Cypress+Playwright) and Python, API/mobile test framework consultation, and CI/CD (continuous integration/continuous delivery+deployment) pipeline development/maintenance/management with AWS, Terraform, Buildkite, Webpack, Datadog, Sumologic, Docker and more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Onboarded new hires for the QE (Quality Engineering) team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Participated in an early version of GxP (regulations and guidelines applicable to life sciences organizations) product delivery. Helped create the SOP and some of its technical implementation/automation. In addition, acted as a release engineer for more than half a year. Responsibilities include developing release/upgrade plans, finalizing code for release, generating release patches, and performing testing and production environment deployments</w:t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left="346" w:hanging="274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 xml:space="preserve">University of Ottawa (2021 - </w:t>
      </w:r>
      <w:r>
        <w:rPr/>
        <w:t>2023</w:t>
      </w:r>
      <w:r>
        <w:rPr/>
        <w:t>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spacing w:before="120" w:after="120"/>
        <w:ind w:hanging="0"/>
        <w:contextualSpacing/>
        <w:rPr/>
      </w:pPr>
      <w:r>
        <w:rPr>
          <w:rFonts w:eastAsia="Calibri" w:cs="Segoe UI"/>
          <w:b/>
          <w:bCs/>
          <w:i w:val="false"/>
          <w:iCs/>
          <w:color w:val="595959" w:themeColor="text1" w:themeTint="a6"/>
          <w:sz w:val="20"/>
          <w:szCs w:val="20"/>
          <w:lang w:val="en-US" w:eastAsia="en-US" w:bidi="ar-SA"/>
        </w:rPr>
        <w:t>California State Department of Consumer Affairs | Engineer in Training</w:t>
      </w:r>
      <w:r>
        <w:rPr>
          <w:i w:val="false"/>
          <w:iCs/>
        </w:rPr>
        <w:t xml:space="preserve"> (2020)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val="595959" w:themeColor="text1" w:themeTint="a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left="547" w:hanging="0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left="346" w:hanging="274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14</TotalTime>
  <Application>LibreOffice/7.5.5.2$Linux_X86_64 LibreOffice_project/bf0ddd27f701ac1d9e0942bffe145c51e201aa5c</Application>
  <AppVersion>15.0000</AppVersion>
  <Pages>2</Pages>
  <Words>607</Words>
  <Characters>4083</Characters>
  <CharactersWithSpaces>4847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2023-08-12T00:05:47Z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