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five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Onboarded new hires for the QE (Quality Engineering) team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Foundation Level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GitHub | GitHub Foundations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rFonts w:eastAsia="Calibri" w:cs="Segoe UI"/>
          <w:b/>
          <w:bCs/>
          <w:i w:val="false"/>
          <w:iCs/>
          <w:color w:themeColor="text1" w:themeTint="a6" w:val="595959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21</TotalTime>
  <Application>LibreOffice/24.2.2.2$Linux_X86_64 LibreOffice_project/427a8baee0312a7693737440f205d2e411d50bad</Application>
  <AppVersion>15.0000</AppVersion>
  <Pages>2</Pages>
  <Words>623</Words>
  <Characters>4204</Characters>
  <CharactersWithSpaces>4982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2024-04-17T18:38:17Z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