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D5167" w14:textId="77777777" w:rsidR="0074114A" w:rsidRPr="00B6264E" w:rsidRDefault="00542B8B">
      <w:pPr>
        <w:jc w:val="center"/>
        <w:rPr>
          <w:b/>
          <w:bCs/>
          <w:lang w:val="nb-NO"/>
        </w:rPr>
      </w:pPr>
      <w:r w:rsidRPr="00B6264E">
        <w:rPr>
          <w:b/>
          <w:bCs/>
          <w:lang w:val="nb-NO"/>
        </w:rPr>
        <w:t>Template for Lab Website  (Ryten Lab)</w:t>
      </w:r>
    </w:p>
    <w:p w14:paraId="7248A6AB" w14:textId="77777777" w:rsidR="0074114A" w:rsidRPr="00B6264E" w:rsidRDefault="0074114A">
      <w:pPr>
        <w:rPr>
          <w:lang w:val="nb-NO"/>
        </w:rPr>
      </w:pPr>
    </w:p>
    <w:p w14:paraId="682EEE8C" w14:textId="77777777" w:rsidR="0074114A" w:rsidRDefault="00542B8B">
      <w:r>
        <w:t>SECTION A</w:t>
      </w:r>
    </w:p>
    <w:p w14:paraId="6B825795" w14:textId="77777777" w:rsidR="0074114A" w:rsidRDefault="00542B8B">
      <w:r>
        <w:t>Personal details: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74114A" w14:paraId="1A3EEE17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66F076" w14:textId="77777777" w:rsidR="0074114A" w:rsidRDefault="00542B8B">
            <w:pPr>
              <w:pStyle w:val="TableContents"/>
            </w:pPr>
            <w:r>
              <w:t>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237FC3" w14:textId="77777777" w:rsidR="0074114A" w:rsidRDefault="00542B8B">
            <w:pPr>
              <w:pStyle w:val="TableContents"/>
            </w:pPr>
            <w:r>
              <w:t>Title: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E92BB7" w14:textId="67D98BFF" w:rsidR="0074114A" w:rsidRDefault="00AB4295">
            <w:pPr>
              <w:pStyle w:val="TableContents"/>
            </w:pPr>
            <w:r>
              <w:t>MA BMBCh MRCP</w:t>
            </w:r>
          </w:p>
        </w:tc>
      </w:tr>
      <w:tr w:rsidR="0074114A" w14:paraId="66B9B2A1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409D54" w14:textId="77777777" w:rsidR="0074114A" w:rsidRDefault="00542B8B">
            <w:pPr>
              <w:pStyle w:val="TableContents"/>
            </w:pPr>
            <w:r>
              <w:t>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E08976" w14:textId="77777777" w:rsidR="0074114A" w:rsidRDefault="00542B8B">
            <w:pPr>
              <w:pStyle w:val="TableContents"/>
            </w:pPr>
            <w:r>
              <w:t>Position: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066E13" w14:textId="77777777" w:rsidR="0074114A" w:rsidRDefault="00B6264E">
            <w:pPr>
              <w:pStyle w:val="TableContents"/>
            </w:pPr>
            <w:r>
              <w:t>PhD Student</w:t>
            </w:r>
          </w:p>
        </w:tc>
      </w:tr>
      <w:tr w:rsidR="0074114A" w14:paraId="627D706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06C19F" w14:textId="77777777" w:rsidR="0074114A" w:rsidRDefault="00542B8B">
            <w:pPr>
              <w:pStyle w:val="TableContents"/>
            </w:pPr>
            <w:r>
              <w:t>III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3EE9A0" w14:textId="77777777" w:rsidR="0074114A" w:rsidRDefault="00542B8B">
            <w:pPr>
              <w:pStyle w:val="TableContents"/>
            </w:pPr>
            <w:r>
              <w:t>Surname: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955227" w14:textId="4C626199" w:rsidR="0074114A" w:rsidRDefault="00AB4295">
            <w:pPr>
              <w:pStyle w:val="TableContents"/>
            </w:pPr>
            <w:r>
              <w:t>Chen</w:t>
            </w:r>
          </w:p>
        </w:tc>
      </w:tr>
      <w:tr w:rsidR="0074114A" w14:paraId="3388FFA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4D9E73" w14:textId="77777777" w:rsidR="0074114A" w:rsidRDefault="00542B8B">
            <w:pPr>
              <w:pStyle w:val="TableContents"/>
            </w:pPr>
            <w:r>
              <w:t>III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C44765" w14:textId="77777777" w:rsidR="0074114A" w:rsidRDefault="00542B8B">
            <w:pPr>
              <w:pStyle w:val="TableContents"/>
            </w:pPr>
            <w:r>
              <w:t>Firstname: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F3A837" w14:textId="7084AED3" w:rsidR="0074114A" w:rsidRDefault="00AB4295">
            <w:pPr>
              <w:pStyle w:val="TableContents"/>
            </w:pPr>
            <w:r>
              <w:t>Zhongbo</w:t>
            </w:r>
          </w:p>
        </w:tc>
      </w:tr>
      <w:tr w:rsidR="0074114A" w14:paraId="537B7232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9C3F482" w14:textId="3D5DA81C" w:rsidR="0074114A" w:rsidRDefault="0074114A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D87EAB7" w14:textId="4B7407D7" w:rsidR="0074114A" w:rsidRDefault="0074114A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445B9D" w14:textId="43B9D6D8" w:rsidR="0074114A" w:rsidRDefault="0074114A">
            <w:pPr>
              <w:pStyle w:val="TableContents"/>
            </w:pPr>
          </w:p>
        </w:tc>
      </w:tr>
    </w:tbl>
    <w:p w14:paraId="41D8D20A" w14:textId="77777777" w:rsidR="0074114A" w:rsidRDefault="0074114A"/>
    <w:p w14:paraId="35FE965C" w14:textId="77777777" w:rsidR="0074114A" w:rsidRDefault="00542B8B">
      <w:r>
        <w:t>SECTION B</w:t>
      </w:r>
    </w:p>
    <w:p w14:paraId="02DB2144" w14:textId="77777777" w:rsidR="0074114A" w:rsidRDefault="00542B8B">
      <w:r>
        <w:t>Contact details: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C02057" w14:paraId="34EEE3C5" w14:textId="77777777" w:rsidTr="00C0205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97D903" w14:textId="136A4F83" w:rsidR="00C02057" w:rsidRDefault="00C02057">
            <w:pPr>
              <w:pStyle w:val="TableContents"/>
            </w:pPr>
            <w:r>
              <w:t>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6D217A" w14:textId="70790C7C" w:rsidR="00C02057" w:rsidRDefault="00C02057">
            <w:pPr>
              <w:pStyle w:val="TableContents"/>
            </w:pPr>
            <w:r>
              <w:t>Email: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AA50EA" w14:textId="27F722B8" w:rsidR="00C02057" w:rsidRDefault="00AB4295">
            <w:pPr>
              <w:pStyle w:val="TableContents"/>
            </w:pPr>
            <w:r>
              <w:t>zhongbo.chen</w:t>
            </w:r>
            <w:r w:rsidR="00C02057">
              <w:t>@ucl.ac.uk</w:t>
            </w:r>
          </w:p>
        </w:tc>
      </w:tr>
      <w:tr w:rsidR="00C02057" w14:paraId="24794B36" w14:textId="77777777" w:rsidTr="00C0205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BA4D056" w14:textId="20C825D6" w:rsidR="00C02057" w:rsidRDefault="00C02057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CD94FEF" w14:textId="7DEDA461" w:rsidR="00C02057" w:rsidRDefault="00C02057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DC2B64" w14:textId="7D31E365" w:rsidR="00C02057" w:rsidRDefault="00C02057">
            <w:pPr>
              <w:pStyle w:val="TableContents"/>
            </w:pPr>
          </w:p>
        </w:tc>
      </w:tr>
    </w:tbl>
    <w:p w14:paraId="5C470CB7" w14:textId="77777777" w:rsidR="0074114A" w:rsidRDefault="0074114A"/>
    <w:p w14:paraId="2CBFA7DE" w14:textId="77777777" w:rsidR="0074114A" w:rsidRDefault="00542B8B">
      <w:r>
        <w:t>SECTION C</w:t>
      </w:r>
    </w:p>
    <w:p w14:paraId="4F97ABE4" w14:textId="77777777" w:rsidR="0074114A" w:rsidRDefault="00542B8B">
      <w:r>
        <w:t>Research Interests: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0D512F3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8AA252B" w14:textId="5C591B9A" w:rsidR="0098608F" w:rsidRPr="006310E4" w:rsidRDefault="0098608F">
            <w:pPr>
              <w:pStyle w:val="TableContents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6310E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Genetics; </w:t>
            </w:r>
            <w:r w:rsidR="00AB429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Neurodegenerative diseases; Clinical Neurology</w:t>
            </w:r>
            <w:r w:rsidR="000B5E7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; Bioinformatics</w:t>
            </w:r>
          </w:p>
          <w:p w14:paraId="0260A636" w14:textId="77777777" w:rsidR="0074114A" w:rsidRDefault="0074114A">
            <w:pPr>
              <w:pStyle w:val="TableContents"/>
            </w:pPr>
          </w:p>
        </w:tc>
      </w:tr>
    </w:tbl>
    <w:p w14:paraId="1944CA00" w14:textId="77777777" w:rsidR="0074114A" w:rsidRDefault="0074114A"/>
    <w:p w14:paraId="7F0624AF" w14:textId="77777777" w:rsidR="0074114A" w:rsidRDefault="00542B8B">
      <w:r>
        <w:t>SECTION D</w:t>
      </w:r>
    </w:p>
    <w:p w14:paraId="29BA40BE" w14:textId="77777777" w:rsidR="0074114A" w:rsidRDefault="00542B8B">
      <w:r>
        <w:t>Biography: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3011F18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6A9ACAF" w14:textId="77777777" w:rsidR="008017BC" w:rsidRDefault="00AB4295" w:rsidP="008017BC">
            <w:pPr>
              <w:pStyle w:val="TableContents"/>
            </w:pPr>
            <w:r>
              <w:t>Zhongbo</w:t>
            </w:r>
            <w:r w:rsidR="006310E4">
              <w:t xml:space="preserve"> is a </w:t>
            </w:r>
            <w:r>
              <w:t xml:space="preserve">first-year </w:t>
            </w:r>
            <w:r w:rsidR="006310E4">
              <w:t xml:space="preserve">PhD student </w:t>
            </w:r>
            <w:r>
              <w:t>and clinical research fellow on</w:t>
            </w:r>
            <w:r w:rsidR="006310E4">
              <w:t xml:space="preserve"> the Leonard Wolfson Programme at UCL.</w:t>
            </w:r>
            <w:r>
              <w:t xml:space="preserve"> She is </w:t>
            </w:r>
            <w:r w:rsidR="00CC486F">
              <w:t xml:space="preserve">excited to be </w:t>
            </w:r>
            <w:r>
              <w:t xml:space="preserve">on her first rotation in the Ryten Lab. </w:t>
            </w:r>
          </w:p>
          <w:p w14:paraId="6906DF29" w14:textId="77777777" w:rsidR="008017BC" w:rsidRDefault="008017BC" w:rsidP="008017BC">
            <w:pPr>
              <w:pStyle w:val="TableContents"/>
            </w:pPr>
          </w:p>
          <w:p w14:paraId="6497EB4D" w14:textId="6B38B06F" w:rsidR="008017BC" w:rsidRDefault="00AB4295" w:rsidP="008017BC">
            <w:pPr>
              <w:pStyle w:val="TableContents"/>
            </w:pPr>
            <w:r>
              <w:t>Zhongbo</w:t>
            </w:r>
            <w:r w:rsidR="00D074F4">
              <w:t xml:space="preserve"> qualified as a doctor in 2010</w:t>
            </w:r>
            <w:r w:rsidR="003F3DA0">
              <w:t>.</w:t>
            </w:r>
            <w:r w:rsidR="00287141">
              <w:t xml:space="preserve"> Before embarking on</w:t>
            </w:r>
            <w:r w:rsidR="003F3DA0">
              <w:t xml:space="preserve"> the PhD, she was </w:t>
            </w:r>
            <w:r w:rsidR="005B02C1">
              <w:t>a</w:t>
            </w:r>
            <w:r>
              <w:t xml:space="preserve"> specialist registrar in Neurology</w:t>
            </w:r>
            <w:r w:rsidR="003F3DA0">
              <w:t xml:space="preserve"> </w:t>
            </w:r>
            <w:r>
              <w:t>work</w:t>
            </w:r>
            <w:r w:rsidR="005B02C1">
              <w:t>ing</w:t>
            </w:r>
            <w:r>
              <w:t xml:space="preserve"> at the National Hospital for Neurology and N</w:t>
            </w:r>
            <w:r w:rsidR="00CC486F">
              <w:t>eurosurgery</w:t>
            </w:r>
            <w:r>
              <w:t xml:space="preserve">. </w:t>
            </w:r>
            <w:r w:rsidR="006310E4">
              <w:t xml:space="preserve"> </w:t>
            </w:r>
            <w:r>
              <w:t>Zhongbo</w:t>
            </w:r>
            <w:r w:rsidR="003F3DA0">
              <w:t>’s</w:t>
            </w:r>
            <w:r>
              <w:t xml:space="preserve"> clinical</w:t>
            </w:r>
            <w:r w:rsidR="00CC486F">
              <w:t xml:space="preserve"> and </w:t>
            </w:r>
            <w:r w:rsidR="00C35228">
              <w:t xml:space="preserve">academic </w:t>
            </w:r>
            <w:r w:rsidR="00CC486F">
              <w:t>research</w:t>
            </w:r>
            <w:r>
              <w:t xml:space="preserve"> interests are in</w:t>
            </w:r>
            <w:r w:rsidR="000B5E70">
              <w:t xml:space="preserve"> studying the underlying genetic</w:t>
            </w:r>
            <w:r w:rsidR="000A0179">
              <w:t>s</w:t>
            </w:r>
            <w:r w:rsidR="00E11023">
              <w:t xml:space="preserve"> </w:t>
            </w:r>
            <w:r w:rsidR="000B5E70">
              <w:t>and molecular mechanisms of</w:t>
            </w:r>
            <w:r>
              <w:t xml:space="preserve"> neurodegenerative diseases</w:t>
            </w:r>
            <w:r w:rsidR="005B02C1">
              <w:t>,</w:t>
            </w:r>
            <w:r>
              <w:t xml:space="preserve"> including amyotrophic lateral sclerosis and progressive supranuclear palsy. </w:t>
            </w:r>
          </w:p>
          <w:p w14:paraId="45610620" w14:textId="3634DCC2" w:rsidR="000B5E70" w:rsidRDefault="000B5E70">
            <w:pPr>
              <w:pStyle w:val="TableContents"/>
            </w:pPr>
          </w:p>
          <w:p w14:paraId="20033D69" w14:textId="77777777" w:rsidR="0074114A" w:rsidRDefault="000B5E70" w:rsidP="000B5E70">
            <w:pPr>
              <w:pStyle w:val="TableContents"/>
            </w:pPr>
            <w:r>
              <w:t xml:space="preserve">Zhongbo’s research interests started during her undergraduate degree in Physiology and Neuroscience at the University of Cambridge, where she studied the electrophysiology of skeletal muscle </w:t>
            </w:r>
            <w:r w:rsidR="000A0179">
              <w:t xml:space="preserve">using microelectrodes </w:t>
            </w:r>
            <w:r>
              <w:t>for her final year project</w:t>
            </w:r>
            <w:r w:rsidR="003F3DA0">
              <w:t xml:space="preserve"> She</w:t>
            </w:r>
            <w:r>
              <w:t xml:space="preserve"> complet</w:t>
            </w:r>
            <w:r w:rsidR="003F3DA0">
              <w:t>ed</w:t>
            </w:r>
            <w:r>
              <w:t xml:space="preserve"> her clinical medicine degree at the University of Oxford. </w:t>
            </w:r>
            <w:r w:rsidR="005B02C1">
              <w:t xml:space="preserve"> After graduating from Oxford</w:t>
            </w:r>
            <w:r w:rsidR="008017BC">
              <w:t xml:space="preserve">, </w:t>
            </w:r>
            <w:r w:rsidR="005B02C1">
              <w:t xml:space="preserve">Zhongbo </w:t>
            </w:r>
            <w:r w:rsidR="008017BC">
              <w:t>was awarded an academic foundation post at Imperial College London investigating the epidemiology of stroke</w:t>
            </w:r>
            <w:r w:rsidR="005B02C1">
              <w:t>, which was followed by</w:t>
            </w:r>
            <w:r w:rsidR="008017BC">
              <w:t xml:space="preserve"> a three-year NIHR-funded academic clinical fellowship</w:t>
            </w:r>
            <w:r w:rsidR="000A0179">
              <w:t xml:space="preserve"> (ACF)</w:t>
            </w:r>
            <w:r w:rsidR="008017BC">
              <w:t xml:space="preserve"> </w:t>
            </w:r>
            <w:r w:rsidR="003F3DA0">
              <w:t xml:space="preserve">in Neurology </w:t>
            </w:r>
            <w:r w:rsidR="008017BC">
              <w:t>at King’s College London</w:t>
            </w:r>
            <w:r w:rsidR="00C35228">
              <w:t>.</w:t>
            </w:r>
            <w:r w:rsidR="000A0179">
              <w:t xml:space="preserve"> Alongside </w:t>
            </w:r>
            <w:r w:rsidR="003F3DA0">
              <w:t>clinical</w:t>
            </w:r>
            <w:r w:rsidR="000A0179">
              <w:t xml:space="preserve"> neurology</w:t>
            </w:r>
            <w:r w:rsidR="003F3DA0">
              <w:t xml:space="preserve"> training, </w:t>
            </w:r>
            <w:r w:rsidR="000A0179">
              <w:t>she developed</w:t>
            </w:r>
            <w:r w:rsidR="00E11023">
              <w:t xml:space="preserve"> her interests in </w:t>
            </w:r>
            <w:r w:rsidR="000A0179">
              <w:t xml:space="preserve">the genetics of neurodegenerative diseases during the ACF, which culminated in the award of the Leonard Wolfson PhD fellowship. </w:t>
            </w:r>
          </w:p>
          <w:p w14:paraId="1B277005" w14:textId="1AA3FBE5" w:rsidR="00E11023" w:rsidRDefault="00E11023" w:rsidP="000B5E70">
            <w:pPr>
              <w:pStyle w:val="TableContents"/>
            </w:pPr>
          </w:p>
        </w:tc>
      </w:tr>
    </w:tbl>
    <w:p w14:paraId="6D12CD28" w14:textId="77777777" w:rsidR="0074114A" w:rsidRDefault="0074114A"/>
    <w:p w14:paraId="12ECC725" w14:textId="77777777" w:rsidR="004473D3" w:rsidRDefault="004473D3"/>
    <w:p w14:paraId="4AD4C2A9" w14:textId="77777777" w:rsidR="004473D3" w:rsidRDefault="004473D3"/>
    <w:p w14:paraId="37FC1709" w14:textId="77777777" w:rsidR="004473D3" w:rsidRDefault="004473D3"/>
    <w:p w14:paraId="43253755" w14:textId="77777777" w:rsidR="004473D3" w:rsidRDefault="004473D3"/>
    <w:p w14:paraId="778E73EA" w14:textId="77777777" w:rsidR="004473D3" w:rsidRDefault="004473D3"/>
    <w:p w14:paraId="724C7E55" w14:textId="77777777" w:rsidR="004473D3" w:rsidRDefault="004473D3"/>
    <w:p w14:paraId="53F6A6B6" w14:textId="2F01C76D" w:rsidR="0074114A" w:rsidRDefault="00542B8B">
      <w:r>
        <w:lastRenderedPageBreak/>
        <w:t>SECTION F</w:t>
      </w:r>
    </w:p>
    <w:p w14:paraId="38666E08" w14:textId="77777777" w:rsidR="0074114A" w:rsidRDefault="00542B8B">
      <w:r>
        <w:t>List of publications: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16501997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B54D5B" w14:textId="7CFBAB2E" w:rsidR="004C3D48" w:rsidRPr="00574316" w:rsidRDefault="004C3D48" w:rsidP="004C3D4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="Calibri"/>
                <w:noProof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Chen, J. A., </w:t>
            </w:r>
            <w:r w:rsidRPr="004C3D48"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  <w:t>Chen, Z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., Won, H., Huang, A. Y., Lowe, J. K., Wojta, K., . . . Coppola, G. (2018). </w:t>
            </w:r>
            <w:hyperlink r:id="rId5" w:history="1">
              <w:r>
                <w:rPr>
                  <w:rStyle w:val="Hyperlink"/>
                  <w:rFonts w:ascii="Arial" w:hAnsi="Arial" w:cs="Arial"/>
                  <w:b/>
                  <w:bCs/>
                  <w:color w:val="017D98"/>
                  <w:sz w:val="18"/>
                  <w:szCs w:val="18"/>
                  <w:bdr w:val="none" w:sz="0" w:space="0" w:color="auto" w:frame="1"/>
                </w:rPr>
                <w:t>Joint genome-wide association study of progressive supranuclear palsy identifies novel susceptibility loci and genetic correlation to neurodegenerative diseases</w:t>
              </w:r>
            </w:hyperlink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. </w:t>
            </w:r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bdr w:val="none" w:sz="0" w:space="0" w:color="auto" w:frame="1"/>
                <w:shd w:val="clear" w:color="auto" w:fill="FFFFFF"/>
              </w:rPr>
              <w:t>Mol Neurodegener, 13 (1)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, 41. doi:10.1186/s13024-018-0270-8</w:t>
            </w:r>
          </w:p>
          <w:p w14:paraId="29B01707" w14:textId="631FAFC4" w:rsidR="004C3D48" w:rsidRDefault="004C3D48" w:rsidP="00C02057">
            <w:pPr>
              <w:spacing w:after="12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4C3D48"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  <w:t>Chen, Z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., Lin, K., Macklis, J. D., &amp; Al-Chalabi, A. (2017). </w:t>
            </w:r>
            <w:hyperlink r:id="rId6" w:history="1">
              <w:r>
                <w:rPr>
                  <w:rStyle w:val="Hyperlink"/>
                  <w:rFonts w:ascii="Arial" w:hAnsi="Arial" w:cs="Arial"/>
                  <w:b/>
                  <w:bCs/>
                  <w:color w:val="017D98"/>
                  <w:sz w:val="18"/>
                  <w:szCs w:val="18"/>
                  <w:bdr w:val="none" w:sz="0" w:space="0" w:color="auto" w:frame="1"/>
                </w:rPr>
                <w:t>Proposed association between the hexanucleotide repeat of C9orf72 and opposability index of the thumb</w:t>
              </w:r>
            </w:hyperlink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. </w:t>
            </w:r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bdr w:val="none" w:sz="0" w:space="0" w:color="auto" w:frame="1"/>
                <w:shd w:val="clear" w:color="auto" w:fill="FFFFFF"/>
              </w:rPr>
              <w:t>Amyotroph Lateral Scler Frontotemporal Degener, 18 (3-4)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, 175-181. doi:10.1080/21678421.2016.1257024</w:t>
            </w:r>
          </w:p>
          <w:p w14:paraId="6016D17C" w14:textId="64C34B3C" w:rsidR="004C3D48" w:rsidRDefault="004C3D48" w:rsidP="00C02057">
            <w:pPr>
              <w:spacing w:after="12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Gaastra, B., Shatunov, A., Pulit, S., Jones, A. R., Sproviero, W., Gillett, A., </w:t>
            </w:r>
            <w:r w:rsidRPr="004C3D48"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  <w:t>Chen, Z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., . . . Al-Chalabi, A. (2016). </w:t>
            </w:r>
            <w:hyperlink r:id="rId7" w:history="1">
              <w:r>
                <w:rPr>
                  <w:rStyle w:val="Hyperlink"/>
                  <w:rFonts w:ascii="Arial" w:hAnsi="Arial" w:cs="Arial"/>
                  <w:b/>
                  <w:bCs/>
                  <w:color w:val="017D98"/>
                  <w:sz w:val="18"/>
                  <w:szCs w:val="18"/>
                  <w:bdr w:val="none" w:sz="0" w:space="0" w:color="auto" w:frame="1"/>
                </w:rPr>
                <w:t>Rare genetic variation in UNC13A may modify survival in amyotrophic lateral sclerosis</w:t>
              </w:r>
            </w:hyperlink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. </w:t>
            </w:r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bdr w:val="none" w:sz="0" w:space="0" w:color="auto" w:frame="1"/>
                <w:shd w:val="clear" w:color="auto" w:fill="FFFFFF"/>
              </w:rPr>
              <w:t>Amyotroph Lateral Scler Frontotemporal Degener, 17 (7-8)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, 593-599. doi:10.1080/21678421.2016.1213852</w:t>
            </w:r>
          </w:p>
          <w:p w14:paraId="73B706C3" w14:textId="0CF13211" w:rsidR="004C3D48" w:rsidRDefault="004C3D48" w:rsidP="00C02057">
            <w:pPr>
              <w:spacing w:after="12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Rutter-Locher, Z.*, </w:t>
            </w:r>
            <w:r w:rsidRPr="004C3D48"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  <w:t>Chen, Z.</w:t>
            </w:r>
            <w:r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  <w:t>*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(*joint first author), Flores, L., Basu, T., Creamer, D., Weeks, R., . . . Nashef, L. (2016). </w:t>
            </w:r>
            <w:hyperlink r:id="rId8" w:history="1">
              <w:r>
                <w:rPr>
                  <w:rStyle w:val="Hyperlink"/>
                  <w:rFonts w:ascii="Arial" w:hAnsi="Arial" w:cs="Arial"/>
                  <w:b/>
                  <w:bCs/>
                  <w:color w:val="017D98"/>
                  <w:sz w:val="18"/>
                  <w:szCs w:val="18"/>
                  <w:bdr w:val="none" w:sz="0" w:space="0" w:color="auto" w:frame="1"/>
                </w:rPr>
                <w:t>Sneddon's syndrome: it is all in the ectoderm</w:t>
              </w:r>
            </w:hyperlink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. </w:t>
            </w:r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bdr w:val="none" w:sz="0" w:space="0" w:color="auto" w:frame="1"/>
                <w:shd w:val="clear" w:color="auto" w:fill="FFFFFF"/>
              </w:rPr>
              <w:t>Pract Neurol, 16 (4)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, 300-303. doi:10.1136/practneurol-2015-001341</w:t>
            </w:r>
          </w:p>
          <w:p w14:paraId="556661A7" w14:textId="31350D9D" w:rsidR="00295898" w:rsidRDefault="00295898" w:rsidP="007F449C">
            <w:pPr>
              <w:spacing w:after="120"/>
              <w:jc w:val="both"/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</w:pPr>
            <w:r w:rsidRPr="00295898"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  <w:t>Chen, Z.,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Shatunov, A., Bensimon, G., Payan, C., Ludolph, A., Leigh, N., . . . Al-Chalabi, A. (2015). </w:t>
            </w:r>
            <w:hyperlink r:id="rId9" w:history="1">
              <w:r>
                <w:rPr>
                  <w:rStyle w:val="Hyperlink"/>
                  <w:rFonts w:ascii="Arial" w:hAnsi="Arial" w:cs="Arial"/>
                  <w:b/>
                  <w:bCs/>
                  <w:color w:val="017D98"/>
                  <w:sz w:val="18"/>
                  <w:szCs w:val="18"/>
                  <w:bdr w:val="none" w:sz="0" w:space="0" w:color="auto" w:frame="1"/>
                </w:rPr>
                <w:t>A genome-wide association study in progressive supranuclear palsy</w:t>
              </w:r>
            </w:hyperlink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. </w:t>
            </w:r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bdr w:val="none" w:sz="0" w:space="0" w:color="auto" w:frame="1"/>
                <w:shd w:val="clear" w:color="auto" w:fill="FFFFFF"/>
              </w:rPr>
              <w:t>Journal of Neurology, Neurosurgery &amp; Psychiatry, 86 (11)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, e4.68-e4. doi:10.1136/jnnp-2015-312379.16</w:t>
            </w:r>
          </w:p>
          <w:p w14:paraId="5DA58AEF" w14:textId="6C40813E" w:rsidR="00295898" w:rsidRDefault="00295898" w:rsidP="007F449C">
            <w:pPr>
              <w:spacing w:after="120"/>
              <w:jc w:val="both"/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</w:pPr>
            <w:r w:rsidRPr="00295898"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  <w:t>Chen, Z.,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Lin, K., Shatunov, A., Jones, A., &amp; Al-Chalabi, A. (2015). </w:t>
            </w:r>
            <w:hyperlink r:id="rId10" w:history="1">
              <w:r>
                <w:rPr>
                  <w:rStyle w:val="Hyperlink"/>
                  <w:rFonts w:ascii="Arial" w:hAnsi="Arial" w:cs="Arial"/>
                  <w:b/>
                  <w:bCs/>
                  <w:color w:val="017D98"/>
                  <w:sz w:val="18"/>
                  <w:szCs w:val="18"/>
                  <w:bdr w:val="none" w:sz="0" w:space="0" w:color="auto" w:frame="1"/>
                </w:rPr>
                <w:t>Gene set enrichment analysis in amyotrophic lateral sclerosis</w:t>
              </w:r>
            </w:hyperlink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. </w:t>
            </w:r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bdr w:val="none" w:sz="0" w:space="0" w:color="auto" w:frame="1"/>
                <w:shd w:val="clear" w:color="auto" w:fill="FFFFFF"/>
              </w:rPr>
              <w:t>Journal of Neurology, Neurosurgery &amp; Psychiatry, 86 (11)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, e4.57-e4. doi:10.1136/jnnp-2015-312379.15</w:t>
            </w:r>
          </w:p>
          <w:p w14:paraId="410534BE" w14:textId="4991137D" w:rsidR="007F449C" w:rsidRDefault="007F449C" w:rsidP="007F449C">
            <w:pPr>
              <w:spacing w:after="12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D551D3"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  <w:t>Chen, Z.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(2013). </w:t>
            </w:r>
            <w:hyperlink r:id="rId11" w:history="1">
              <w:r>
                <w:rPr>
                  <w:rStyle w:val="Hyperlink"/>
                  <w:rFonts w:ascii="Arial" w:hAnsi="Arial" w:cs="Arial"/>
                  <w:b/>
                  <w:bCs/>
                  <w:color w:val="017D98"/>
                  <w:sz w:val="18"/>
                  <w:szCs w:val="18"/>
                  <w:bdr w:val="none" w:sz="0" w:space="0" w:color="auto" w:frame="1"/>
                </w:rPr>
                <w:t>Maximising opportunities in the academic foundation programme</w:t>
              </w:r>
            </w:hyperlink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. </w:t>
            </w:r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bdr w:val="none" w:sz="0" w:space="0" w:color="auto" w:frame="1"/>
                <w:shd w:val="clear" w:color="auto" w:fill="FFFFFF"/>
              </w:rPr>
              <w:t>BMJ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, f3461. doi:10.1136/bmj.f3461</w:t>
            </w:r>
          </w:p>
          <w:p w14:paraId="5FAA862E" w14:textId="5C8DC521" w:rsidR="004C3D48" w:rsidRDefault="004C3D48" w:rsidP="00C02057">
            <w:pPr>
              <w:spacing w:after="12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Sohaib, S. M. A., </w:t>
            </w:r>
            <w:r w:rsidRPr="004C3D48"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  <w:t>Chen, Z.,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Whinnett, Z. I., Bouri, S., Dickstein, K., Linde, C., . . . Francis, D. P. (2013). </w:t>
            </w:r>
            <w:hyperlink r:id="rId12" w:history="1">
              <w:r>
                <w:rPr>
                  <w:rStyle w:val="Hyperlink"/>
                  <w:rFonts w:ascii="Arial" w:hAnsi="Arial" w:cs="Arial"/>
                  <w:b/>
                  <w:bCs/>
                  <w:color w:val="017D98"/>
                  <w:sz w:val="18"/>
                  <w:szCs w:val="18"/>
                  <w:bdr w:val="none" w:sz="0" w:space="0" w:color="auto" w:frame="1"/>
                </w:rPr>
                <w:t>Meta-analysis of symptomatic response attributable to the pacing component of cardiac resynchronization therapy</w:t>
              </w:r>
            </w:hyperlink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. </w:t>
            </w:r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bdr w:val="none" w:sz="0" w:space="0" w:color="auto" w:frame="1"/>
                <w:shd w:val="clear" w:color="auto" w:fill="FFFFFF"/>
              </w:rPr>
              <w:t>EUROPEAN JOURNAL OF HEART FAILURE, 15 (12)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, 1419-1428. doi:10.1093/eurjhf/hft139</w:t>
            </w:r>
          </w:p>
          <w:p w14:paraId="4A1658BF" w14:textId="0939FB4A" w:rsidR="004C3D48" w:rsidRDefault="004C3D48" w:rsidP="00C02057">
            <w:pPr>
              <w:spacing w:after="12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4C3D48"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  <w:t>Chen, Z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., &amp; Jones, H. (2012). </w:t>
            </w:r>
            <w:hyperlink r:id="rId13" w:history="1">
              <w:r>
                <w:rPr>
                  <w:rStyle w:val="Hyperlink"/>
                  <w:rFonts w:ascii="Arial" w:hAnsi="Arial" w:cs="Arial"/>
                  <w:b/>
                  <w:bCs/>
                  <w:color w:val="017D98"/>
                  <w:sz w:val="18"/>
                  <w:szCs w:val="18"/>
                  <w:bdr w:val="none" w:sz="0" w:space="0" w:color="auto" w:frame="1"/>
                </w:rPr>
                <w:t>A case of tricuspid regurgitation and congestive cardiac failure presenting with orbital pulsation</w:t>
              </w:r>
            </w:hyperlink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. </w:t>
            </w:r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bdr w:val="none" w:sz="0" w:space="0" w:color="auto" w:frame="1"/>
                <w:shd w:val="clear" w:color="auto" w:fill="FFFFFF"/>
              </w:rPr>
              <w:t>JRSM Cardiovasc Dis, 1 (1)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. doi:10.1258/cvd.2012.012005</w:t>
            </w:r>
          </w:p>
          <w:p w14:paraId="499DAACB" w14:textId="77777777" w:rsidR="004C3D48" w:rsidRDefault="004C3D48" w:rsidP="00C02057">
            <w:pPr>
              <w:spacing w:after="12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4C3D48"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  <w:t>Chen, Z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., Pandit, H., Taylor, A., Gill, H., Murray, D., &amp; Ostlere, S. (2011). </w:t>
            </w:r>
            <w:hyperlink r:id="rId14" w:history="1">
              <w:r>
                <w:rPr>
                  <w:rStyle w:val="Hyperlink"/>
                  <w:rFonts w:ascii="Arial" w:hAnsi="Arial" w:cs="Arial"/>
                  <w:b/>
                  <w:bCs/>
                  <w:color w:val="017D98"/>
                  <w:sz w:val="18"/>
                  <w:szCs w:val="18"/>
                  <w:bdr w:val="none" w:sz="0" w:space="0" w:color="auto" w:frame="1"/>
                </w:rPr>
                <w:t>Metal-on-metal hip resurfacings-a radiological perspective</w:t>
              </w:r>
            </w:hyperlink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. </w:t>
            </w:r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bdr w:val="none" w:sz="0" w:space="0" w:color="auto" w:frame="1"/>
                <w:shd w:val="clear" w:color="auto" w:fill="FFFFFF"/>
              </w:rPr>
              <w:t>EUROPEAN RADIOLOGY, 21 (3)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, 485-491. doi:10.1007/s00330-010-1946-9</w:t>
            </w:r>
          </w:p>
          <w:p w14:paraId="1BA6BA7C" w14:textId="30339851" w:rsidR="00FB5BD5" w:rsidRDefault="00FB5BD5" w:rsidP="00C02057">
            <w:pPr>
              <w:spacing w:after="12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FB5BD5"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  <w:t>Chen, Z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., &amp; Turner, M. R. (2010). </w:t>
            </w:r>
            <w:hyperlink r:id="rId15" w:history="1">
              <w:r>
                <w:rPr>
                  <w:rStyle w:val="Hyperlink"/>
                  <w:rFonts w:ascii="Arial" w:hAnsi="Arial" w:cs="Arial"/>
                  <w:b/>
                  <w:bCs/>
                  <w:color w:val="017D98"/>
                  <w:sz w:val="18"/>
                  <w:szCs w:val="18"/>
                  <w:bdr w:val="none" w:sz="0" w:space="0" w:color="auto" w:frame="1"/>
                </w:rPr>
                <w:t>The internet for self-diagnosis and prognostication in ALS</w:t>
              </w:r>
            </w:hyperlink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. </w:t>
            </w:r>
            <w:r w:rsidR="00330920">
              <w:rPr>
                <w:rFonts w:ascii="Arial" w:hAnsi="Arial" w:cs="Arial"/>
                <w:i/>
                <w:iCs/>
                <w:color w:val="222222"/>
                <w:sz w:val="18"/>
                <w:szCs w:val="18"/>
                <w:bdr w:val="none" w:sz="0" w:space="0" w:color="auto" w:frame="1"/>
                <w:shd w:val="clear" w:color="auto" w:fill="FFFFFF"/>
              </w:rPr>
              <w:t>Amyotrophic Lateral Sclerosis</w:t>
            </w:r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bdr w:val="none" w:sz="0" w:space="0" w:color="auto" w:frame="1"/>
                <w:shd w:val="clear" w:color="auto" w:fill="FFFFFF"/>
              </w:rPr>
              <w:t>, 11 (6)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, 565-567. doi:10.3109/17482968.2010.513054</w:t>
            </w:r>
          </w:p>
          <w:p w14:paraId="7E802D20" w14:textId="1FC7A798" w:rsidR="00FB5BD5" w:rsidRPr="00C02057" w:rsidRDefault="00FB5BD5" w:rsidP="00C02057">
            <w:pPr>
              <w:spacing w:after="120"/>
              <w:jc w:val="both"/>
              <w:rPr>
                <w:rFonts w:cs="Calibri"/>
                <w:noProof/>
              </w:rPr>
            </w:pPr>
            <w:r w:rsidRPr="00FB5BD5"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  <w:t>Chen, Z.,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Hothi, S. S., Xu, W., &amp; Huang, C. L. -. H. (2007). </w:t>
            </w:r>
            <w:hyperlink r:id="rId16" w:history="1">
              <w:r>
                <w:rPr>
                  <w:rStyle w:val="Hyperlink"/>
                  <w:rFonts w:ascii="Arial" w:hAnsi="Arial" w:cs="Arial"/>
                  <w:b/>
                  <w:bCs/>
                  <w:color w:val="017D98"/>
                  <w:sz w:val="18"/>
                  <w:szCs w:val="18"/>
                  <w:bdr w:val="none" w:sz="0" w:space="0" w:color="auto" w:frame="1"/>
                </w:rPr>
                <w:t>Conduction velocities in amphibian skeletal muscle fibres exposed to hyperosmotic extracellular solutions</w:t>
              </w:r>
            </w:hyperlink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. </w:t>
            </w:r>
            <w:r w:rsidR="00330920">
              <w:rPr>
                <w:rFonts w:ascii="Arial" w:hAnsi="Arial" w:cs="Arial"/>
                <w:i/>
                <w:iCs/>
                <w:color w:val="222222"/>
                <w:sz w:val="18"/>
                <w:szCs w:val="18"/>
                <w:bdr w:val="none" w:sz="0" w:space="0" w:color="auto" w:frame="1"/>
                <w:shd w:val="clear" w:color="auto" w:fill="FFFFFF"/>
              </w:rPr>
              <w:t>Journal of Muscle Research and Cell Motility</w:t>
            </w:r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bdr w:val="none" w:sz="0" w:space="0" w:color="auto" w:frame="1"/>
                <w:shd w:val="clear" w:color="auto" w:fill="FFFFFF"/>
              </w:rPr>
              <w:t>, 28 (4-5)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, 195-202. doi:10.1007/s10974-007-9115-8</w:t>
            </w:r>
          </w:p>
        </w:tc>
      </w:tr>
    </w:tbl>
    <w:p w14:paraId="19F27E2A" w14:textId="77777777" w:rsidR="0074114A" w:rsidRDefault="0074114A"/>
    <w:p w14:paraId="06DECF9A" w14:textId="77777777" w:rsidR="0074114A" w:rsidRDefault="0074114A"/>
    <w:p w14:paraId="2CCEFF38" w14:textId="77777777" w:rsidR="0074114A" w:rsidRDefault="00542B8B">
      <w:r>
        <w:t>SECTION G</w:t>
      </w:r>
    </w:p>
    <w:p w14:paraId="1C21CAA2" w14:textId="77777777" w:rsidR="0074114A" w:rsidRDefault="00542B8B">
      <w:r>
        <w:t>photograph:</w:t>
      </w:r>
    </w:p>
    <w:p w14:paraId="7EE80F71" w14:textId="1B87F14F" w:rsidR="00295898" w:rsidRDefault="000A1C36">
      <w:r>
        <w:rPr>
          <w:noProof/>
        </w:rPr>
        <w:drawing>
          <wp:inline distT="0" distB="0" distL="0" distR="0" wp14:anchorId="797D98EB" wp14:editId="0915E80B">
            <wp:extent cx="1908753" cy="254410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851" cy="254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589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4A"/>
    <w:rsid w:val="000849FF"/>
    <w:rsid w:val="000A0179"/>
    <w:rsid w:val="000A1C36"/>
    <w:rsid w:val="000B5E70"/>
    <w:rsid w:val="00182F20"/>
    <w:rsid w:val="001E5D1A"/>
    <w:rsid w:val="00277943"/>
    <w:rsid w:val="00287141"/>
    <w:rsid w:val="00294661"/>
    <w:rsid w:val="00295898"/>
    <w:rsid w:val="002E194A"/>
    <w:rsid w:val="00330920"/>
    <w:rsid w:val="003F3DA0"/>
    <w:rsid w:val="004473D3"/>
    <w:rsid w:val="004C3D48"/>
    <w:rsid w:val="00542B8B"/>
    <w:rsid w:val="005B02C1"/>
    <w:rsid w:val="006310E4"/>
    <w:rsid w:val="006C7341"/>
    <w:rsid w:val="006D5A07"/>
    <w:rsid w:val="0074114A"/>
    <w:rsid w:val="007F449C"/>
    <w:rsid w:val="008017BC"/>
    <w:rsid w:val="008656A9"/>
    <w:rsid w:val="0098608F"/>
    <w:rsid w:val="00AB4295"/>
    <w:rsid w:val="00B6264E"/>
    <w:rsid w:val="00C02057"/>
    <w:rsid w:val="00C35228"/>
    <w:rsid w:val="00CC486F"/>
    <w:rsid w:val="00D074F4"/>
    <w:rsid w:val="00D551D3"/>
    <w:rsid w:val="00D66AC1"/>
    <w:rsid w:val="00E11023"/>
    <w:rsid w:val="00F24F58"/>
    <w:rsid w:val="00FB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D501"/>
  <w15:docId w15:val="{FB6D7CB5-784E-41F6-9023-8D20002B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02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ris.ucl.ac.uk/iris/publication/1594029/2" TargetMode="External"/><Relationship Id="rId13" Type="http://schemas.openxmlformats.org/officeDocument/2006/relationships/hyperlink" Target="http://iris.ucl.ac.uk/iris/publication/1594031/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ris.ucl.ac.uk/iris/publication/1594030/1" TargetMode="External"/><Relationship Id="rId12" Type="http://schemas.openxmlformats.org/officeDocument/2006/relationships/hyperlink" Target="http://iris.ucl.ac.uk/iris/publication/1489013/3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iris.ucl.ac.uk/iris/publication/1594034/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iris.ucl.ac.uk/iris/publication/1594028/1" TargetMode="External"/><Relationship Id="rId11" Type="http://schemas.openxmlformats.org/officeDocument/2006/relationships/hyperlink" Target="http://iris.ucl.ac.uk/iris/publication/1594297/13" TargetMode="External"/><Relationship Id="rId5" Type="http://schemas.openxmlformats.org/officeDocument/2006/relationships/hyperlink" Target="http://iris.ucl.ac.uk/iris/publication/1594027/1" TargetMode="External"/><Relationship Id="rId15" Type="http://schemas.openxmlformats.org/officeDocument/2006/relationships/hyperlink" Target="http://iris.ucl.ac.uk/iris/publication/1594033/3" TargetMode="External"/><Relationship Id="rId10" Type="http://schemas.openxmlformats.org/officeDocument/2006/relationships/hyperlink" Target="http://iris.ucl.ac.uk/iris/publication/1594037/1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iris.ucl.ac.uk/iris/publication/1594036/13" TargetMode="External"/><Relationship Id="rId14" Type="http://schemas.openxmlformats.org/officeDocument/2006/relationships/hyperlink" Target="http://iris.ucl.ac.uk/iris/publication/1594032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F4F40-3439-4F23-A82B-D9230BB2C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Chen</dc:creator>
  <dc:description/>
  <cp:lastModifiedBy>Z Chen</cp:lastModifiedBy>
  <cp:revision>17</cp:revision>
  <dcterms:created xsi:type="dcterms:W3CDTF">2018-11-02T18:21:00Z</dcterms:created>
  <dcterms:modified xsi:type="dcterms:W3CDTF">2018-11-05T09:50:00Z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http://www.zotero.org/styles/human-molecular-genetics</vt:lpwstr>
  </property>
  <property fmtid="{D5CDD505-2E9C-101B-9397-08002B2CF9AE}" pid="11" name="Mendeley Recent Style Name 4_1">
    <vt:lpwstr>Human Molecular Genetics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http://www.zotero.org/styles/neurobiology-of-disease</vt:lpwstr>
  </property>
  <property fmtid="{D5CDD505-2E9C-101B-9397-08002B2CF9AE}" pid="21" name="Mendeley Recent Style Name 9_1">
    <vt:lpwstr>Neurobiology of Disease</vt:lpwstr>
  </property>
</Properties>
</file>