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r w:rsidRPr="00B6264E">
        <w:rPr>
          <w:b/>
          <w:bCs/>
          <w:lang w:val="nb-NO"/>
        </w:rPr>
        <w:t>Template for Lab Website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4114A" w14:paraId="1A3EEE17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6F076" w14:textId="77777777" w:rsidR="0074114A" w:rsidRDefault="00542B8B">
            <w:pPr>
              <w:pStyle w:val="TableContents"/>
            </w:pPr>
            <w:r>
              <w:t>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74114A" w:rsidRDefault="00542B8B">
            <w:pPr>
              <w:pStyle w:val="TableContents"/>
            </w:pPr>
            <w:r>
              <w:t>Title: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1B4F8617" w:rsidR="0074114A" w:rsidRDefault="006310E4">
            <w:pPr>
              <w:pStyle w:val="TableContents"/>
            </w:pPr>
            <w:r>
              <w:t>MSc</w:t>
            </w:r>
            <w:r w:rsidR="00826ABA">
              <w:t xml:space="preserve"> (for now)</w:t>
            </w:r>
          </w:p>
        </w:tc>
      </w:tr>
      <w:tr w:rsidR="0074114A" w14:paraId="66B9B2A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409D54" w14:textId="77777777" w:rsidR="0074114A" w:rsidRDefault="00542B8B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77777777" w:rsidR="0074114A" w:rsidRDefault="00542B8B">
            <w:pPr>
              <w:pStyle w:val="TableContents"/>
            </w:pPr>
            <w:r>
              <w:t>Position: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547491B3" w:rsidR="0074114A" w:rsidRDefault="00826ABA">
            <w:pPr>
              <w:pStyle w:val="TableContents"/>
            </w:pPr>
            <w:r>
              <w:t>Postdoctoral Research Fellow</w:t>
            </w:r>
          </w:p>
        </w:tc>
      </w:tr>
      <w:tr w:rsidR="0074114A" w14:paraId="627D706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06C19F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74114A" w:rsidRDefault="00542B8B">
            <w:pPr>
              <w:pStyle w:val="TableContents"/>
            </w:pPr>
            <w:r>
              <w:t>Surname: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12D6C8D5" w:rsidR="0074114A" w:rsidRDefault="00826ABA">
            <w:pPr>
              <w:pStyle w:val="TableContents"/>
            </w:pPr>
            <w:r>
              <w:t>Sethi</w:t>
            </w:r>
          </w:p>
        </w:tc>
      </w:tr>
      <w:tr w:rsidR="0074114A" w14:paraId="3388FF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D9E73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77777777" w:rsidR="0074114A" w:rsidRDefault="00542B8B">
            <w:pPr>
              <w:pStyle w:val="TableContents"/>
            </w:pPr>
            <w:proofErr w:type="spellStart"/>
            <w:r>
              <w:t>Firstname</w:t>
            </w:r>
            <w:proofErr w:type="spellEnd"/>
            <w:r>
              <w:t>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2AB8506E" w:rsidR="0074114A" w:rsidRDefault="00826ABA">
            <w:pPr>
              <w:pStyle w:val="TableContents"/>
            </w:pPr>
            <w:r>
              <w:t>Siddharth</w:t>
            </w:r>
          </w:p>
        </w:tc>
      </w:tr>
      <w:tr w:rsidR="0074114A" w14:paraId="537B7232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C3F482" w14:textId="3D5DA81C" w:rsidR="0074114A" w:rsidRDefault="0074114A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87EAB7" w14:textId="4B7407D7" w:rsidR="0074114A" w:rsidRDefault="0074114A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445B9D" w14:textId="43B9D6D8" w:rsidR="0074114A" w:rsidRDefault="0074114A">
            <w:pPr>
              <w:pStyle w:val="TableContents"/>
            </w:pP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02057" w14:paraId="34EEE3C5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7D903" w14:textId="136A4F83" w:rsidR="00C02057" w:rsidRDefault="00C02057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C02057" w:rsidRDefault="00C02057">
            <w:pPr>
              <w:pStyle w:val="TableContents"/>
            </w:pPr>
            <w:r>
              <w:t>Email: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753F39ED" w:rsidR="00C02057" w:rsidRDefault="00826ABA">
            <w:pPr>
              <w:pStyle w:val="TableContents"/>
            </w:pPr>
            <w:r>
              <w:t>Siddharth.sethi@astx.com</w:t>
            </w:r>
          </w:p>
        </w:tc>
      </w:tr>
      <w:tr w:rsidR="00C02057" w14:paraId="24794B36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A4D056" w14:textId="20C825D6" w:rsidR="00C02057" w:rsidRDefault="00C02057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D94FEF" w14:textId="7DEDA461" w:rsidR="00C02057" w:rsidRDefault="00C02057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DC2B64" w14:textId="7D31E365" w:rsidR="00C02057" w:rsidRDefault="00C02057">
            <w:pPr>
              <w:pStyle w:val="TableContents"/>
            </w:pPr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1AB732" w14:textId="77777777" w:rsidR="00D21FD9" w:rsidRDefault="006B679F">
            <w:pPr>
              <w:pStyle w:val="TableContents"/>
            </w:pPr>
            <w:r>
              <w:t>Transcriptomics</w:t>
            </w:r>
            <w:r>
              <w:t>; UTRs; MicroRNAs; Enhancers; Regulatory domains; Chromatin interactions;</w:t>
            </w:r>
            <w:r w:rsidR="00D21FD9">
              <w:t xml:space="preserve"> 3D genome</w:t>
            </w:r>
            <w:r>
              <w:t>; Big data analysis; Machine learning;</w:t>
            </w:r>
            <w:r w:rsidR="00D21FD9">
              <w:t xml:space="preserve"> </w:t>
            </w:r>
            <w:r>
              <w:t>S</w:t>
            </w:r>
            <w:r>
              <w:t>tatistical modelling; D</w:t>
            </w:r>
            <w:r w:rsidR="00D21FD9">
              <w:t>ata visualisation</w:t>
            </w:r>
            <w:r>
              <w:t>.</w:t>
            </w:r>
          </w:p>
          <w:p w14:paraId="0260A636" w14:textId="6E861D30" w:rsidR="006B679F" w:rsidRDefault="006B679F">
            <w:pPr>
              <w:pStyle w:val="TableContents"/>
            </w:pP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88D48F" w14:textId="08EC2843" w:rsidR="003E5D1B" w:rsidRDefault="001A0688">
            <w:pPr>
              <w:pStyle w:val="TableContents"/>
            </w:pPr>
            <w:r>
              <w:t xml:space="preserve">Siddharth is a joint </w:t>
            </w:r>
            <w:r w:rsidR="006B679F">
              <w:t>Postdoctoral Research Fellow</w:t>
            </w:r>
            <w:r>
              <w:t xml:space="preserve"> between </w:t>
            </w:r>
            <w:proofErr w:type="spellStart"/>
            <w:r>
              <w:t>Ryten</w:t>
            </w:r>
            <w:proofErr w:type="spellEnd"/>
            <w:r>
              <w:t xml:space="preserve"> lab and </w:t>
            </w:r>
            <w:proofErr w:type="spellStart"/>
            <w:r>
              <w:t>Astex</w:t>
            </w:r>
            <w:proofErr w:type="spellEnd"/>
            <w:r>
              <w:t xml:space="preserve"> Pharmaceuticals in Cambridge. His research focuses on alternate 3’UTR mediated regulation in neurode</w:t>
            </w:r>
            <w:r w:rsidR="009E0E13">
              <w:t xml:space="preserve">generative disorders. Siddharth completed his </w:t>
            </w:r>
            <w:r w:rsidR="003E5D1B">
              <w:t xml:space="preserve">graduation in Bio-technology in India and moved to the UK to pursue MSc in Bioinformatics from </w:t>
            </w:r>
            <w:r w:rsidR="00DA39EA">
              <w:t xml:space="preserve">the </w:t>
            </w:r>
            <w:r w:rsidR="003E5D1B">
              <w:t xml:space="preserve">University of Leicester. Soon after that he joined Mallon lab at MRC Harwell Institute as a Bioinformatics scientist, where he worked on several different projects before starting his PhD. He developed a deep interest in the functional properties of the non-coding part of the genome and focused his PhD research on </w:t>
            </w:r>
            <w:r w:rsidR="003E5D1B">
              <w:t>deciphering regulat</w:t>
            </w:r>
            <w:r w:rsidR="00C607CF">
              <w:t>ory networks and their impact on mouse phenotypes</w:t>
            </w:r>
            <w:r w:rsidR="003E5D1B">
              <w:t xml:space="preserve">. </w:t>
            </w:r>
          </w:p>
          <w:p w14:paraId="1B277005" w14:textId="336293A5" w:rsidR="0074114A" w:rsidRDefault="0074114A" w:rsidP="003E5D1B">
            <w:pPr>
              <w:pStyle w:val="TableContents"/>
            </w:pPr>
          </w:p>
        </w:tc>
      </w:tr>
    </w:tbl>
    <w:p w14:paraId="6D12CD28" w14:textId="77777777" w:rsidR="0074114A" w:rsidRDefault="0074114A"/>
    <w:p w14:paraId="53F6A6B6" w14:textId="77777777" w:rsidR="0074114A" w:rsidRDefault="00542B8B">
      <w:r>
        <w:t>SECTION F</w:t>
      </w:r>
    </w:p>
    <w:p w14:paraId="38666E08" w14:textId="77777777" w:rsidR="0074114A" w:rsidRDefault="00542B8B">
      <w:r>
        <w:t>List of publications: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16501997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1537B8C" w14:textId="77777777" w:rsidR="00551726" w:rsidRPr="00551726" w:rsidRDefault="00551726" w:rsidP="00551726">
            <w:pPr>
              <w:pStyle w:val="TableContents"/>
            </w:pPr>
            <w:r w:rsidRPr="00551726">
              <w:rPr>
                <w:b/>
              </w:rPr>
              <w:t>Sethi S</w:t>
            </w:r>
            <w:r w:rsidRPr="00551726">
              <w:t xml:space="preserve">, </w:t>
            </w:r>
            <w:proofErr w:type="spellStart"/>
            <w:r w:rsidRPr="00551726">
              <w:t>Vorontsov</w:t>
            </w:r>
            <w:proofErr w:type="spellEnd"/>
            <w:r w:rsidRPr="00551726">
              <w:t xml:space="preserve"> I, </w:t>
            </w:r>
            <w:proofErr w:type="spellStart"/>
            <w:r w:rsidRPr="00551726">
              <w:t>Kulakovskiy</w:t>
            </w:r>
            <w:proofErr w:type="spellEnd"/>
            <w:r w:rsidRPr="00551726">
              <w:t xml:space="preserve"> I, </w:t>
            </w:r>
            <w:proofErr w:type="spellStart"/>
            <w:r w:rsidRPr="00551726">
              <w:t>Makeev</w:t>
            </w:r>
            <w:proofErr w:type="spellEnd"/>
            <w:r w:rsidRPr="00551726">
              <w:t xml:space="preserve"> V, Greenway S, Williams J, Brown SDM, Simon MM, Mallon AM. Deciphering the impact of enhancer architecture on gene function and mouse phenotypes. Under review in </w:t>
            </w:r>
            <w:r w:rsidRPr="00551726">
              <w:rPr>
                <w:b/>
              </w:rPr>
              <w:t>Nature Communications</w:t>
            </w:r>
            <w:r w:rsidRPr="00551726">
              <w:t>.</w:t>
            </w:r>
          </w:p>
          <w:p w14:paraId="3AB79382" w14:textId="77777777" w:rsidR="00551726" w:rsidRPr="00551726" w:rsidRDefault="00551726" w:rsidP="00551726">
            <w:pPr>
              <w:pStyle w:val="TableContents"/>
            </w:pPr>
            <w:r w:rsidRPr="00551726">
              <w:t> </w:t>
            </w:r>
          </w:p>
          <w:p w14:paraId="337587CB" w14:textId="781B90A0" w:rsidR="00005276" w:rsidRPr="00005276" w:rsidRDefault="00551726" w:rsidP="00551726">
            <w:pPr>
              <w:pStyle w:val="TableContents"/>
            </w:pPr>
            <w:proofErr w:type="spellStart"/>
            <w:r w:rsidRPr="00551726">
              <w:t>Gorvin</w:t>
            </w:r>
            <w:proofErr w:type="spellEnd"/>
            <w:r w:rsidRPr="00551726">
              <w:t xml:space="preserve"> CM, Ahmad BN, </w:t>
            </w:r>
            <w:proofErr w:type="spellStart"/>
            <w:r w:rsidRPr="00551726">
              <w:t>Stechman</w:t>
            </w:r>
            <w:proofErr w:type="spellEnd"/>
            <w:r w:rsidRPr="00551726">
              <w:t xml:space="preserve"> MJ, </w:t>
            </w:r>
            <w:proofErr w:type="spellStart"/>
            <w:r w:rsidRPr="00551726">
              <w:t>Loh</w:t>
            </w:r>
            <w:proofErr w:type="spellEnd"/>
            <w:r w:rsidRPr="00551726">
              <w:t xml:space="preserve"> NY, Hough TA, Leo P, Marshall M, </w:t>
            </w:r>
            <w:r w:rsidRPr="00551726">
              <w:rPr>
                <w:b/>
              </w:rPr>
              <w:t>Sethi S</w:t>
            </w:r>
            <w:r w:rsidRPr="00551726">
              <w:t xml:space="preserve">, et al. 2018. An N-Ethyl-N-Nitrosourea (ENU)-Induced Tyr265Stop Mutation of the DNA Polymerase Accessory Subunit Gamma 2 (Polg2) Is Associated </w:t>
            </w:r>
            <w:proofErr w:type="gramStart"/>
            <w:r w:rsidRPr="00551726">
              <w:t>With</w:t>
            </w:r>
            <w:proofErr w:type="gramEnd"/>
            <w:r w:rsidRPr="00551726">
              <w:t xml:space="preserve"> Renal Calcification in Mice. </w:t>
            </w:r>
            <w:r w:rsidRPr="00551726">
              <w:rPr>
                <w:b/>
              </w:rPr>
              <w:t>J Bone Miner Res</w:t>
            </w:r>
            <w:r w:rsidRPr="00005276">
              <w:t xml:space="preserve"> </w:t>
            </w:r>
          </w:p>
          <w:p w14:paraId="09ACC04E" w14:textId="77777777" w:rsidR="00551726" w:rsidRDefault="00551726" w:rsidP="00005276">
            <w:pPr>
              <w:pStyle w:val="TableContents"/>
            </w:pPr>
          </w:p>
          <w:p w14:paraId="3EE73CF4" w14:textId="54883D83" w:rsidR="00005276" w:rsidRPr="00005276" w:rsidRDefault="00005276" w:rsidP="00005276">
            <w:pPr>
              <w:pStyle w:val="TableContents"/>
            </w:pPr>
            <w:r w:rsidRPr="00005276">
              <w:t xml:space="preserve">Small KS, </w:t>
            </w:r>
            <w:proofErr w:type="spellStart"/>
            <w:r w:rsidRPr="00005276">
              <w:t>Todorcevic</w:t>
            </w:r>
            <w:proofErr w:type="spellEnd"/>
            <w:r w:rsidRPr="00005276">
              <w:t xml:space="preserve"> M, </w:t>
            </w:r>
            <w:proofErr w:type="spellStart"/>
            <w:r w:rsidRPr="00005276">
              <w:t>Civelek</w:t>
            </w:r>
            <w:proofErr w:type="spellEnd"/>
            <w:r w:rsidRPr="00005276">
              <w:t xml:space="preserve"> M, </w:t>
            </w:r>
            <w:proofErr w:type="spellStart"/>
            <w:r w:rsidRPr="00005276">
              <w:t>Moustafa</w:t>
            </w:r>
            <w:proofErr w:type="spellEnd"/>
            <w:r w:rsidRPr="00005276">
              <w:t xml:space="preserve"> J, Wang X, Simon MM, [and 30 others including </w:t>
            </w:r>
            <w:r w:rsidRPr="00551726">
              <w:rPr>
                <w:b/>
              </w:rPr>
              <w:t>Sethi S</w:t>
            </w:r>
            <w:r w:rsidRPr="00005276">
              <w:t xml:space="preserve">]. Regulatory variants at KLF14 influence type 2 diabetes risk via a 2 female-specific effect on adipocyte size and body composition, 2018, </w:t>
            </w:r>
            <w:r w:rsidRPr="00551726">
              <w:rPr>
                <w:b/>
              </w:rPr>
              <w:t>Nature Genetics</w:t>
            </w:r>
            <w:r w:rsidRPr="00005276">
              <w:t xml:space="preserve"> 50(4): 572-580. </w:t>
            </w:r>
          </w:p>
          <w:p w14:paraId="481A3E0C" w14:textId="77777777" w:rsidR="00005276" w:rsidRPr="00005276" w:rsidRDefault="00005276" w:rsidP="00005276">
            <w:pPr>
              <w:pStyle w:val="TableContents"/>
            </w:pPr>
          </w:p>
          <w:p w14:paraId="31CB314B" w14:textId="5C0DE0BC" w:rsidR="00005276" w:rsidRPr="00005276" w:rsidRDefault="00005276" w:rsidP="00005276">
            <w:pPr>
              <w:pStyle w:val="TableContents"/>
            </w:pPr>
            <w:r w:rsidRPr="00005276">
              <w:lastRenderedPageBreak/>
              <w:t xml:space="preserve">Potter PK, Bowl MR, </w:t>
            </w:r>
            <w:proofErr w:type="spellStart"/>
            <w:r w:rsidRPr="00005276">
              <w:t>Jeyarajan</w:t>
            </w:r>
            <w:proofErr w:type="spellEnd"/>
            <w:r w:rsidRPr="00005276">
              <w:t xml:space="preserve"> P, </w:t>
            </w:r>
            <w:proofErr w:type="spellStart"/>
            <w:r w:rsidRPr="00005276">
              <w:t>Wisby</w:t>
            </w:r>
            <w:proofErr w:type="spellEnd"/>
            <w:r w:rsidRPr="00005276">
              <w:t xml:space="preserve"> L, </w:t>
            </w:r>
            <w:proofErr w:type="spellStart"/>
            <w:r w:rsidRPr="00005276">
              <w:t>Blease</w:t>
            </w:r>
            <w:proofErr w:type="spellEnd"/>
            <w:r w:rsidRPr="00005276">
              <w:t xml:space="preserve"> A, Goldsworthy ME, [and 47 others including </w:t>
            </w:r>
            <w:r w:rsidRPr="00551726">
              <w:rPr>
                <w:b/>
              </w:rPr>
              <w:t>Sethi S</w:t>
            </w:r>
            <w:r w:rsidRPr="00005276">
              <w:t xml:space="preserve">]. Novel gene function revealed by mouse mutagenesis screens for models of age-related disease. </w:t>
            </w:r>
            <w:r w:rsidRPr="00551726">
              <w:rPr>
                <w:b/>
              </w:rPr>
              <w:t>Nature communications</w:t>
            </w:r>
            <w:r w:rsidRPr="00005276">
              <w:t xml:space="preserve">. </w:t>
            </w:r>
            <w:proofErr w:type="gramStart"/>
            <w:r w:rsidRPr="00005276">
              <w:t>2016;7:12444</w:t>
            </w:r>
            <w:proofErr w:type="gramEnd"/>
            <w:r w:rsidRPr="00005276">
              <w:t xml:space="preserve"> </w:t>
            </w:r>
          </w:p>
          <w:p w14:paraId="5B2EE967" w14:textId="77777777" w:rsidR="00005276" w:rsidRPr="00005276" w:rsidRDefault="00005276" w:rsidP="00005276">
            <w:pPr>
              <w:pStyle w:val="TableContents"/>
            </w:pPr>
          </w:p>
          <w:p w14:paraId="31BD087C" w14:textId="7836635A" w:rsidR="00005276" w:rsidRPr="00005276" w:rsidRDefault="00005276" w:rsidP="00005276">
            <w:pPr>
              <w:pStyle w:val="TableContents"/>
            </w:pPr>
            <w:proofErr w:type="spellStart"/>
            <w:r w:rsidRPr="00005276">
              <w:t>Balzani</w:t>
            </w:r>
            <w:proofErr w:type="spellEnd"/>
            <w:r w:rsidRPr="00005276">
              <w:t xml:space="preserve"> E, Lassi G, Maggi S, </w:t>
            </w:r>
            <w:r w:rsidRPr="00551726">
              <w:rPr>
                <w:b/>
              </w:rPr>
              <w:t>Sethi S</w:t>
            </w:r>
            <w:r w:rsidRPr="00005276">
              <w:t xml:space="preserve">, Parsons MJ, Simon M, Nolan PM, Tucci V. The Zfhx3-Mediated Axis Regulates Sleep and Interval Timing in Mice. </w:t>
            </w:r>
            <w:r w:rsidRPr="00551726">
              <w:rPr>
                <w:b/>
              </w:rPr>
              <w:t>Cell reports</w:t>
            </w:r>
            <w:r w:rsidRPr="00005276">
              <w:t xml:space="preserve">. 2016;16(3):615-21 </w:t>
            </w:r>
          </w:p>
          <w:p w14:paraId="3BFB3E63" w14:textId="77777777" w:rsidR="00005276" w:rsidRPr="00005276" w:rsidRDefault="00005276" w:rsidP="00005276">
            <w:pPr>
              <w:pStyle w:val="TableContents"/>
            </w:pPr>
          </w:p>
          <w:p w14:paraId="30951E6D" w14:textId="46843C8F" w:rsidR="00005276" w:rsidRPr="00005276" w:rsidRDefault="00005276" w:rsidP="00005276">
            <w:pPr>
              <w:pStyle w:val="TableContents"/>
            </w:pPr>
            <w:r w:rsidRPr="00005276">
              <w:t xml:space="preserve">Parsons Michael J, Brancaccio M, </w:t>
            </w:r>
            <w:r w:rsidRPr="00551726">
              <w:rPr>
                <w:b/>
              </w:rPr>
              <w:t>Sethi S</w:t>
            </w:r>
            <w:r w:rsidRPr="00005276">
              <w:t xml:space="preserve">, Maywood Elizabeth S, </w:t>
            </w:r>
            <w:proofErr w:type="spellStart"/>
            <w:r w:rsidRPr="00005276">
              <w:t>Satija</w:t>
            </w:r>
            <w:proofErr w:type="spellEnd"/>
            <w:r w:rsidRPr="00005276">
              <w:t xml:space="preserve"> R, Edwards Jessica K, et al. The Regulatory Factor ZFHX3 Modifies Circadian Function in SCN via an AT Motif-Driven Axis. </w:t>
            </w:r>
            <w:r w:rsidRPr="00551726">
              <w:rPr>
                <w:b/>
              </w:rPr>
              <w:t>Cell</w:t>
            </w:r>
            <w:r w:rsidRPr="00005276">
              <w:t xml:space="preserve">. 2015;162(3):607-21 </w:t>
            </w:r>
          </w:p>
          <w:p w14:paraId="63BD19DB" w14:textId="77777777" w:rsidR="00005276" w:rsidRPr="00005276" w:rsidRDefault="00005276" w:rsidP="00005276">
            <w:pPr>
              <w:pStyle w:val="TableContents"/>
            </w:pPr>
            <w:bookmarkStart w:id="0" w:name="_GoBack"/>
            <w:bookmarkEnd w:id="0"/>
          </w:p>
          <w:p w14:paraId="6895D3BA" w14:textId="13DFE924" w:rsidR="00005276" w:rsidRPr="00005276" w:rsidRDefault="00005276" w:rsidP="00005276">
            <w:pPr>
              <w:pStyle w:val="TableContents"/>
            </w:pPr>
            <w:proofErr w:type="spellStart"/>
            <w:r w:rsidRPr="00005276">
              <w:t>Goggolidou</w:t>
            </w:r>
            <w:proofErr w:type="spellEnd"/>
            <w:r w:rsidRPr="00005276">
              <w:t xml:space="preserve"> P, Soneji S, Powles-Glover N, Williams D, </w:t>
            </w:r>
            <w:r w:rsidRPr="00551726">
              <w:rPr>
                <w:b/>
              </w:rPr>
              <w:t>Sethi S</w:t>
            </w:r>
            <w:r w:rsidRPr="00005276">
              <w:t xml:space="preserve">, </w:t>
            </w:r>
            <w:proofErr w:type="spellStart"/>
            <w:r w:rsidRPr="00005276">
              <w:t>Baban</w:t>
            </w:r>
            <w:proofErr w:type="spellEnd"/>
            <w:r w:rsidRPr="00005276">
              <w:t xml:space="preserve"> D, Simon MM, </w:t>
            </w:r>
            <w:proofErr w:type="spellStart"/>
            <w:r w:rsidRPr="00005276">
              <w:t>Ragoussis</w:t>
            </w:r>
            <w:proofErr w:type="spellEnd"/>
            <w:r w:rsidRPr="00005276">
              <w:t xml:space="preserve"> I, Norris DP. A chronological expression profile of gene activity during embryonic mouse brain development. </w:t>
            </w:r>
            <w:r w:rsidRPr="00551726">
              <w:rPr>
                <w:b/>
              </w:rPr>
              <w:t>Mammalian Genome</w:t>
            </w:r>
            <w:r w:rsidRPr="00005276">
              <w:t xml:space="preserve">. 2013;24(11):459-72. </w:t>
            </w:r>
          </w:p>
          <w:p w14:paraId="7E802D20" w14:textId="17EA387A" w:rsidR="0074114A" w:rsidRPr="00C02057" w:rsidRDefault="00C02057" w:rsidP="00005276">
            <w:pPr>
              <w:pStyle w:val="TableContents"/>
              <w:rPr>
                <w:rFonts w:cs="Calibri"/>
                <w:noProof/>
              </w:rPr>
            </w:pPr>
            <w:r w:rsidRPr="00574316">
              <w:rPr>
                <w:rFonts w:cs="Calibri"/>
                <w:noProof/>
              </w:rPr>
              <w:t xml:space="preserve"> </w:t>
            </w:r>
          </w:p>
        </w:tc>
      </w:tr>
    </w:tbl>
    <w:p w14:paraId="19F27E2A" w14:textId="77777777" w:rsidR="0074114A" w:rsidRDefault="0074114A"/>
    <w:p w14:paraId="06DECF9A" w14:textId="77777777" w:rsidR="0074114A" w:rsidRDefault="0074114A"/>
    <w:p w14:paraId="2CCEFF38" w14:textId="77777777" w:rsidR="0074114A" w:rsidRDefault="00542B8B">
      <w:r>
        <w:t>SECTION G</w:t>
      </w:r>
    </w:p>
    <w:p w14:paraId="1C21CAA2" w14:textId="77777777" w:rsidR="0074114A" w:rsidRDefault="00542B8B">
      <w:r>
        <w:t>photograph: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4D3A18E"/>
    <w:multiLevelType w:val="hybridMultilevel"/>
    <w:tmpl w:val="1F04CF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FF6098"/>
    <w:multiLevelType w:val="hybridMultilevel"/>
    <w:tmpl w:val="0208676E"/>
    <w:lvl w:ilvl="0" w:tplc="74F8DE84">
      <w:numFmt w:val="bullet"/>
      <w:lvlText w:val="•"/>
      <w:lvlJc w:val="left"/>
      <w:pPr>
        <w:ind w:left="720" w:hanging="360"/>
      </w:pPr>
      <w:rPr>
        <w:rFonts w:ascii="Arial" w:eastAsia="Noto Sans CJK SC Regular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94D86"/>
    <w:multiLevelType w:val="hybridMultilevel"/>
    <w:tmpl w:val="327F84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624A301"/>
    <w:multiLevelType w:val="hybridMultilevel"/>
    <w:tmpl w:val="933B12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16AB192"/>
    <w:multiLevelType w:val="hybridMultilevel"/>
    <w:tmpl w:val="4699E1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BAC56AC"/>
    <w:multiLevelType w:val="hybridMultilevel"/>
    <w:tmpl w:val="A6C8B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72F84"/>
    <w:multiLevelType w:val="hybridMultilevel"/>
    <w:tmpl w:val="1CC88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BA37E"/>
    <w:multiLevelType w:val="hybridMultilevel"/>
    <w:tmpl w:val="BA2C36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7831BF4"/>
    <w:multiLevelType w:val="hybridMultilevel"/>
    <w:tmpl w:val="58C9BE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14A"/>
    <w:rsid w:val="00005276"/>
    <w:rsid w:val="000849FF"/>
    <w:rsid w:val="00182F20"/>
    <w:rsid w:val="001A0688"/>
    <w:rsid w:val="00277943"/>
    <w:rsid w:val="002E194A"/>
    <w:rsid w:val="003E5D1B"/>
    <w:rsid w:val="00542B8B"/>
    <w:rsid w:val="00551726"/>
    <w:rsid w:val="006310E4"/>
    <w:rsid w:val="006B679F"/>
    <w:rsid w:val="006C7341"/>
    <w:rsid w:val="0074114A"/>
    <w:rsid w:val="00826ABA"/>
    <w:rsid w:val="0098608F"/>
    <w:rsid w:val="009E0E13"/>
    <w:rsid w:val="00B6264E"/>
    <w:rsid w:val="00BB188E"/>
    <w:rsid w:val="00C02057"/>
    <w:rsid w:val="00C607CF"/>
    <w:rsid w:val="00D21FD9"/>
    <w:rsid w:val="00D66AC1"/>
    <w:rsid w:val="00D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  <w:style w:type="paragraph" w:customStyle="1" w:styleId="Default">
    <w:name w:val="Default"/>
    <w:rsid w:val="00005276"/>
    <w:pPr>
      <w:autoSpaceDE w:val="0"/>
      <w:autoSpaceDN w:val="0"/>
      <w:adjustRightInd w:val="0"/>
    </w:pPr>
    <w:rPr>
      <w:rFonts w:ascii="Arial" w:hAnsi="Arial" w:cs="Arial"/>
      <w:color w:val="000000"/>
      <w:sz w:val="24"/>
      <w:lang w:bidi="ar-SA"/>
    </w:rPr>
  </w:style>
  <w:style w:type="paragraph" w:customStyle="1" w:styleId="gmail-msolistparagraph">
    <w:name w:val="gmail-msolistparagraph"/>
    <w:basedOn w:val="Normal"/>
    <w:rsid w:val="00551726"/>
    <w:pPr>
      <w:overflowPunct/>
      <w:spacing w:before="100" w:beforeAutospacing="1" w:after="100" w:afterAutospacing="1"/>
    </w:pPr>
    <w:rPr>
      <w:rFonts w:ascii="Calibri" w:eastAsiaTheme="minorHAnsi" w:hAnsi="Calibri" w:cs="Calibri"/>
      <w:color w:val="auto"/>
      <w:sz w:val="22"/>
      <w:szCs w:val="22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F5BEB-A4E9-42DD-BE5F-012A0FFEA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2C97A104</Template>
  <TotalTime>209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Siddharth Sethi</cp:lastModifiedBy>
  <cp:revision>11</cp:revision>
  <dcterms:created xsi:type="dcterms:W3CDTF">2017-09-25T09:23:00Z</dcterms:created>
  <dcterms:modified xsi:type="dcterms:W3CDTF">2019-01-14T15:22:00Z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