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73A5E"/>
          <w:sz w:val="18"/>
        </w:rPr>
        <w:t>PEC3 - Implementación</w:t>
      </w:r>
    </w:p>
    <w:p>
      <w:pPr>
        <w:jc w:val="center"/>
      </w:pPr>
      <w:r>
        <w:rPr>
          <w:b/>
          <w:color w:val="173A5E"/>
          <w:sz w:val="40"/>
        </w:rPr>
        <w:t>Informe de seguimiento del TFM</w:t>
      </w:r>
    </w:p>
    <w:p>
      <w:pPr>
        <w:jc w:val="center"/>
      </w:pPr>
      <w:r>
        <w:rPr>
          <w:b/>
          <w:sz w:val="22"/>
        </w:rPr>
        <w:t>Identificación de biomarcadores transcriptómicos pronósticos y predictivos de</w:t>
        <w:br/>
        <w:t>respuesta a inmunoterapia en melanoma mediante análisis bioinformático integrativo</w:t>
      </w:r>
    </w:p>
    <w:p/>
    <w:p/>
    <w:p>
      <w:pPr>
        <w:jc w:val="center"/>
      </w:pPr>
      <w:r>
        <w:rPr>
          <w:sz w:val="18"/>
        </w:rPr>
        <w:t>Estudiante: Sonia Salmerón Fructuoso</w:t>
        <w:br/>
      </w:r>
      <w:r>
        <w:rPr>
          <w:sz w:val="18"/>
        </w:rPr>
        <w:t>Tutora: Dra. Teresa Torres Moral</w:t>
        <w:br/>
      </w:r>
      <w:r>
        <w:rPr>
          <w:sz w:val="18"/>
        </w:rPr>
        <w:t>Fecha: 8 de mayo de 2026</w:t>
        <w:br/>
      </w:r>
    </w:p>
    <w:p/>
    <w:p/>
    <w:tbl>
      <w:tblPr>
        <w:tblStyle w:val="TableGrid"/>
        <w:tblW w:type="auto" w:w="0"/>
        <w:tblLook w:firstColumn="1" w:firstRow="1" w:lastColumn="0" w:lastRow="0" w:noHBand="0" w:noVBand="1" w:val="04A0"/>
      </w:tblPr>
      <w:tblGrid>
        <w:gridCol w:w="10426"/>
      </w:tblGrid>
      <w:tr>
        <w:tc>
          <w:tcPr>
            <w:tcW w:type="dxa" w:w="10426"/>
            <w:shd w:fill="D9EAF7"/>
            <w:tcBorders>
              <w:top w:val="single" w:sz="8" w:space="0" w:color="173A5E"/>
              <w:left w:val="single" w:sz="8" w:space="0" w:color="173A5E"/>
              <w:bottom w:val="single" w:sz="8" w:space="0" w:color="173A5E"/>
              <w:right w:val="single" w:sz="8" w:space="0" w:color="173A5E"/>
            </w:tcBorders>
          </w:tcPr>
          <w:p>
            <w:pPr>
              <w:spacing w:after="0"/>
            </w:pPr>
            <w:r>
              <w:rPr>
                <w:sz w:val="18"/>
              </w:rPr>
              <w:t>Resumen del estado actual</w:t>
              <w:br/>
              <w:t>El proyecto ha evolucionado desde un planteamiento mixto TCGA + GEO hacia un bloque GEO predictivo estructurado en descubrimiento, validación y sensibilidad. Se mantiene TCGA como bloque pronóstico paralelo. Esta reestructuración responde al criterio metodológico y biológico de no mezclar tejido tumoral con sangre, ni anti-PD-1 con anti-CTLA-4 en el análisis principal.</w:t>
            </w:r>
          </w:p>
        </w:tc>
      </w:tr>
    </w:tbl>
    <w:p>
      <w:r>
        <w:br w:type="page"/>
      </w:r>
    </w:p>
    <w:p>
      <w:pPr>
        <w:pStyle w:val="Heading1"/>
      </w:pPr>
      <w:r>
        <w:rPr>
          <w:b/>
          <w:color w:val="173A5E"/>
        </w:rPr>
        <w:t>1. Introducción y objetivo del informe</w:t>
      </w:r>
    </w:p>
    <w:p>
      <w:pPr>
        <w:spacing w:after="120" w:line="259" w:lineRule="auto"/>
      </w:pPr>
      <w:r>
        <w:rPr>
          <w:sz w:val="20"/>
        </w:rPr>
        <w:t>El presente informe de seguimiento recoge el estado de desarrollo del Trabajo de Fin de Máster hasta la fecha. El proyecto se centra en el análisis de datos transcriptómicos públicos de melanoma avanzado tratado con inmunoterapia, con el objetivo de identificar patrones moleculares asociados a respuesta terapéutica y explorar su posible utilidad como biomarcadores.</w:t>
      </w:r>
    </w:p>
    <w:p>
      <w:pPr>
        <w:spacing w:after="120" w:line="259" w:lineRule="auto"/>
      </w:pPr>
      <w:r>
        <w:rPr>
          <w:sz w:val="20"/>
        </w:rPr>
        <w:t>El informe responde al enunciado de la PEC3, centrado en detallar la evolución del proyecto, revisar la temporización prevista, mostrar entregables parciales y avanzar en la redacción de la memoria. Para mantener continuidad con entregas anteriores, se toma como punto de partida el planteamiento de la PEC1 y la evolución presentada en la PEC2.</w:t>
      </w:r>
    </w:p>
    <w:p>
      <w:pPr>
        <w:spacing w:before="120" w:after="60"/>
      </w:pPr>
      <w:r>
        <w:rPr>
          <w:b/>
          <w:i/>
          <w:color w:val="5A5A5A"/>
          <w:sz w:val="17"/>
        </w:rPr>
        <w:t>Tabla 1. Síntesis del estado actual del TFM</w:t>
      </w:r>
    </w:p>
    <w:tbl>
      <w:tblPr>
        <w:tblStyle w:val="TableGrid"/>
        <w:tblW w:type="auto" w:w="0"/>
        <w:jc w:val="center"/>
        <w:tblLayout w:type="autofit"/>
        <w:tblLook w:firstColumn="1" w:firstRow="1" w:lastColumn="0" w:lastRow="0" w:noHBand="0" w:noVBand="1" w:val="04A0"/>
      </w:tblPr>
      <w:tblGrid>
        <w:gridCol w:w="5213"/>
        <w:gridCol w:w="5213"/>
      </w:tblGrid>
      <w:tr>
        <w:tc>
          <w:tcPr>
            <w:tcW w:type="dxa" w:w="2381"/>
            <w:vAlign w:val="center"/>
            <w:shd w:fill="173A5E"/>
            <w:shd w:fill="173A5E"/>
          </w:tcPr>
          <w:p>
            <w:pPr>
              <w:spacing w:after="0" w:line="252" w:lineRule="auto"/>
            </w:pPr>
            <w:r>
              <w:rPr>
                <w:b/>
                <w:color w:val="FFFFFF"/>
                <w:sz w:val="17"/>
              </w:rPr>
            </w:r>
            <w:r>
              <w:rPr>
                <w:b/>
                <w:color w:val="FFFFFF"/>
                <w:sz w:val="17"/>
              </w:rPr>
              <w:t>Elemento</w:t>
            </w:r>
          </w:p>
        </w:tc>
        <w:tc>
          <w:tcPr>
            <w:tcW w:type="dxa" w:w="6690"/>
            <w:vAlign w:val="center"/>
            <w:shd w:fill="173A5E"/>
            <w:shd w:fill="173A5E"/>
          </w:tcPr>
          <w:p>
            <w:pPr>
              <w:spacing w:after="0" w:line="252" w:lineRule="auto"/>
            </w:pPr>
            <w:r>
              <w:rPr>
                <w:b/>
                <w:color w:val="FFFFFF"/>
                <w:sz w:val="17"/>
              </w:rPr>
            </w:r>
            <w:r>
              <w:rPr>
                <w:b/>
                <w:color w:val="FFFFFF"/>
                <w:sz w:val="17"/>
              </w:rPr>
              <w:t>Estado en PEC3</w:t>
            </w:r>
          </w:p>
        </w:tc>
      </w:tr>
      <w:tr>
        <w:tc>
          <w:tcPr>
            <w:tcW w:type="dxa" w:w="2381"/>
            <w:vAlign w:val="center"/>
          </w:tcPr>
          <w:p>
            <w:pPr>
              <w:spacing w:after="0" w:line="252" w:lineRule="auto"/>
            </w:pPr>
            <w:r>
              <w:rPr>
                <w:sz w:val="17"/>
              </w:rPr>
            </w:r>
            <w:r>
              <w:rPr>
                <w:b w:val="0"/>
                <w:sz w:val="17"/>
              </w:rPr>
              <w:t>Bloque pronóstico</w:t>
            </w:r>
          </w:p>
        </w:tc>
        <w:tc>
          <w:tcPr>
            <w:tcW w:type="dxa" w:w="6690"/>
            <w:vAlign w:val="center"/>
          </w:tcPr>
          <w:p>
            <w:pPr>
              <w:spacing w:after="0" w:line="252" w:lineRule="auto"/>
            </w:pPr>
            <w:r>
              <w:rPr>
                <w:sz w:val="17"/>
              </w:rPr>
            </w:r>
            <w:r>
              <w:rPr>
                <w:b w:val="0"/>
                <w:sz w:val="17"/>
              </w:rPr>
              <w:t>TCGA-SKCM se mantiene como análisis pronóstico paralelo, pendiente de reencajar en la memoria final.</w:t>
            </w:r>
          </w:p>
        </w:tc>
      </w:tr>
      <w:tr>
        <w:tc>
          <w:tcPr>
            <w:tcW w:type="dxa" w:w="2381"/>
            <w:vAlign w:val="center"/>
          </w:tcPr>
          <w:p>
            <w:pPr>
              <w:spacing w:after="0" w:line="252" w:lineRule="auto"/>
            </w:pPr>
            <w:r>
              <w:rPr>
                <w:sz w:val="17"/>
              </w:rPr>
            </w:r>
            <w:r>
              <w:rPr>
                <w:b w:val="0"/>
                <w:sz w:val="17"/>
              </w:rPr>
              <w:t>Bloque predictivo</w:t>
            </w:r>
          </w:p>
        </w:tc>
        <w:tc>
          <w:tcPr>
            <w:tcW w:type="dxa" w:w="6690"/>
            <w:vAlign w:val="center"/>
          </w:tcPr>
          <w:p>
            <w:pPr>
              <w:spacing w:after="0" w:line="252" w:lineRule="auto"/>
            </w:pPr>
            <w:r>
              <w:rPr>
                <w:sz w:val="17"/>
              </w:rPr>
            </w:r>
            <w:r>
              <w:rPr>
                <w:b w:val="0"/>
                <w:sz w:val="17"/>
              </w:rPr>
              <w:t>GEO se consolida como bloque principal para respuesta a inmunoterapia.</w:t>
            </w:r>
          </w:p>
        </w:tc>
      </w:tr>
      <w:tr>
        <w:tc>
          <w:tcPr>
            <w:tcW w:type="dxa" w:w="2381"/>
            <w:vAlign w:val="center"/>
          </w:tcPr>
          <w:p>
            <w:pPr>
              <w:spacing w:after="0" w:line="252" w:lineRule="auto"/>
            </w:pPr>
            <w:r>
              <w:rPr>
                <w:sz w:val="17"/>
              </w:rPr>
            </w:r>
            <w:r>
              <w:rPr>
                <w:b w:val="0"/>
                <w:sz w:val="17"/>
              </w:rPr>
              <w:t>Cambio metodológico</w:t>
            </w:r>
          </w:p>
        </w:tc>
        <w:tc>
          <w:tcPr>
            <w:tcW w:type="dxa" w:w="6690"/>
            <w:vAlign w:val="center"/>
          </w:tcPr>
          <w:p>
            <w:pPr>
              <w:spacing w:after="0" w:line="252" w:lineRule="auto"/>
            </w:pPr>
            <w:r>
              <w:rPr>
                <w:sz w:val="17"/>
              </w:rPr>
            </w:r>
            <w:r>
              <w:rPr>
                <w:b w:val="0"/>
                <w:sz w:val="17"/>
              </w:rPr>
              <w:t>El análisis integrado inicial pasa a ser exploratorio; el análisis principal se reorganiza como descubrimiento, validación y sensibilidad.</w:t>
            </w:r>
          </w:p>
        </w:tc>
      </w:tr>
      <w:tr>
        <w:tc>
          <w:tcPr>
            <w:tcW w:type="dxa" w:w="2381"/>
            <w:vAlign w:val="center"/>
          </w:tcPr>
          <w:p>
            <w:pPr>
              <w:spacing w:after="0" w:line="252" w:lineRule="auto"/>
            </w:pPr>
            <w:r>
              <w:rPr>
                <w:sz w:val="17"/>
              </w:rPr>
            </w:r>
            <w:r>
              <w:rPr>
                <w:b w:val="0"/>
                <w:sz w:val="17"/>
              </w:rPr>
              <w:t>Producto actual</w:t>
            </w:r>
          </w:p>
        </w:tc>
        <w:tc>
          <w:tcPr>
            <w:tcW w:type="dxa" w:w="6690"/>
            <w:vAlign w:val="center"/>
          </w:tcPr>
          <w:p>
            <w:pPr>
              <w:spacing w:after="0" w:line="252" w:lineRule="auto"/>
            </w:pPr>
            <w:r>
              <w:rPr>
                <w:sz w:val="17"/>
              </w:rPr>
            </w:r>
            <w:r>
              <w:rPr>
                <w:b w:val="0"/>
                <w:sz w:val="17"/>
              </w:rPr>
              <w:t>Scripts reproducibles, informes HTML, tablas CSV y repositorio GitHub actualizados.</w:t>
            </w:r>
          </w:p>
        </w:tc>
      </w:tr>
    </w:tbl>
    <w:p>
      <w:pPr>
        <w:pStyle w:val="Heading1"/>
      </w:pPr>
      <w:r>
        <w:rPr>
          <w:b/>
          <w:color w:val="173A5E"/>
        </w:rPr>
        <w:t>2. Continuidad con PEC1 y PEC2</w:t>
      </w:r>
    </w:p>
    <w:p>
      <w:pPr>
        <w:spacing w:after="120" w:line="259" w:lineRule="auto"/>
      </w:pPr>
      <w:r>
        <w:rPr>
          <w:sz w:val="20"/>
        </w:rPr>
        <w:t>La PEC1 planteaba un TFM con dos objetivos generales: identificar biomarcadores asociados al pronóstico del melanoma y evaluar biomarcadores predictivos de respuesta a inmunoterapia. La PEC2 mantuvo este enfoque mixto TCGA + GEO, pero justificó comenzar por GEO debido a su mayor complejidad técnica: armonización de genes, metadatos, plataformas y tejidos.</w:t>
      </w:r>
    </w:p>
    <w:p>
      <w:pPr>
        <w:spacing w:before="120" w:after="60"/>
      </w:pPr>
      <w:r>
        <w:rPr>
          <w:b/>
          <w:i/>
          <w:color w:val="5A5A5A"/>
          <w:sz w:val="17"/>
        </w:rPr>
        <w:t>Tabla 2. Evolución del proyecto entre PEC1, PEC2 y PEC3</w:t>
      </w:r>
    </w:p>
    <w:tbl>
      <w:tblPr>
        <w:tblStyle w:val="TableGrid"/>
        <w:tblW w:type="auto" w:w="0"/>
        <w:jc w:val="center"/>
        <w:tblLayout w:type="autofit"/>
        <w:tblLook w:firstColumn="1" w:firstRow="1" w:lastColumn="0" w:lastRow="0" w:noHBand="0" w:noVBand="1" w:val="04A0"/>
      </w:tblPr>
      <w:tblGrid>
        <w:gridCol w:w="3475"/>
        <w:gridCol w:w="3475"/>
        <w:gridCol w:w="3475"/>
      </w:tblGrid>
      <w:tr>
        <w:tc>
          <w:tcPr>
            <w:tcW w:type="dxa" w:w="1247"/>
            <w:vAlign w:val="center"/>
            <w:shd w:fill="173A5E"/>
            <w:shd w:fill="173A5E"/>
          </w:tcPr>
          <w:p>
            <w:pPr>
              <w:spacing w:after="0" w:line="252" w:lineRule="auto"/>
            </w:pPr>
            <w:r>
              <w:rPr>
                <w:b/>
                <w:color w:val="FFFFFF"/>
                <w:sz w:val="17"/>
              </w:rPr>
            </w:r>
            <w:r>
              <w:rPr>
                <w:b/>
                <w:color w:val="FFFFFF"/>
                <w:sz w:val="17"/>
              </w:rPr>
              <w:t>Entrega</w:t>
            </w:r>
          </w:p>
        </w:tc>
        <w:tc>
          <w:tcPr>
            <w:tcW w:type="dxa" w:w="3685"/>
            <w:vAlign w:val="center"/>
            <w:shd w:fill="173A5E"/>
            <w:shd w:fill="173A5E"/>
          </w:tcPr>
          <w:p>
            <w:pPr>
              <w:spacing w:after="0" w:line="252" w:lineRule="auto"/>
            </w:pPr>
            <w:r>
              <w:rPr>
                <w:b/>
                <w:color w:val="FFFFFF"/>
                <w:sz w:val="17"/>
              </w:rPr>
            </w:r>
            <w:r>
              <w:rPr>
                <w:b/>
                <w:color w:val="FFFFFF"/>
                <w:sz w:val="17"/>
              </w:rPr>
              <w:t>Planteamiento presentado</w:t>
            </w:r>
          </w:p>
        </w:tc>
        <w:tc>
          <w:tcPr>
            <w:tcW w:type="dxa" w:w="3685"/>
            <w:vAlign w:val="center"/>
            <w:shd w:fill="173A5E"/>
            <w:shd w:fill="173A5E"/>
          </w:tcPr>
          <w:p>
            <w:pPr>
              <w:spacing w:after="0" w:line="252" w:lineRule="auto"/>
            </w:pPr>
            <w:r>
              <w:rPr>
                <w:b/>
                <w:color w:val="FFFFFF"/>
                <w:sz w:val="17"/>
              </w:rPr>
            </w:r>
            <w:r>
              <w:rPr>
                <w:b/>
                <w:color w:val="FFFFFF"/>
                <w:sz w:val="17"/>
              </w:rPr>
              <w:t>Evolución hasta PEC3</w:t>
            </w:r>
          </w:p>
        </w:tc>
      </w:tr>
      <w:tr>
        <w:tc>
          <w:tcPr>
            <w:tcW w:type="dxa" w:w="1247"/>
            <w:vAlign w:val="center"/>
          </w:tcPr>
          <w:p>
            <w:pPr>
              <w:spacing w:after="0" w:line="252" w:lineRule="auto"/>
            </w:pPr>
            <w:r>
              <w:rPr>
                <w:sz w:val="17"/>
              </w:rPr>
            </w:r>
            <w:r>
              <w:rPr>
                <w:b w:val="0"/>
                <w:sz w:val="17"/>
              </w:rPr>
              <w:t>PEC1</w:t>
            </w:r>
          </w:p>
        </w:tc>
        <w:tc>
          <w:tcPr>
            <w:tcW w:type="dxa" w:w="3685"/>
            <w:vAlign w:val="center"/>
          </w:tcPr>
          <w:p>
            <w:pPr>
              <w:spacing w:after="0" w:line="252" w:lineRule="auto"/>
            </w:pPr>
            <w:r>
              <w:rPr>
                <w:sz w:val="17"/>
              </w:rPr>
            </w:r>
            <w:r>
              <w:rPr>
                <w:b w:val="0"/>
                <w:sz w:val="17"/>
              </w:rPr>
              <w:t>Plan de trabajo integrativo con biomarcadores pronósticos y predictivos, uso de datos públicos y análisis reproducible.</w:t>
            </w:r>
          </w:p>
        </w:tc>
        <w:tc>
          <w:tcPr>
            <w:tcW w:type="dxa" w:w="3685"/>
            <w:vAlign w:val="center"/>
          </w:tcPr>
          <w:p>
            <w:pPr>
              <w:spacing w:after="0" w:line="252" w:lineRule="auto"/>
            </w:pPr>
            <w:r>
              <w:rPr>
                <w:sz w:val="17"/>
              </w:rPr>
            </w:r>
            <w:r>
              <w:rPr>
                <w:b w:val="0"/>
                <w:sz w:val="17"/>
              </w:rPr>
              <w:t>Se mantiene la hipótesis general y el enfoque bioinformático reproducible.</w:t>
            </w:r>
          </w:p>
        </w:tc>
      </w:tr>
      <w:tr>
        <w:tc>
          <w:tcPr>
            <w:tcW w:type="dxa" w:w="1247"/>
            <w:vAlign w:val="center"/>
          </w:tcPr>
          <w:p>
            <w:pPr>
              <w:spacing w:after="0" w:line="252" w:lineRule="auto"/>
            </w:pPr>
            <w:r>
              <w:rPr>
                <w:sz w:val="17"/>
              </w:rPr>
            </w:r>
            <w:r>
              <w:rPr>
                <w:b w:val="0"/>
                <w:sz w:val="17"/>
              </w:rPr>
              <w:t>PEC2</w:t>
            </w:r>
          </w:p>
        </w:tc>
        <w:tc>
          <w:tcPr>
            <w:tcW w:type="dxa" w:w="3685"/>
            <w:vAlign w:val="center"/>
          </w:tcPr>
          <w:p>
            <w:pPr>
              <w:spacing w:after="0" w:line="252" w:lineRule="auto"/>
            </w:pPr>
            <w:r>
              <w:rPr>
                <w:sz w:val="17"/>
              </w:rPr>
            </w:r>
            <w:r>
              <w:rPr>
                <w:b w:val="0"/>
                <w:sz w:val="17"/>
              </w:rPr>
              <w:t>Integración inicial de cohortes GEO con 198 genes comunes y 221 muestras; TCGA quedaba como bloque posterior.</w:t>
            </w:r>
          </w:p>
        </w:tc>
        <w:tc>
          <w:tcPr>
            <w:tcW w:type="dxa" w:w="3685"/>
            <w:vAlign w:val="center"/>
          </w:tcPr>
          <w:p>
            <w:pPr>
              <w:spacing w:after="0" w:line="252" w:lineRule="auto"/>
            </w:pPr>
            <w:r>
              <w:rPr>
                <w:sz w:val="17"/>
              </w:rPr>
            </w:r>
            <w:r>
              <w:rPr>
                <w:b w:val="0"/>
                <w:sz w:val="17"/>
              </w:rPr>
              <w:t>Se conserva el trabajo integrado, pero se reinterpreta como análisis exploratorio por la restricción impuesta por NanoString.</w:t>
            </w:r>
          </w:p>
        </w:tc>
      </w:tr>
      <w:tr>
        <w:tc>
          <w:tcPr>
            <w:tcW w:type="dxa" w:w="1247"/>
            <w:vAlign w:val="center"/>
          </w:tcPr>
          <w:p>
            <w:pPr>
              <w:spacing w:after="0" w:line="252" w:lineRule="auto"/>
            </w:pPr>
            <w:r>
              <w:rPr>
                <w:sz w:val="17"/>
              </w:rPr>
            </w:r>
            <w:r>
              <w:rPr>
                <w:b w:val="0"/>
                <w:sz w:val="17"/>
              </w:rPr>
              <w:t>PEC3</w:t>
            </w:r>
          </w:p>
        </w:tc>
        <w:tc>
          <w:tcPr>
            <w:tcW w:type="dxa" w:w="3685"/>
            <w:vAlign w:val="center"/>
          </w:tcPr>
          <w:p>
            <w:pPr>
              <w:spacing w:after="0" w:line="252" w:lineRule="auto"/>
            </w:pPr>
            <w:r>
              <w:rPr>
                <w:sz w:val="17"/>
              </w:rPr>
            </w:r>
            <w:r>
              <w:rPr>
                <w:b w:val="0"/>
                <w:sz w:val="17"/>
              </w:rPr>
              <w:t>Implementación avanzada del bloque GEO.</w:t>
            </w:r>
          </w:p>
        </w:tc>
        <w:tc>
          <w:tcPr>
            <w:tcW w:type="dxa" w:w="3685"/>
            <w:vAlign w:val="center"/>
          </w:tcPr>
          <w:p>
            <w:pPr>
              <w:spacing w:after="0" w:line="252" w:lineRule="auto"/>
            </w:pPr>
            <w:r>
              <w:rPr>
                <w:sz w:val="17"/>
              </w:rPr>
            </w:r>
            <w:r>
              <w:rPr>
                <w:b w:val="0"/>
                <w:sz w:val="17"/>
              </w:rPr>
              <w:t>El bloque GEO se reorganiza en descubrimiento, validación tumoral, sensibilidad en sangre y consistencia integrada.</w:t>
            </w:r>
          </w:p>
        </w:tc>
      </w:tr>
    </w:tbl>
    <w:tbl>
      <w:tblPr>
        <w:tblStyle w:val="TableGrid"/>
        <w:tblW w:type="auto" w:w="0"/>
        <w:tblLook w:firstColumn="1" w:firstRow="1" w:lastColumn="0" w:lastRow="0" w:noHBand="0" w:noVBand="1" w:val="04A0"/>
      </w:tblPr>
      <w:tblGrid>
        <w:gridCol w:w="10426"/>
      </w:tblGrid>
      <w:tr>
        <w:tc>
          <w:tcPr>
            <w:tcW w:type="dxa" w:w="10426"/>
            <w:shd w:fill="EAF5E2"/>
            <w:tcBorders>
              <w:top w:val="single" w:sz="8" w:space="0" w:color="6AA84F"/>
              <w:left w:val="single" w:sz="8" w:space="0" w:color="6AA84F"/>
              <w:bottom w:val="single" w:sz="8" w:space="0" w:color="6AA84F"/>
              <w:right w:val="single" w:sz="8" w:space="0" w:color="6AA84F"/>
            </w:tcBorders>
          </w:tcPr>
          <w:p>
            <w:pPr>
              <w:spacing w:after="0"/>
            </w:pPr>
            <w:r>
              <w:rPr>
                <w:sz w:val="18"/>
              </w:rPr>
              <w:t>Justificación del cambio</w:t>
              <w:br/>
              <w:t>El cambio no supone abandonar los objetivos iniciales, sino refinar la estrategia para evitar mezclar señales biológicas distintas. El descubrimiento principal se realiza ahora en una cohorte tumoral RNA-seq anti-PD-1, y las demás cohortes se usan como validación o sensibilidad según su tejido, plataforma y tratamiento.</w:t>
            </w:r>
          </w:p>
        </w:tc>
      </w:tr>
    </w:tbl>
    <w:p>
      <w:r>
        <w:br w:type="page"/>
      </w:r>
    </w:p>
    <w:p>
      <w:pPr>
        <w:pStyle w:val="Heading1"/>
      </w:pPr>
      <w:r>
        <w:rPr>
          <w:b/>
          <w:color w:val="173A5E"/>
        </w:rPr>
        <w:t>3. Evolución del proyecto y cambios sobre los objetivos previstos</w:t>
      </w:r>
    </w:p>
    <w:p>
      <w:pPr>
        <w:spacing w:after="120" w:line="259" w:lineRule="auto"/>
      </w:pPr>
      <w:r>
        <w:rPr>
          <w:sz w:val="20"/>
        </w:rPr>
        <w:t>Durante la primera fase se exploraron TCGA-SKCM y varias cohortes GEO. TCGA-SKCM resultó adecuado para análisis pronóstico, pero no incluye información directa de tratamiento con inmunoterapia ni respuesta clínica, por lo que no permite abordar directamente la pregunta predictiva. Por este motivo, el bloque predictivo se centró en cohortes GEO con datos de expresión y respuesta a inmunoterapia.</w:t>
      </w:r>
    </w:p>
    <w:p>
      <w:pPr>
        <w:spacing w:after="120" w:line="259" w:lineRule="auto"/>
      </w:pPr>
      <w:r>
        <w:rPr>
          <w:sz w:val="20"/>
        </w:rPr>
        <w:t>Inicialmente se construyó un dataset integrado con varias cohortes utilizando genes comunes. Sin embargo, la revisión metodológica posterior mostró que dicha integración estaba condicionada por la intersección con paneles NanoString y por la mezcla de tejido tumoral, sangre y tratamientos distintos. En consecuencia, se adoptó una arquitectura más robusta basada en descubrimiento, validación y sensibilidad.</w:t>
      </w:r>
    </w:p>
    <w:p>
      <w:pPr>
        <w:spacing w:before="120" w:after="60"/>
      </w:pPr>
      <w:r>
        <w:rPr>
          <w:b/>
          <w:i/>
          <w:color w:val="5A5A5A"/>
          <w:sz w:val="17"/>
        </w:rPr>
        <w:t>Tabla 3. Arquitectura metodológica actual del bloque GEO</w:t>
      </w:r>
    </w:p>
    <w:tbl>
      <w:tblPr>
        <w:tblStyle w:val="TableGrid"/>
        <w:tblW w:type="auto" w:w="0"/>
        <w:jc w:val="center"/>
        <w:tblLayout w:type="autofit"/>
        <w:tblLook w:firstColumn="1" w:firstRow="1" w:lastColumn="0" w:lastRow="0" w:noHBand="0" w:noVBand="1" w:val="04A0"/>
      </w:tblPr>
      <w:tblGrid>
        <w:gridCol w:w="2606"/>
        <w:gridCol w:w="2606"/>
        <w:gridCol w:w="2606"/>
        <w:gridCol w:w="2606"/>
      </w:tblGrid>
      <w:tr>
        <w:tc>
          <w:tcPr>
            <w:tcW w:type="dxa" w:w="1587"/>
            <w:vAlign w:val="center"/>
            <w:shd w:fill="173A5E"/>
            <w:shd w:fill="173A5E"/>
          </w:tcPr>
          <w:p>
            <w:pPr>
              <w:spacing w:after="0" w:line="252" w:lineRule="auto"/>
            </w:pPr>
            <w:r>
              <w:rPr>
                <w:b/>
                <w:color w:val="FFFFFF"/>
                <w:sz w:val="17"/>
              </w:rPr>
            </w:r>
            <w:r>
              <w:rPr>
                <w:b/>
                <w:color w:val="FFFFFF"/>
                <w:sz w:val="17"/>
              </w:rPr>
              <w:t>Bloque</w:t>
            </w:r>
          </w:p>
        </w:tc>
        <w:tc>
          <w:tcPr>
            <w:tcW w:type="dxa" w:w="1474"/>
            <w:vAlign w:val="center"/>
            <w:shd w:fill="173A5E"/>
            <w:shd w:fill="173A5E"/>
          </w:tcPr>
          <w:p>
            <w:pPr>
              <w:spacing w:after="0" w:line="252" w:lineRule="auto"/>
            </w:pPr>
            <w:r>
              <w:rPr>
                <w:b/>
                <w:color w:val="FFFFFF"/>
                <w:sz w:val="17"/>
              </w:rPr>
            </w:r>
            <w:r>
              <w:rPr>
                <w:b/>
                <w:color w:val="FFFFFF"/>
                <w:sz w:val="17"/>
              </w:rPr>
              <w:t>Cohorte</w:t>
            </w:r>
          </w:p>
        </w:tc>
        <w:tc>
          <w:tcPr>
            <w:tcW w:type="dxa" w:w="2608"/>
            <w:vAlign w:val="center"/>
            <w:shd w:fill="173A5E"/>
            <w:shd w:fill="173A5E"/>
          </w:tcPr>
          <w:p>
            <w:pPr>
              <w:spacing w:after="0" w:line="252" w:lineRule="auto"/>
            </w:pPr>
            <w:r>
              <w:rPr>
                <w:b/>
                <w:color w:val="FFFFFF"/>
                <w:sz w:val="17"/>
              </w:rPr>
            </w:r>
            <w:r>
              <w:rPr>
                <w:b/>
                <w:color w:val="FFFFFF"/>
                <w:sz w:val="17"/>
              </w:rPr>
              <w:t>Rol metodológico</w:t>
            </w:r>
          </w:p>
        </w:tc>
        <w:tc>
          <w:tcPr>
            <w:tcW w:type="dxa" w:w="3628"/>
            <w:vAlign w:val="center"/>
            <w:shd w:fill="173A5E"/>
            <w:shd w:fill="173A5E"/>
          </w:tcPr>
          <w:p>
            <w:pPr>
              <w:spacing w:after="0" w:line="252" w:lineRule="auto"/>
            </w:pPr>
            <w:r>
              <w:rPr>
                <w:b/>
                <w:color w:val="FFFFFF"/>
                <w:sz w:val="17"/>
              </w:rPr>
            </w:r>
            <w:r>
              <w:rPr>
                <w:b/>
                <w:color w:val="FFFFFF"/>
                <w:sz w:val="17"/>
              </w:rPr>
              <w:t>Justificación</w:t>
            </w:r>
          </w:p>
        </w:tc>
      </w:tr>
      <w:tr>
        <w:tc>
          <w:tcPr>
            <w:tcW w:type="dxa" w:w="1587"/>
            <w:vAlign w:val="center"/>
          </w:tcPr>
          <w:p>
            <w:pPr>
              <w:spacing w:after="0" w:line="252" w:lineRule="auto"/>
            </w:pPr>
            <w:r>
              <w:rPr>
                <w:sz w:val="17"/>
              </w:rPr>
            </w:r>
            <w:r>
              <w:rPr>
                <w:b w:val="0"/>
                <w:sz w:val="17"/>
              </w:rPr>
              <w:t>Descubrimiento</w:t>
            </w:r>
          </w:p>
        </w:tc>
        <w:tc>
          <w:tcPr>
            <w:tcW w:type="dxa" w:w="1474"/>
            <w:vAlign w:val="center"/>
          </w:tcPr>
          <w:p>
            <w:pPr>
              <w:spacing w:after="0" w:line="252" w:lineRule="auto"/>
            </w:pPr>
            <w:r>
              <w:rPr>
                <w:sz w:val="17"/>
              </w:rPr>
            </w:r>
            <w:r>
              <w:rPr>
                <w:b w:val="0"/>
                <w:sz w:val="17"/>
              </w:rPr>
              <w:t>GSE78220</w:t>
            </w:r>
          </w:p>
        </w:tc>
        <w:tc>
          <w:tcPr>
            <w:tcW w:type="dxa" w:w="2608"/>
            <w:vAlign w:val="center"/>
          </w:tcPr>
          <w:p>
            <w:pPr>
              <w:spacing w:after="0" w:line="252" w:lineRule="auto"/>
            </w:pPr>
            <w:r>
              <w:rPr>
                <w:sz w:val="17"/>
              </w:rPr>
            </w:r>
            <w:r>
              <w:rPr>
                <w:b w:val="0"/>
                <w:sz w:val="17"/>
              </w:rPr>
              <w:t>RNA-seq tumoral anti-PD-1</w:t>
            </w:r>
          </w:p>
        </w:tc>
        <w:tc>
          <w:tcPr>
            <w:tcW w:type="dxa" w:w="3628"/>
            <w:vAlign w:val="center"/>
          </w:tcPr>
          <w:p>
            <w:pPr>
              <w:spacing w:after="0" w:line="252" w:lineRule="auto"/>
            </w:pPr>
            <w:r>
              <w:rPr>
                <w:sz w:val="17"/>
              </w:rPr>
            </w:r>
            <w:r>
              <w:rPr>
                <w:b w:val="0"/>
                <w:sz w:val="17"/>
              </w:rPr>
              <w:t>Permite analizar el transcriptoma completo sin limitarse a genes de panel NanoString.</w:t>
            </w:r>
          </w:p>
        </w:tc>
      </w:tr>
      <w:tr>
        <w:tc>
          <w:tcPr>
            <w:tcW w:type="dxa" w:w="1587"/>
            <w:vAlign w:val="center"/>
          </w:tcPr>
          <w:p>
            <w:pPr>
              <w:spacing w:after="0" w:line="252" w:lineRule="auto"/>
            </w:pPr>
            <w:r>
              <w:rPr>
                <w:sz w:val="17"/>
              </w:rPr>
            </w:r>
            <w:r>
              <w:rPr>
                <w:b w:val="0"/>
                <w:sz w:val="17"/>
              </w:rPr>
              <w:t>Validación 1</w:t>
            </w:r>
          </w:p>
        </w:tc>
        <w:tc>
          <w:tcPr>
            <w:tcW w:type="dxa" w:w="1474"/>
            <w:vAlign w:val="center"/>
          </w:tcPr>
          <w:p>
            <w:pPr>
              <w:spacing w:after="0" w:line="252" w:lineRule="auto"/>
            </w:pPr>
            <w:r>
              <w:rPr>
                <w:sz w:val="17"/>
              </w:rPr>
            </w:r>
            <w:r>
              <w:rPr>
                <w:b w:val="0"/>
                <w:sz w:val="17"/>
              </w:rPr>
              <w:t>GSE215868</w:t>
            </w:r>
          </w:p>
        </w:tc>
        <w:tc>
          <w:tcPr>
            <w:tcW w:type="dxa" w:w="2608"/>
            <w:vAlign w:val="center"/>
          </w:tcPr>
          <w:p>
            <w:pPr>
              <w:spacing w:after="0" w:line="252" w:lineRule="auto"/>
            </w:pPr>
            <w:r>
              <w:rPr>
                <w:sz w:val="17"/>
              </w:rPr>
            </w:r>
            <w:r>
              <w:rPr>
                <w:b w:val="0"/>
                <w:sz w:val="17"/>
              </w:rPr>
              <w:t>Tumor NanoString anti-PD-1</w:t>
            </w:r>
          </w:p>
        </w:tc>
        <w:tc>
          <w:tcPr>
            <w:tcW w:type="dxa" w:w="3628"/>
            <w:vAlign w:val="center"/>
          </w:tcPr>
          <w:p>
            <w:pPr>
              <w:spacing w:after="0" w:line="252" w:lineRule="auto"/>
            </w:pPr>
            <w:r>
              <w:rPr>
                <w:sz w:val="17"/>
              </w:rPr>
            </w:r>
            <w:r>
              <w:rPr>
                <w:b w:val="0"/>
                <w:sz w:val="17"/>
              </w:rPr>
              <w:t>Evalúa reproducibilidad en misma indicación y distinta plataforma.</w:t>
            </w:r>
          </w:p>
        </w:tc>
      </w:tr>
      <w:tr>
        <w:tc>
          <w:tcPr>
            <w:tcW w:type="dxa" w:w="1587"/>
            <w:vAlign w:val="center"/>
          </w:tcPr>
          <w:p>
            <w:pPr>
              <w:spacing w:after="0" w:line="252" w:lineRule="auto"/>
            </w:pPr>
            <w:r>
              <w:rPr>
                <w:sz w:val="17"/>
              </w:rPr>
            </w:r>
            <w:r>
              <w:rPr>
                <w:b w:val="0"/>
                <w:sz w:val="17"/>
              </w:rPr>
              <w:t>Validación 2</w:t>
            </w:r>
          </w:p>
        </w:tc>
        <w:tc>
          <w:tcPr>
            <w:tcW w:type="dxa" w:w="1474"/>
            <w:vAlign w:val="center"/>
          </w:tcPr>
          <w:p>
            <w:pPr>
              <w:spacing w:after="0" w:line="252" w:lineRule="auto"/>
            </w:pPr>
            <w:r>
              <w:rPr>
                <w:sz w:val="17"/>
              </w:rPr>
            </w:r>
            <w:r>
              <w:rPr>
                <w:b w:val="0"/>
                <w:sz w:val="17"/>
              </w:rPr>
              <w:t>GSE211645</w:t>
            </w:r>
          </w:p>
        </w:tc>
        <w:tc>
          <w:tcPr>
            <w:tcW w:type="dxa" w:w="2608"/>
            <w:vAlign w:val="center"/>
          </w:tcPr>
          <w:p>
            <w:pPr>
              <w:spacing w:after="0" w:line="252" w:lineRule="auto"/>
            </w:pPr>
            <w:r>
              <w:rPr>
                <w:sz w:val="17"/>
              </w:rPr>
            </w:r>
            <w:r>
              <w:rPr>
                <w:b w:val="0"/>
                <w:sz w:val="17"/>
              </w:rPr>
              <w:t>Tumor NanoString anti-CTLA-4</w:t>
            </w:r>
          </w:p>
        </w:tc>
        <w:tc>
          <w:tcPr>
            <w:tcW w:type="dxa" w:w="3628"/>
            <w:vAlign w:val="center"/>
          </w:tcPr>
          <w:p>
            <w:pPr>
              <w:spacing w:after="0" w:line="252" w:lineRule="auto"/>
            </w:pPr>
            <w:r>
              <w:rPr>
                <w:sz w:val="17"/>
              </w:rPr>
            </w:r>
            <w:r>
              <w:rPr>
                <w:b w:val="0"/>
                <w:sz w:val="17"/>
              </w:rPr>
              <w:t>Explora generalización a otro checkpoint; no se interpreta como validación directa anti-PD-1.</w:t>
            </w:r>
          </w:p>
        </w:tc>
      </w:tr>
      <w:tr>
        <w:tc>
          <w:tcPr>
            <w:tcW w:type="dxa" w:w="1587"/>
            <w:vAlign w:val="center"/>
          </w:tcPr>
          <w:p>
            <w:pPr>
              <w:spacing w:after="0" w:line="252" w:lineRule="auto"/>
            </w:pPr>
            <w:r>
              <w:rPr>
                <w:sz w:val="17"/>
              </w:rPr>
            </w:r>
            <w:r>
              <w:rPr>
                <w:b w:val="0"/>
                <w:sz w:val="17"/>
              </w:rPr>
              <w:t>Sensibilidad</w:t>
            </w:r>
          </w:p>
        </w:tc>
        <w:tc>
          <w:tcPr>
            <w:tcW w:type="dxa" w:w="1474"/>
            <w:vAlign w:val="center"/>
          </w:tcPr>
          <w:p>
            <w:pPr>
              <w:spacing w:after="0" w:line="252" w:lineRule="auto"/>
            </w:pPr>
            <w:r>
              <w:rPr>
                <w:sz w:val="17"/>
              </w:rPr>
            </w:r>
            <w:r>
              <w:rPr>
                <w:b w:val="0"/>
                <w:sz w:val="17"/>
              </w:rPr>
              <w:t>GSE91061</w:t>
            </w:r>
          </w:p>
        </w:tc>
        <w:tc>
          <w:tcPr>
            <w:tcW w:type="dxa" w:w="2608"/>
            <w:vAlign w:val="center"/>
          </w:tcPr>
          <w:p>
            <w:pPr>
              <w:spacing w:after="0" w:line="252" w:lineRule="auto"/>
            </w:pPr>
            <w:r>
              <w:rPr>
                <w:sz w:val="17"/>
              </w:rPr>
            </w:r>
            <w:r>
              <w:rPr>
                <w:b w:val="0"/>
                <w:sz w:val="17"/>
              </w:rPr>
              <w:t>Sangre RNA-seq, varios ICIs</w:t>
            </w:r>
          </w:p>
        </w:tc>
        <w:tc>
          <w:tcPr>
            <w:tcW w:type="dxa" w:w="3628"/>
            <w:vAlign w:val="center"/>
          </w:tcPr>
          <w:p>
            <w:pPr>
              <w:spacing w:after="0" w:line="252" w:lineRule="auto"/>
            </w:pPr>
            <w:r>
              <w:rPr>
                <w:sz w:val="17"/>
              </w:rPr>
            </w:r>
            <w:r>
              <w:rPr>
                <w:b w:val="0"/>
                <w:sz w:val="17"/>
              </w:rPr>
              <w:t>Evalúa si la firma tumoral se detecta en sangre.</w:t>
            </w:r>
          </w:p>
        </w:tc>
      </w:tr>
      <w:tr>
        <w:tc>
          <w:tcPr>
            <w:tcW w:type="dxa" w:w="1587"/>
            <w:vAlign w:val="center"/>
          </w:tcPr>
          <w:p>
            <w:pPr>
              <w:spacing w:after="0" w:line="252" w:lineRule="auto"/>
            </w:pPr>
            <w:r>
              <w:rPr>
                <w:sz w:val="17"/>
              </w:rPr>
            </w:r>
            <w:r>
              <w:rPr>
                <w:b w:val="0"/>
                <w:sz w:val="17"/>
              </w:rPr>
              <w:t>Sensibilidad</w:t>
            </w:r>
          </w:p>
        </w:tc>
        <w:tc>
          <w:tcPr>
            <w:tcW w:type="dxa" w:w="1474"/>
            <w:vAlign w:val="center"/>
          </w:tcPr>
          <w:p>
            <w:pPr>
              <w:spacing w:after="0" w:line="252" w:lineRule="auto"/>
            </w:pPr>
            <w:r>
              <w:rPr>
                <w:sz w:val="17"/>
              </w:rPr>
            </w:r>
            <w:r>
              <w:rPr>
                <w:b w:val="0"/>
                <w:sz w:val="17"/>
              </w:rPr>
              <w:t>GSE94873</w:t>
            </w:r>
          </w:p>
        </w:tc>
        <w:tc>
          <w:tcPr>
            <w:tcW w:type="dxa" w:w="2608"/>
            <w:vAlign w:val="center"/>
          </w:tcPr>
          <w:p>
            <w:pPr>
              <w:spacing w:after="0" w:line="252" w:lineRule="auto"/>
            </w:pPr>
            <w:r>
              <w:rPr>
                <w:sz w:val="17"/>
              </w:rPr>
            </w:r>
            <w:r>
              <w:rPr>
                <w:b w:val="0"/>
                <w:sz w:val="17"/>
              </w:rPr>
              <w:t>Sangre NanoString anti-CTLA-4</w:t>
            </w:r>
          </w:p>
        </w:tc>
        <w:tc>
          <w:tcPr>
            <w:tcW w:type="dxa" w:w="3628"/>
            <w:vAlign w:val="center"/>
          </w:tcPr>
          <w:p>
            <w:pPr>
              <w:spacing w:after="0" w:line="252" w:lineRule="auto"/>
            </w:pPr>
            <w:r>
              <w:rPr>
                <w:sz w:val="17"/>
              </w:rPr>
            </w:r>
            <w:r>
              <w:rPr>
                <w:b w:val="0"/>
                <w:sz w:val="17"/>
              </w:rPr>
              <w:t>Añade distancia de tejido, checkpoint y plataforma.</w:t>
            </w:r>
          </w:p>
        </w:tc>
      </w:tr>
      <w:tr>
        <w:tc>
          <w:tcPr>
            <w:tcW w:type="dxa" w:w="1587"/>
            <w:vAlign w:val="center"/>
          </w:tcPr>
          <w:p>
            <w:pPr>
              <w:spacing w:after="0" w:line="252" w:lineRule="auto"/>
            </w:pPr>
            <w:r>
              <w:rPr>
                <w:sz w:val="17"/>
              </w:rPr>
            </w:r>
            <w:r>
              <w:rPr>
                <w:b w:val="0"/>
                <w:sz w:val="17"/>
              </w:rPr>
              <w:t>Consistencia</w:t>
            </w:r>
          </w:p>
        </w:tc>
        <w:tc>
          <w:tcPr>
            <w:tcW w:type="dxa" w:w="1474"/>
            <w:vAlign w:val="center"/>
          </w:tcPr>
          <w:p>
            <w:pPr>
              <w:spacing w:after="0" w:line="252" w:lineRule="auto"/>
            </w:pPr>
            <w:r>
              <w:rPr>
                <w:sz w:val="17"/>
              </w:rPr>
            </w:r>
            <w:r>
              <w:rPr>
                <w:b w:val="0"/>
                <w:sz w:val="17"/>
              </w:rPr>
              <w:t>Integrado tumoral</w:t>
            </w:r>
          </w:p>
        </w:tc>
        <w:tc>
          <w:tcPr>
            <w:tcW w:type="dxa" w:w="2608"/>
            <w:vAlign w:val="center"/>
          </w:tcPr>
          <w:p>
            <w:pPr>
              <w:spacing w:after="0" w:line="252" w:lineRule="auto"/>
            </w:pPr>
            <w:r>
              <w:rPr>
                <w:sz w:val="17"/>
              </w:rPr>
            </w:r>
            <w:r>
              <w:rPr>
                <w:b w:val="0"/>
                <w:sz w:val="17"/>
              </w:rPr>
              <w:t>200 genes comunes</w:t>
            </w:r>
          </w:p>
        </w:tc>
        <w:tc>
          <w:tcPr>
            <w:tcW w:type="dxa" w:w="3628"/>
            <w:vAlign w:val="center"/>
          </w:tcPr>
          <w:p>
            <w:pPr>
              <w:spacing w:after="0" w:line="252" w:lineRule="auto"/>
            </w:pPr>
            <w:r>
              <w:rPr>
                <w:sz w:val="17"/>
              </w:rPr>
            </w:r>
            <w:r>
              <w:rPr>
                <w:b w:val="0"/>
                <w:sz w:val="17"/>
              </w:rPr>
              <w:t>Se usa solo como apoyo exploratorio de dirección de efecto.</w:t>
            </w:r>
          </w:p>
        </w:tc>
      </w:tr>
    </w:tbl>
    <w:p>
      <w:pPr>
        <w:pStyle w:val="Heading1"/>
      </w:pPr>
      <w:r>
        <w:rPr>
          <w:b/>
          <w:color w:val="173A5E"/>
        </w:rPr>
        <w:t>4. Trabajo desarrollado hasta el momento</w:t>
      </w:r>
    </w:p>
    <w:p>
      <w:pPr>
        <w:pStyle w:val="Heading2"/>
      </w:pPr>
      <w:r>
        <w:rPr>
          <w:b/>
          <w:color w:val="173A5E"/>
        </w:rPr>
        <w:t>4.1. Exploración y construcción de objetos por cohorte</w:t>
      </w:r>
    </w:p>
    <w:p>
      <w:pPr>
        <w:spacing w:after="120" w:line="259" w:lineRule="auto"/>
      </w:pPr>
      <w:r>
        <w:rPr>
          <w:sz w:val="20"/>
        </w:rPr>
        <w:t>Se ha completado la exploración inicial y la construcción de objetos SummarizedExperiment para las principales cohortes GEO. Para cada dataset se ha seguido un flujo reproducible: descarga o carga de datos, exploración de metadatos, identificación de variables clave, filtrado de muestras pretratamiento, recodificación de respuesta y construcción del contenedor ómico.</w:t>
      </w:r>
    </w:p>
    <w:p>
      <w:pPr>
        <w:spacing w:before="120" w:after="60"/>
      </w:pPr>
      <w:r>
        <w:rPr>
          <w:b/>
          <w:i/>
          <w:color w:val="5A5A5A"/>
          <w:sz w:val="17"/>
        </w:rPr>
        <w:t>Tabla 4. Cohortes GEO procesadas en el bloque predictivo</w:t>
      </w:r>
    </w:p>
    <w:tbl>
      <w:tblPr>
        <w:tblStyle w:val="TableGrid"/>
        <w:tblW w:type="auto" w:w="0"/>
        <w:jc w:val="center"/>
        <w:tblLayout w:type="autofit"/>
        <w:tblLook w:firstColumn="1" w:firstRow="1" w:lastColumn="0" w:lastRow="0" w:noHBand="0" w:noVBand="1" w:val="04A0"/>
      </w:tblPr>
      <w:tblGrid>
        <w:gridCol w:w="1738"/>
        <w:gridCol w:w="1738"/>
        <w:gridCol w:w="1738"/>
        <w:gridCol w:w="1738"/>
        <w:gridCol w:w="1738"/>
        <w:gridCol w:w="1738"/>
      </w:tblGrid>
      <w:tr>
        <w:tc>
          <w:tcPr>
            <w:tcW w:type="dxa" w:w="1247"/>
            <w:vAlign w:val="center"/>
            <w:shd w:fill="173A5E"/>
            <w:shd w:fill="173A5E"/>
          </w:tcPr>
          <w:p>
            <w:pPr>
              <w:spacing w:after="0" w:line="252" w:lineRule="auto"/>
            </w:pPr>
            <w:r>
              <w:rPr>
                <w:b/>
                <w:color w:val="FFFFFF"/>
                <w:sz w:val="17"/>
              </w:rPr>
            </w:r>
            <w:r>
              <w:rPr>
                <w:b/>
                <w:color w:val="FFFFFF"/>
                <w:sz w:val="17"/>
              </w:rPr>
              <w:t>Dataset</w:t>
            </w:r>
          </w:p>
        </w:tc>
        <w:tc>
          <w:tcPr>
            <w:tcW w:type="dxa" w:w="1247"/>
            <w:vAlign w:val="center"/>
            <w:shd w:fill="173A5E"/>
            <w:shd w:fill="173A5E"/>
          </w:tcPr>
          <w:p>
            <w:pPr>
              <w:spacing w:after="0" w:line="252" w:lineRule="auto"/>
            </w:pPr>
            <w:r>
              <w:rPr>
                <w:b/>
                <w:color w:val="FFFFFF"/>
                <w:sz w:val="17"/>
              </w:rPr>
            </w:r>
            <w:r>
              <w:rPr>
                <w:b/>
                <w:color w:val="FFFFFF"/>
                <w:sz w:val="17"/>
              </w:rPr>
              <w:t>Tejido</w:t>
            </w:r>
          </w:p>
        </w:tc>
        <w:tc>
          <w:tcPr>
            <w:tcW w:type="dxa" w:w="1247"/>
            <w:vAlign w:val="center"/>
            <w:shd w:fill="173A5E"/>
            <w:shd w:fill="173A5E"/>
          </w:tcPr>
          <w:p>
            <w:pPr>
              <w:spacing w:after="0" w:line="252" w:lineRule="auto"/>
            </w:pPr>
            <w:r>
              <w:rPr>
                <w:b/>
                <w:color w:val="FFFFFF"/>
                <w:sz w:val="17"/>
              </w:rPr>
            </w:r>
            <w:r>
              <w:rPr>
                <w:b/>
                <w:color w:val="FFFFFF"/>
                <w:sz w:val="17"/>
              </w:rPr>
              <w:t>Plataforma</w:t>
            </w:r>
          </w:p>
        </w:tc>
        <w:tc>
          <w:tcPr>
            <w:tcW w:type="dxa" w:w="1984"/>
            <w:vAlign w:val="center"/>
            <w:shd w:fill="173A5E"/>
            <w:shd w:fill="173A5E"/>
          </w:tcPr>
          <w:p>
            <w:pPr>
              <w:spacing w:after="0" w:line="252" w:lineRule="auto"/>
            </w:pPr>
            <w:r>
              <w:rPr>
                <w:b/>
                <w:color w:val="FFFFFF"/>
                <w:sz w:val="17"/>
              </w:rPr>
            </w:r>
            <w:r>
              <w:rPr>
                <w:b/>
                <w:color w:val="FFFFFF"/>
                <w:sz w:val="17"/>
              </w:rPr>
              <w:t>Tratamiento</w:t>
            </w:r>
          </w:p>
        </w:tc>
        <w:tc>
          <w:tcPr>
            <w:tcW w:type="dxa" w:w="1134"/>
            <w:vAlign w:val="center"/>
            <w:shd w:fill="173A5E"/>
            <w:shd w:fill="173A5E"/>
          </w:tcPr>
          <w:p>
            <w:pPr>
              <w:spacing w:after="0" w:line="252" w:lineRule="auto"/>
            </w:pPr>
            <w:r>
              <w:rPr>
                <w:b/>
                <w:color w:val="FFFFFF"/>
                <w:sz w:val="17"/>
              </w:rPr>
            </w:r>
            <w:r>
              <w:rPr>
                <w:b/>
                <w:color w:val="FFFFFF"/>
                <w:sz w:val="17"/>
              </w:rPr>
              <w:t>Muestras útiles</w:t>
            </w:r>
          </w:p>
        </w:tc>
        <w:tc>
          <w:tcPr>
            <w:tcW w:type="dxa" w:w="1757"/>
            <w:vAlign w:val="center"/>
            <w:shd w:fill="173A5E"/>
            <w:shd w:fill="173A5E"/>
          </w:tcPr>
          <w:p>
            <w:pPr>
              <w:spacing w:after="0" w:line="252" w:lineRule="auto"/>
            </w:pPr>
            <w:r>
              <w:rPr>
                <w:b/>
                <w:color w:val="FFFFFF"/>
                <w:sz w:val="17"/>
              </w:rPr>
            </w:r>
            <w:r>
              <w:rPr>
                <w:b/>
                <w:color w:val="FFFFFF"/>
                <w:sz w:val="17"/>
              </w:rPr>
              <w:t>Respondedores / No respondedores</w:t>
            </w:r>
          </w:p>
        </w:tc>
      </w:tr>
      <w:tr>
        <w:tc>
          <w:tcPr>
            <w:tcW w:type="dxa" w:w="1247"/>
            <w:vAlign w:val="center"/>
          </w:tcPr>
          <w:p>
            <w:pPr>
              <w:spacing w:after="0" w:line="252" w:lineRule="auto"/>
            </w:pPr>
            <w:r>
              <w:rPr>
                <w:sz w:val="17"/>
              </w:rPr>
            </w:r>
            <w:r>
              <w:rPr>
                <w:b w:val="0"/>
                <w:sz w:val="17"/>
              </w:rPr>
              <w:t>GSE78220</w:t>
            </w:r>
          </w:p>
        </w:tc>
        <w:tc>
          <w:tcPr>
            <w:tcW w:type="dxa" w:w="1247"/>
            <w:vAlign w:val="center"/>
          </w:tcPr>
          <w:p>
            <w:pPr>
              <w:spacing w:after="0" w:line="252" w:lineRule="auto"/>
            </w:pPr>
            <w:r>
              <w:rPr>
                <w:sz w:val="17"/>
              </w:rPr>
            </w:r>
            <w:r>
              <w:rPr>
                <w:b w:val="0"/>
                <w:sz w:val="17"/>
              </w:rPr>
              <w:t>Tumor</w:t>
            </w:r>
          </w:p>
        </w:tc>
        <w:tc>
          <w:tcPr>
            <w:tcW w:type="dxa" w:w="1247"/>
            <w:vAlign w:val="center"/>
          </w:tcPr>
          <w:p>
            <w:pPr>
              <w:spacing w:after="0" w:line="252" w:lineRule="auto"/>
            </w:pPr>
            <w:r>
              <w:rPr>
                <w:sz w:val="17"/>
              </w:rPr>
            </w:r>
            <w:r>
              <w:rPr>
                <w:b w:val="0"/>
                <w:sz w:val="17"/>
              </w:rPr>
              <w:t>RNA-seq</w:t>
            </w:r>
          </w:p>
        </w:tc>
        <w:tc>
          <w:tcPr>
            <w:tcW w:type="dxa" w:w="1984"/>
            <w:vAlign w:val="center"/>
          </w:tcPr>
          <w:p>
            <w:pPr>
              <w:spacing w:after="0" w:line="252" w:lineRule="auto"/>
            </w:pPr>
            <w:r>
              <w:rPr>
                <w:sz w:val="17"/>
              </w:rPr>
            </w:r>
            <w:r>
              <w:rPr>
                <w:b w:val="0"/>
                <w:sz w:val="17"/>
              </w:rPr>
              <w:t>anti-PD-1</w:t>
            </w:r>
          </w:p>
        </w:tc>
        <w:tc>
          <w:tcPr>
            <w:tcW w:type="dxa" w:w="1134"/>
            <w:vAlign w:val="center"/>
          </w:tcPr>
          <w:p>
            <w:pPr>
              <w:spacing w:after="0" w:line="252" w:lineRule="auto"/>
            </w:pPr>
            <w:r>
              <w:rPr>
                <w:sz w:val="17"/>
              </w:rPr>
            </w:r>
            <w:r>
              <w:rPr>
                <w:b w:val="0"/>
                <w:sz w:val="17"/>
              </w:rPr>
              <w:t>25</w:t>
            </w:r>
          </w:p>
        </w:tc>
        <w:tc>
          <w:tcPr>
            <w:tcW w:type="dxa" w:w="1757"/>
            <w:vAlign w:val="center"/>
          </w:tcPr>
          <w:p>
            <w:pPr>
              <w:spacing w:after="0" w:line="252" w:lineRule="auto"/>
            </w:pPr>
            <w:r>
              <w:rPr>
                <w:sz w:val="17"/>
              </w:rPr>
            </w:r>
            <w:r>
              <w:rPr>
                <w:b w:val="0"/>
                <w:sz w:val="17"/>
              </w:rPr>
              <w:t>14 / 11</w:t>
            </w:r>
          </w:p>
        </w:tc>
      </w:tr>
      <w:tr>
        <w:tc>
          <w:tcPr>
            <w:tcW w:type="dxa" w:w="1247"/>
            <w:vAlign w:val="center"/>
          </w:tcPr>
          <w:p>
            <w:pPr>
              <w:spacing w:after="0" w:line="252" w:lineRule="auto"/>
            </w:pPr>
            <w:r>
              <w:rPr>
                <w:sz w:val="17"/>
              </w:rPr>
            </w:r>
            <w:r>
              <w:rPr>
                <w:b w:val="0"/>
                <w:sz w:val="17"/>
              </w:rPr>
              <w:t>GSE215868</w:t>
            </w:r>
          </w:p>
        </w:tc>
        <w:tc>
          <w:tcPr>
            <w:tcW w:type="dxa" w:w="1247"/>
            <w:vAlign w:val="center"/>
          </w:tcPr>
          <w:p>
            <w:pPr>
              <w:spacing w:after="0" w:line="252" w:lineRule="auto"/>
            </w:pPr>
            <w:r>
              <w:rPr>
                <w:sz w:val="17"/>
              </w:rPr>
            </w:r>
            <w:r>
              <w:rPr>
                <w:b w:val="0"/>
                <w:sz w:val="17"/>
              </w:rPr>
              <w:t>Tumor</w:t>
            </w:r>
          </w:p>
        </w:tc>
        <w:tc>
          <w:tcPr>
            <w:tcW w:type="dxa" w:w="1247"/>
            <w:vAlign w:val="center"/>
          </w:tcPr>
          <w:p>
            <w:pPr>
              <w:spacing w:after="0" w:line="252" w:lineRule="auto"/>
            </w:pPr>
            <w:r>
              <w:rPr>
                <w:sz w:val="17"/>
              </w:rPr>
            </w:r>
            <w:r>
              <w:rPr>
                <w:b w:val="0"/>
                <w:sz w:val="17"/>
              </w:rPr>
              <w:t>NanoString</w:t>
            </w:r>
          </w:p>
        </w:tc>
        <w:tc>
          <w:tcPr>
            <w:tcW w:type="dxa" w:w="1984"/>
            <w:vAlign w:val="center"/>
          </w:tcPr>
          <w:p>
            <w:pPr>
              <w:spacing w:after="0" w:line="252" w:lineRule="auto"/>
            </w:pPr>
            <w:r>
              <w:rPr>
                <w:sz w:val="17"/>
              </w:rPr>
            </w:r>
            <w:r>
              <w:rPr>
                <w:b w:val="0"/>
                <w:sz w:val="17"/>
              </w:rPr>
              <w:t>anti-PD-1</w:t>
            </w:r>
          </w:p>
        </w:tc>
        <w:tc>
          <w:tcPr>
            <w:tcW w:type="dxa" w:w="1134"/>
            <w:vAlign w:val="center"/>
          </w:tcPr>
          <w:p>
            <w:pPr>
              <w:spacing w:after="0" w:line="252" w:lineRule="auto"/>
            </w:pPr>
            <w:r>
              <w:rPr>
                <w:sz w:val="17"/>
              </w:rPr>
            </w:r>
            <w:r>
              <w:rPr>
                <w:b w:val="0"/>
                <w:sz w:val="17"/>
              </w:rPr>
              <w:t>105</w:t>
            </w:r>
          </w:p>
        </w:tc>
        <w:tc>
          <w:tcPr>
            <w:tcW w:type="dxa" w:w="1757"/>
            <w:vAlign w:val="center"/>
          </w:tcPr>
          <w:p>
            <w:pPr>
              <w:spacing w:after="0" w:line="252" w:lineRule="auto"/>
            </w:pPr>
            <w:r>
              <w:rPr>
                <w:sz w:val="17"/>
              </w:rPr>
            </w:r>
            <w:r>
              <w:rPr>
                <w:b w:val="0"/>
                <w:sz w:val="17"/>
              </w:rPr>
              <w:t>45 / 59; 1 NA</w:t>
            </w:r>
          </w:p>
        </w:tc>
      </w:tr>
      <w:tr>
        <w:tc>
          <w:tcPr>
            <w:tcW w:type="dxa" w:w="1247"/>
            <w:vAlign w:val="center"/>
          </w:tcPr>
          <w:p>
            <w:pPr>
              <w:spacing w:after="0" w:line="252" w:lineRule="auto"/>
            </w:pPr>
            <w:r>
              <w:rPr>
                <w:sz w:val="17"/>
              </w:rPr>
            </w:r>
            <w:r>
              <w:rPr>
                <w:b w:val="0"/>
                <w:sz w:val="17"/>
              </w:rPr>
              <w:t>GSE211645</w:t>
            </w:r>
          </w:p>
        </w:tc>
        <w:tc>
          <w:tcPr>
            <w:tcW w:type="dxa" w:w="1247"/>
            <w:vAlign w:val="center"/>
          </w:tcPr>
          <w:p>
            <w:pPr>
              <w:spacing w:after="0" w:line="252" w:lineRule="auto"/>
            </w:pPr>
            <w:r>
              <w:rPr>
                <w:sz w:val="17"/>
              </w:rPr>
            </w:r>
            <w:r>
              <w:rPr>
                <w:b w:val="0"/>
                <w:sz w:val="17"/>
              </w:rPr>
              <w:t>Tumor</w:t>
            </w:r>
          </w:p>
        </w:tc>
        <w:tc>
          <w:tcPr>
            <w:tcW w:type="dxa" w:w="1247"/>
            <w:vAlign w:val="center"/>
          </w:tcPr>
          <w:p>
            <w:pPr>
              <w:spacing w:after="0" w:line="252" w:lineRule="auto"/>
            </w:pPr>
            <w:r>
              <w:rPr>
                <w:sz w:val="17"/>
              </w:rPr>
            </w:r>
            <w:r>
              <w:rPr>
                <w:b w:val="0"/>
                <w:sz w:val="17"/>
              </w:rPr>
              <w:t>NanoString</w:t>
            </w:r>
          </w:p>
        </w:tc>
        <w:tc>
          <w:tcPr>
            <w:tcW w:type="dxa" w:w="1984"/>
            <w:vAlign w:val="center"/>
          </w:tcPr>
          <w:p>
            <w:pPr>
              <w:spacing w:after="0" w:line="252" w:lineRule="auto"/>
            </w:pPr>
            <w:r>
              <w:rPr>
                <w:sz w:val="17"/>
              </w:rPr>
            </w:r>
            <w:r>
              <w:rPr>
                <w:b w:val="0"/>
                <w:sz w:val="17"/>
              </w:rPr>
              <w:t>anti-CTLA-4</w:t>
            </w:r>
          </w:p>
        </w:tc>
        <w:tc>
          <w:tcPr>
            <w:tcW w:type="dxa" w:w="1134"/>
            <w:vAlign w:val="center"/>
          </w:tcPr>
          <w:p>
            <w:pPr>
              <w:spacing w:after="0" w:line="252" w:lineRule="auto"/>
            </w:pPr>
            <w:r>
              <w:rPr>
                <w:sz w:val="17"/>
              </w:rPr>
            </w:r>
            <w:r>
              <w:rPr>
                <w:b w:val="0"/>
                <w:sz w:val="17"/>
              </w:rPr>
              <w:t>40</w:t>
            </w:r>
          </w:p>
        </w:tc>
        <w:tc>
          <w:tcPr>
            <w:tcW w:type="dxa" w:w="1757"/>
            <w:vAlign w:val="center"/>
          </w:tcPr>
          <w:p>
            <w:pPr>
              <w:spacing w:after="0" w:line="252" w:lineRule="auto"/>
            </w:pPr>
            <w:r>
              <w:rPr>
                <w:sz w:val="17"/>
              </w:rPr>
            </w:r>
            <w:r>
              <w:rPr>
                <w:b w:val="0"/>
                <w:sz w:val="17"/>
              </w:rPr>
              <w:t>12 / 28</w:t>
            </w:r>
          </w:p>
        </w:tc>
      </w:tr>
      <w:tr>
        <w:tc>
          <w:tcPr>
            <w:tcW w:type="dxa" w:w="1247"/>
            <w:vAlign w:val="center"/>
          </w:tcPr>
          <w:p>
            <w:pPr>
              <w:spacing w:after="0" w:line="252" w:lineRule="auto"/>
            </w:pPr>
            <w:r>
              <w:rPr>
                <w:sz w:val="17"/>
              </w:rPr>
            </w:r>
            <w:r>
              <w:rPr>
                <w:b w:val="0"/>
                <w:sz w:val="17"/>
              </w:rPr>
              <w:t>GSE91061</w:t>
            </w:r>
          </w:p>
        </w:tc>
        <w:tc>
          <w:tcPr>
            <w:tcW w:type="dxa" w:w="1247"/>
            <w:vAlign w:val="center"/>
          </w:tcPr>
          <w:p>
            <w:pPr>
              <w:spacing w:after="0" w:line="252" w:lineRule="auto"/>
            </w:pPr>
            <w:r>
              <w:rPr>
                <w:sz w:val="17"/>
              </w:rPr>
            </w:r>
            <w:r>
              <w:rPr>
                <w:b w:val="0"/>
                <w:sz w:val="17"/>
              </w:rPr>
              <w:t>Sangre/PBMC</w:t>
            </w:r>
          </w:p>
        </w:tc>
        <w:tc>
          <w:tcPr>
            <w:tcW w:type="dxa" w:w="1247"/>
            <w:vAlign w:val="center"/>
          </w:tcPr>
          <w:p>
            <w:pPr>
              <w:spacing w:after="0" w:line="252" w:lineRule="auto"/>
            </w:pPr>
            <w:r>
              <w:rPr>
                <w:sz w:val="17"/>
              </w:rPr>
            </w:r>
            <w:r>
              <w:rPr>
                <w:b w:val="0"/>
                <w:sz w:val="17"/>
              </w:rPr>
              <w:t>RNA-seq</w:t>
            </w:r>
          </w:p>
        </w:tc>
        <w:tc>
          <w:tcPr>
            <w:tcW w:type="dxa" w:w="1984"/>
            <w:vAlign w:val="center"/>
          </w:tcPr>
          <w:p>
            <w:pPr>
              <w:spacing w:after="0" w:line="252" w:lineRule="auto"/>
            </w:pPr>
            <w:r>
              <w:rPr>
                <w:sz w:val="17"/>
              </w:rPr>
            </w:r>
            <w:r>
              <w:rPr>
                <w:b w:val="0"/>
                <w:sz w:val="17"/>
              </w:rPr>
              <w:t>varios ICIs</w:t>
            </w:r>
          </w:p>
        </w:tc>
        <w:tc>
          <w:tcPr>
            <w:tcW w:type="dxa" w:w="1134"/>
            <w:vAlign w:val="center"/>
          </w:tcPr>
          <w:p>
            <w:pPr>
              <w:spacing w:after="0" w:line="252" w:lineRule="auto"/>
            </w:pPr>
            <w:r>
              <w:rPr>
                <w:sz w:val="17"/>
              </w:rPr>
            </w:r>
            <w:r>
              <w:rPr>
                <w:b w:val="0"/>
                <w:sz w:val="17"/>
              </w:rPr>
              <w:t>51</w:t>
            </w:r>
          </w:p>
        </w:tc>
        <w:tc>
          <w:tcPr>
            <w:tcW w:type="dxa" w:w="1757"/>
            <w:vAlign w:val="center"/>
          </w:tcPr>
          <w:p>
            <w:pPr>
              <w:spacing w:after="0" w:line="252" w:lineRule="auto"/>
            </w:pPr>
            <w:r>
              <w:rPr>
                <w:sz w:val="17"/>
              </w:rPr>
            </w:r>
            <w:r>
              <w:rPr>
                <w:b w:val="0"/>
                <w:sz w:val="17"/>
              </w:rPr>
              <w:t>10 / 39; 2 NA</w:t>
            </w:r>
          </w:p>
        </w:tc>
      </w:tr>
      <w:tr>
        <w:tc>
          <w:tcPr>
            <w:tcW w:type="dxa" w:w="1247"/>
            <w:vAlign w:val="center"/>
          </w:tcPr>
          <w:p>
            <w:pPr>
              <w:spacing w:after="0" w:line="252" w:lineRule="auto"/>
            </w:pPr>
            <w:r>
              <w:rPr>
                <w:sz w:val="17"/>
              </w:rPr>
            </w:r>
            <w:r>
              <w:rPr>
                <w:b w:val="0"/>
                <w:sz w:val="17"/>
              </w:rPr>
              <w:t>GSE94873</w:t>
            </w:r>
          </w:p>
        </w:tc>
        <w:tc>
          <w:tcPr>
            <w:tcW w:type="dxa" w:w="1247"/>
            <w:vAlign w:val="center"/>
          </w:tcPr>
          <w:p>
            <w:pPr>
              <w:spacing w:after="0" w:line="252" w:lineRule="auto"/>
            </w:pPr>
            <w:r>
              <w:rPr>
                <w:sz w:val="17"/>
              </w:rPr>
            </w:r>
            <w:r>
              <w:rPr>
                <w:b w:val="0"/>
                <w:sz w:val="17"/>
              </w:rPr>
              <w:t>Sangre</w:t>
            </w:r>
          </w:p>
        </w:tc>
        <w:tc>
          <w:tcPr>
            <w:tcW w:type="dxa" w:w="1247"/>
            <w:vAlign w:val="center"/>
          </w:tcPr>
          <w:p>
            <w:pPr>
              <w:spacing w:after="0" w:line="252" w:lineRule="auto"/>
            </w:pPr>
            <w:r>
              <w:rPr>
                <w:sz w:val="17"/>
              </w:rPr>
            </w:r>
            <w:r>
              <w:rPr>
                <w:b w:val="0"/>
                <w:sz w:val="17"/>
              </w:rPr>
              <w:t>NanoString</w:t>
            </w:r>
          </w:p>
        </w:tc>
        <w:tc>
          <w:tcPr>
            <w:tcW w:type="dxa" w:w="1984"/>
            <w:vAlign w:val="center"/>
          </w:tcPr>
          <w:p>
            <w:pPr>
              <w:spacing w:after="0" w:line="252" w:lineRule="auto"/>
            </w:pPr>
            <w:r>
              <w:rPr>
                <w:sz w:val="17"/>
              </w:rPr>
            </w:r>
            <w:r>
              <w:rPr>
                <w:b w:val="0"/>
                <w:sz w:val="17"/>
              </w:rPr>
              <w:t>tremelimumab anti-CTLA-4</w:t>
            </w:r>
          </w:p>
        </w:tc>
        <w:tc>
          <w:tcPr>
            <w:tcW w:type="dxa" w:w="1134"/>
            <w:vAlign w:val="center"/>
          </w:tcPr>
          <w:p>
            <w:pPr>
              <w:spacing w:after="0" w:line="252" w:lineRule="auto"/>
            </w:pPr>
            <w:r>
              <w:rPr>
                <w:sz w:val="17"/>
              </w:rPr>
            </w:r>
            <w:r>
              <w:rPr>
                <w:b w:val="0"/>
                <w:sz w:val="17"/>
              </w:rPr>
              <w:t>360</w:t>
            </w:r>
          </w:p>
        </w:tc>
        <w:tc>
          <w:tcPr>
            <w:tcW w:type="dxa" w:w="1757"/>
            <w:vAlign w:val="center"/>
          </w:tcPr>
          <w:p>
            <w:pPr>
              <w:spacing w:after="0" w:line="252" w:lineRule="auto"/>
            </w:pPr>
            <w:r>
              <w:rPr>
                <w:sz w:val="17"/>
              </w:rPr>
            </w:r>
            <w:r>
              <w:rPr>
                <w:b w:val="0"/>
                <w:sz w:val="17"/>
              </w:rPr>
              <w:t>46 / 314</w:t>
            </w:r>
          </w:p>
        </w:tc>
      </w:tr>
    </w:tbl>
    <w:p>
      <w:pPr>
        <w:spacing w:after="120" w:line="259" w:lineRule="auto"/>
      </w:pPr>
      <w:r>
        <w:rPr>
          <w:sz w:val="20"/>
        </w:rPr>
        <w:t>En GSE94873 se confirmó que el dataset contiene 720 muestras NanoString de sangre, de las cuales 360 corresponden a pretratamiento. La variable de respuesta está codificada como 1/0 y se recodificó a Respondedor/No respondedor. El desequilibrio de clases se considera una limitación relevante para la interpretación.</w:t>
      </w:r>
    </w:p>
    <w:p>
      <w:r>
        <w:br w:type="page"/>
      </w:r>
    </w:p>
    <w:p>
      <w:pPr>
        <w:pStyle w:val="Heading2"/>
      </w:pPr>
      <w:r>
        <w:rPr>
          <w:b/>
          <w:color w:val="173A5E"/>
        </w:rPr>
        <w:t>4.2. Análisis principal de descubrimiento</w:t>
      </w:r>
    </w:p>
    <w:p>
      <w:pPr>
        <w:spacing w:after="120" w:line="259" w:lineRule="auto"/>
      </w:pPr>
      <w:r>
        <w:rPr>
          <w:sz w:val="20"/>
        </w:rPr>
        <w:t>El análisis principal se realizó sobre GSE78220, utilizando expresión transformada a log2(expr + 1) antes de aplicar limma. Esta corrección fue necesaria porque la escala original era lineal y podía generar logFC no interpretables bajo los supuestos del modelo lineal.</w:t>
      </w:r>
    </w:p>
    <w:p>
      <w:pPr>
        <w:spacing w:before="120" w:after="60"/>
      </w:pPr>
      <w:r>
        <w:rPr>
          <w:b/>
          <w:i/>
          <w:color w:val="5A5A5A"/>
          <w:sz w:val="17"/>
        </w:rPr>
        <w:t>Tabla 5. Resultados principales del discovery GSE78220</w:t>
      </w:r>
    </w:p>
    <w:tbl>
      <w:tblPr>
        <w:tblStyle w:val="TableGrid"/>
        <w:tblW w:type="auto" w:w="0"/>
        <w:jc w:val="center"/>
        <w:tblLayout w:type="autofit"/>
        <w:tblLook w:firstColumn="1" w:firstRow="1" w:lastColumn="0" w:lastRow="0" w:noHBand="0" w:noVBand="1" w:val="04A0"/>
      </w:tblPr>
      <w:tblGrid>
        <w:gridCol w:w="3475"/>
        <w:gridCol w:w="3475"/>
        <w:gridCol w:w="3475"/>
      </w:tblGrid>
      <w:tr>
        <w:tc>
          <w:tcPr>
            <w:tcW w:type="dxa" w:w="2041"/>
            <w:vAlign w:val="center"/>
            <w:shd w:fill="173A5E"/>
            <w:shd w:fill="173A5E"/>
          </w:tcPr>
          <w:p>
            <w:pPr>
              <w:spacing w:after="0" w:line="252" w:lineRule="auto"/>
            </w:pPr>
            <w:r>
              <w:rPr>
                <w:b/>
                <w:color w:val="FFFFFF"/>
                <w:sz w:val="17"/>
              </w:rPr>
            </w:r>
            <w:r>
              <w:rPr>
                <w:b/>
                <w:color w:val="FFFFFF"/>
                <w:sz w:val="17"/>
              </w:rPr>
              <w:t>Resultado</w:t>
            </w:r>
          </w:p>
        </w:tc>
        <w:tc>
          <w:tcPr>
            <w:tcW w:type="dxa" w:w="1814"/>
            <w:vAlign w:val="center"/>
            <w:shd w:fill="173A5E"/>
            <w:shd w:fill="173A5E"/>
          </w:tcPr>
          <w:p>
            <w:pPr>
              <w:spacing w:after="0" w:line="252" w:lineRule="auto"/>
            </w:pPr>
            <w:r>
              <w:rPr>
                <w:b/>
                <w:color w:val="FFFFFF"/>
                <w:sz w:val="17"/>
              </w:rPr>
            </w:r>
            <w:r>
              <w:rPr>
                <w:b/>
                <w:color w:val="FFFFFF"/>
                <w:sz w:val="17"/>
              </w:rPr>
              <w:t>Valor</w:t>
            </w:r>
          </w:p>
        </w:tc>
        <w:tc>
          <w:tcPr>
            <w:tcW w:type="dxa" w:w="4535"/>
            <w:vAlign w:val="center"/>
            <w:shd w:fill="173A5E"/>
            <w:shd w:fill="173A5E"/>
          </w:tcPr>
          <w:p>
            <w:pPr>
              <w:spacing w:after="0" w:line="252" w:lineRule="auto"/>
            </w:pPr>
            <w:r>
              <w:rPr>
                <w:b/>
                <w:color w:val="FFFFFF"/>
                <w:sz w:val="17"/>
              </w:rPr>
            </w:r>
            <w:r>
              <w:rPr>
                <w:b/>
                <w:color w:val="FFFFFF"/>
                <w:sz w:val="17"/>
              </w:rPr>
              <w:t>Interpretación</w:t>
            </w:r>
          </w:p>
        </w:tc>
      </w:tr>
      <w:tr>
        <w:tc>
          <w:tcPr>
            <w:tcW w:type="dxa" w:w="2041"/>
            <w:vAlign w:val="center"/>
          </w:tcPr>
          <w:p>
            <w:pPr>
              <w:spacing w:after="0" w:line="252" w:lineRule="auto"/>
            </w:pPr>
            <w:r>
              <w:rPr>
                <w:sz w:val="17"/>
              </w:rPr>
            </w:r>
            <w:r>
              <w:rPr>
                <w:b w:val="0"/>
                <w:sz w:val="17"/>
              </w:rPr>
              <w:t>Muestras</w:t>
            </w:r>
          </w:p>
        </w:tc>
        <w:tc>
          <w:tcPr>
            <w:tcW w:type="dxa" w:w="1814"/>
            <w:vAlign w:val="center"/>
          </w:tcPr>
          <w:p>
            <w:pPr>
              <w:spacing w:after="0" w:line="252" w:lineRule="auto"/>
            </w:pPr>
            <w:r>
              <w:rPr>
                <w:sz w:val="17"/>
              </w:rPr>
            </w:r>
            <w:r>
              <w:rPr>
                <w:b w:val="0"/>
                <w:sz w:val="17"/>
              </w:rPr>
              <w:t>25</w:t>
            </w:r>
          </w:p>
        </w:tc>
        <w:tc>
          <w:tcPr>
            <w:tcW w:type="dxa" w:w="4535"/>
            <w:vAlign w:val="center"/>
          </w:tcPr>
          <w:p>
            <w:pPr>
              <w:spacing w:after="0" w:line="252" w:lineRule="auto"/>
            </w:pPr>
            <w:r>
              <w:rPr>
                <w:sz w:val="17"/>
              </w:rPr>
            </w:r>
            <w:r>
              <w:rPr>
                <w:b w:val="0"/>
                <w:sz w:val="17"/>
              </w:rPr>
              <w:t>Tamaño muestral reducido; análisis exploratorio.</w:t>
            </w:r>
          </w:p>
        </w:tc>
      </w:tr>
      <w:tr>
        <w:tc>
          <w:tcPr>
            <w:tcW w:type="dxa" w:w="2041"/>
            <w:vAlign w:val="center"/>
          </w:tcPr>
          <w:p>
            <w:pPr>
              <w:spacing w:after="0" w:line="252" w:lineRule="auto"/>
            </w:pPr>
            <w:r>
              <w:rPr>
                <w:sz w:val="17"/>
              </w:rPr>
            </w:r>
            <w:r>
              <w:rPr>
                <w:b w:val="0"/>
                <w:sz w:val="17"/>
              </w:rPr>
              <w:t>Genes testados</w:t>
            </w:r>
          </w:p>
        </w:tc>
        <w:tc>
          <w:tcPr>
            <w:tcW w:type="dxa" w:w="1814"/>
            <w:vAlign w:val="center"/>
          </w:tcPr>
          <w:p>
            <w:pPr>
              <w:spacing w:after="0" w:line="252" w:lineRule="auto"/>
            </w:pPr>
            <w:r>
              <w:rPr>
                <w:sz w:val="17"/>
              </w:rPr>
            </w:r>
            <w:r>
              <w:rPr>
                <w:b w:val="0"/>
                <w:sz w:val="17"/>
              </w:rPr>
              <w:t>&gt;22.000</w:t>
            </w:r>
          </w:p>
        </w:tc>
        <w:tc>
          <w:tcPr>
            <w:tcW w:type="dxa" w:w="4535"/>
            <w:vAlign w:val="center"/>
          </w:tcPr>
          <w:p>
            <w:pPr>
              <w:spacing w:after="0" w:line="252" w:lineRule="auto"/>
            </w:pPr>
            <w:r>
              <w:rPr>
                <w:sz w:val="17"/>
              </w:rPr>
            </w:r>
            <w:r>
              <w:rPr>
                <w:b w:val="0"/>
                <w:sz w:val="17"/>
              </w:rPr>
              <w:t>Transcriptoma completo, sin restricción NanoString.</w:t>
            </w:r>
          </w:p>
        </w:tc>
      </w:tr>
      <w:tr>
        <w:tc>
          <w:tcPr>
            <w:tcW w:type="dxa" w:w="2041"/>
            <w:vAlign w:val="center"/>
          </w:tcPr>
          <w:p>
            <w:pPr>
              <w:spacing w:after="0" w:line="252" w:lineRule="auto"/>
            </w:pPr>
            <w:r>
              <w:rPr>
                <w:sz w:val="17"/>
              </w:rPr>
            </w:r>
            <w:r>
              <w:rPr>
                <w:b w:val="0"/>
                <w:sz w:val="17"/>
              </w:rPr>
              <w:t>Genes FDR &lt; 0,05</w:t>
            </w:r>
          </w:p>
        </w:tc>
        <w:tc>
          <w:tcPr>
            <w:tcW w:type="dxa" w:w="1814"/>
            <w:vAlign w:val="center"/>
          </w:tcPr>
          <w:p>
            <w:pPr>
              <w:spacing w:after="0" w:line="252" w:lineRule="auto"/>
            </w:pPr>
            <w:r>
              <w:rPr>
                <w:sz w:val="17"/>
              </w:rPr>
            </w:r>
            <w:r>
              <w:rPr>
                <w:b w:val="0"/>
                <w:sz w:val="17"/>
              </w:rPr>
              <w:t>0</w:t>
            </w:r>
          </w:p>
        </w:tc>
        <w:tc>
          <w:tcPr>
            <w:tcW w:type="dxa" w:w="4535"/>
            <w:vAlign w:val="center"/>
          </w:tcPr>
          <w:p>
            <w:pPr>
              <w:spacing w:after="0" w:line="252" w:lineRule="auto"/>
            </w:pPr>
            <w:r>
              <w:rPr>
                <w:sz w:val="17"/>
              </w:rPr>
            </w:r>
            <w:r>
              <w:rPr>
                <w:b w:val="0"/>
                <w:sz w:val="17"/>
              </w:rPr>
              <w:t>Esperable por N reducido y corrección múltiple.</w:t>
            </w:r>
          </w:p>
        </w:tc>
      </w:tr>
      <w:tr>
        <w:tc>
          <w:tcPr>
            <w:tcW w:type="dxa" w:w="2041"/>
            <w:vAlign w:val="center"/>
          </w:tcPr>
          <w:p>
            <w:pPr>
              <w:spacing w:after="0" w:line="252" w:lineRule="auto"/>
            </w:pPr>
            <w:r>
              <w:rPr>
                <w:sz w:val="17"/>
              </w:rPr>
            </w:r>
            <w:r>
              <w:rPr>
                <w:b w:val="0"/>
                <w:sz w:val="17"/>
              </w:rPr>
              <w:t>Genes nominales</w:t>
            </w:r>
          </w:p>
        </w:tc>
        <w:tc>
          <w:tcPr>
            <w:tcW w:type="dxa" w:w="1814"/>
            <w:vAlign w:val="center"/>
          </w:tcPr>
          <w:p>
            <w:pPr>
              <w:spacing w:after="0" w:line="252" w:lineRule="auto"/>
            </w:pPr>
            <w:r>
              <w:rPr>
                <w:sz w:val="17"/>
              </w:rPr>
            </w:r>
            <w:r>
              <w:rPr>
                <w:b w:val="0"/>
                <w:sz w:val="17"/>
              </w:rPr>
              <w:t>505</w:t>
            </w:r>
          </w:p>
        </w:tc>
        <w:tc>
          <w:tcPr>
            <w:tcW w:type="dxa" w:w="4535"/>
            <w:vAlign w:val="center"/>
          </w:tcPr>
          <w:p>
            <w:pPr>
              <w:spacing w:after="0" w:line="252" w:lineRule="auto"/>
            </w:pPr>
            <w:r>
              <w:rPr>
                <w:sz w:val="17"/>
              </w:rPr>
            </w:r>
            <w:r>
              <w:rPr>
                <w:b w:val="0"/>
                <w:sz w:val="17"/>
              </w:rPr>
              <w:t>P &lt; 0,05 y |logFC| &gt;= 0,5; candidatos exploratorios.</w:t>
            </w:r>
          </w:p>
        </w:tc>
      </w:tr>
      <w:tr>
        <w:tc>
          <w:tcPr>
            <w:tcW w:type="dxa" w:w="2041"/>
            <w:vAlign w:val="center"/>
          </w:tcPr>
          <w:p>
            <w:pPr>
              <w:spacing w:after="0" w:line="252" w:lineRule="auto"/>
            </w:pPr>
            <w:r>
              <w:rPr>
                <w:sz w:val="17"/>
              </w:rPr>
            </w:r>
            <w:r>
              <w:rPr>
                <w:b w:val="0"/>
                <w:sz w:val="17"/>
              </w:rPr>
              <w:t>LOOCV</w:t>
            </w:r>
          </w:p>
        </w:tc>
        <w:tc>
          <w:tcPr>
            <w:tcW w:type="dxa" w:w="1814"/>
            <w:vAlign w:val="center"/>
          </w:tcPr>
          <w:p>
            <w:pPr>
              <w:spacing w:after="0" w:line="252" w:lineRule="auto"/>
            </w:pPr>
            <w:r>
              <w:rPr>
                <w:sz w:val="17"/>
              </w:rPr>
            </w:r>
            <w:r>
              <w:rPr>
                <w:b w:val="0"/>
                <w:sz w:val="17"/>
              </w:rPr>
              <w:t>AUC ~0,667</w:t>
            </w:r>
          </w:p>
        </w:tc>
        <w:tc>
          <w:tcPr>
            <w:tcW w:type="dxa" w:w="4535"/>
            <w:vAlign w:val="center"/>
          </w:tcPr>
          <w:p>
            <w:pPr>
              <w:spacing w:after="0" w:line="252" w:lineRule="auto"/>
            </w:pPr>
            <w:r>
              <w:rPr>
                <w:sz w:val="17"/>
              </w:rPr>
            </w:r>
            <w:r>
              <w:rPr>
                <w:b w:val="0"/>
                <w:sz w:val="17"/>
              </w:rPr>
              <w:t>Modelo exploratorio con top 5 genes; no concluyente.</w:t>
            </w:r>
          </w:p>
        </w:tc>
      </w:tr>
    </w:tbl>
    <w:p>
      <w:pPr>
        <w:pStyle w:val="Heading2"/>
      </w:pPr>
      <w:r>
        <w:rPr>
          <w:b/>
          <w:color w:val="173A5E"/>
        </w:rPr>
        <w:t>4.3. Validación tumoral</w:t>
      </w:r>
    </w:p>
    <w:p>
      <w:pPr>
        <w:spacing w:after="120" w:line="259" w:lineRule="auto"/>
      </w:pPr>
      <w:r>
        <w:rPr>
          <w:sz w:val="20"/>
        </w:rPr>
        <w:t>La validación tumoral se organizó separando la validación anti-PD-1 de la exploración anti-CTLA-4. En GSE215868, cuatro genes del top 50 de GSE78220 estaban presentes en el panel NanoString y el 75 % mantuvo la misma dirección de efecto. En GSE211645, el solapamiento fue menor y se interpreta como exploración de generalización a otro checkpoint.</w:t>
      </w:r>
    </w:p>
    <w:p>
      <w:pPr>
        <w:spacing w:before="120" w:after="60"/>
      </w:pPr>
      <w:r>
        <w:rPr>
          <w:b/>
          <w:i/>
          <w:color w:val="5A5A5A"/>
          <w:sz w:val="17"/>
        </w:rPr>
        <w:t>Tabla 6. Validación tumoral de la firma de discovery</w:t>
      </w:r>
    </w:p>
    <w:tbl>
      <w:tblPr>
        <w:tblStyle w:val="TableGrid"/>
        <w:tblW w:type="auto" w:w="0"/>
        <w:jc w:val="center"/>
        <w:tblLayout w:type="autofit"/>
        <w:tblLook w:firstColumn="1" w:firstRow="1" w:lastColumn="0" w:lastRow="0" w:noHBand="0" w:noVBand="1" w:val="04A0"/>
      </w:tblPr>
      <w:tblGrid>
        <w:gridCol w:w="2085"/>
        <w:gridCol w:w="2085"/>
        <w:gridCol w:w="2085"/>
        <w:gridCol w:w="2085"/>
        <w:gridCol w:w="2085"/>
      </w:tblGrid>
      <w:tr>
        <w:tc>
          <w:tcPr>
            <w:tcW w:type="dxa" w:w="1304"/>
            <w:vAlign w:val="center"/>
            <w:shd w:fill="173A5E"/>
            <w:shd w:fill="173A5E"/>
          </w:tcPr>
          <w:p>
            <w:pPr>
              <w:spacing w:after="0" w:line="252" w:lineRule="auto"/>
            </w:pPr>
            <w:r>
              <w:rPr>
                <w:b/>
                <w:color w:val="FFFFFF"/>
                <w:sz w:val="17"/>
              </w:rPr>
            </w:r>
            <w:r>
              <w:rPr>
                <w:b/>
                <w:color w:val="FFFFFF"/>
                <w:sz w:val="17"/>
              </w:rPr>
              <w:t>Cohorte</w:t>
            </w:r>
          </w:p>
        </w:tc>
        <w:tc>
          <w:tcPr>
            <w:tcW w:type="dxa" w:w="1701"/>
            <w:vAlign w:val="center"/>
            <w:shd w:fill="173A5E"/>
            <w:shd w:fill="173A5E"/>
          </w:tcPr>
          <w:p>
            <w:pPr>
              <w:spacing w:after="0" w:line="252" w:lineRule="auto"/>
            </w:pPr>
            <w:r>
              <w:rPr>
                <w:b/>
                <w:color w:val="FFFFFF"/>
                <w:sz w:val="17"/>
              </w:rPr>
            </w:r>
            <w:r>
              <w:rPr>
                <w:b/>
                <w:color w:val="FFFFFF"/>
                <w:sz w:val="17"/>
              </w:rPr>
              <w:t>Solapamiento top 50</w:t>
            </w:r>
          </w:p>
        </w:tc>
        <w:tc>
          <w:tcPr>
            <w:tcW w:type="dxa" w:w="1587"/>
            <w:vAlign w:val="center"/>
            <w:shd w:fill="173A5E"/>
            <w:shd w:fill="173A5E"/>
          </w:tcPr>
          <w:p>
            <w:pPr>
              <w:spacing w:after="0" w:line="252" w:lineRule="auto"/>
            </w:pPr>
            <w:r>
              <w:rPr>
                <w:b/>
                <w:color w:val="FFFFFF"/>
                <w:sz w:val="17"/>
              </w:rPr>
            </w:r>
            <w:r>
              <w:rPr>
                <w:b/>
                <w:color w:val="FFFFFF"/>
                <w:sz w:val="17"/>
              </w:rPr>
              <w:t>Dirección concordante</w:t>
            </w:r>
          </w:p>
        </w:tc>
        <w:tc>
          <w:tcPr>
            <w:tcW w:type="dxa" w:w="1247"/>
            <w:vAlign w:val="center"/>
            <w:shd w:fill="173A5E"/>
            <w:shd w:fill="173A5E"/>
          </w:tcPr>
          <w:p>
            <w:pPr>
              <w:spacing w:after="0" w:line="252" w:lineRule="auto"/>
            </w:pPr>
            <w:r>
              <w:rPr>
                <w:b/>
                <w:color w:val="FFFFFF"/>
                <w:sz w:val="17"/>
              </w:rPr>
            </w:r>
            <w:r>
              <w:rPr>
                <w:b/>
                <w:color w:val="FFFFFF"/>
                <w:sz w:val="17"/>
              </w:rPr>
              <w:t>AUC firma</w:t>
            </w:r>
          </w:p>
        </w:tc>
        <w:tc>
          <w:tcPr>
            <w:tcW w:type="dxa" w:w="3118"/>
            <w:vAlign w:val="center"/>
            <w:shd w:fill="173A5E"/>
            <w:shd w:fill="173A5E"/>
          </w:tcPr>
          <w:p>
            <w:pPr>
              <w:spacing w:after="0" w:line="252" w:lineRule="auto"/>
            </w:pPr>
            <w:r>
              <w:rPr>
                <w:b/>
                <w:color w:val="FFFFFF"/>
                <w:sz w:val="17"/>
              </w:rPr>
            </w:r>
            <w:r>
              <w:rPr>
                <w:b/>
                <w:color w:val="FFFFFF"/>
                <w:sz w:val="17"/>
              </w:rPr>
              <w:t>Lectura metodológica</w:t>
            </w:r>
          </w:p>
        </w:tc>
      </w:tr>
      <w:tr>
        <w:tc>
          <w:tcPr>
            <w:tcW w:type="dxa" w:w="1304"/>
            <w:vAlign w:val="center"/>
          </w:tcPr>
          <w:p>
            <w:pPr>
              <w:spacing w:after="0" w:line="252" w:lineRule="auto"/>
            </w:pPr>
            <w:r>
              <w:rPr>
                <w:sz w:val="17"/>
              </w:rPr>
            </w:r>
            <w:r>
              <w:rPr>
                <w:b w:val="0"/>
                <w:sz w:val="17"/>
              </w:rPr>
              <w:t>GSE215868</w:t>
            </w:r>
          </w:p>
        </w:tc>
        <w:tc>
          <w:tcPr>
            <w:tcW w:type="dxa" w:w="1701"/>
            <w:vAlign w:val="center"/>
          </w:tcPr>
          <w:p>
            <w:pPr>
              <w:spacing w:after="0" w:line="252" w:lineRule="auto"/>
            </w:pPr>
            <w:r>
              <w:rPr>
                <w:sz w:val="17"/>
              </w:rPr>
            </w:r>
            <w:r>
              <w:rPr>
                <w:b w:val="0"/>
                <w:sz w:val="17"/>
              </w:rPr>
              <w:t>4 genes</w:t>
            </w:r>
          </w:p>
        </w:tc>
        <w:tc>
          <w:tcPr>
            <w:tcW w:type="dxa" w:w="1587"/>
            <w:vAlign w:val="center"/>
          </w:tcPr>
          <w:p>
            <w:pPr>
              <w:spacing w:after="0" w:line="252" w:lineRule="auto"/>
            </w:pPr>
            <w:r>
              <w:rPr>
                <w:sz w:val="17"/>
              </w:rPr>
            </w:r>
            <w:r>
              <w:rPr>
                <w:b w:val="0"/>
                <w:sz w:val="17"/>
              </w:rPr>
              <w:t>75 %</w:t>
            </w:r>
          </w:p>
        </w:tc>
        <w:tc>
          <w:tcPr>
            <w:tcW w:type="dxa" w:w="1247"/>
            <w:vAlign w:val="center"/>
          </w:tcPr>
          <w:p>
            <w:pPr>
              <w:spacing w:after="0" w:line="252" w:lineRule="auto"/>
            </w:pPr>
            <w:r>
              <w:rPr>
                <w:sz w:val="17"/>
              </w:rPr>
            </w:r>
            <w:r>
              <w:rPr>
                <w:b w:val="0"/>
                <w:sz w:val="17"/>
              </w:rPr>
              <w:t>0,519</w:t>
            </w:r>
          </w:p>
        </w:tc>
        <w:tc>
          <w:tcPr>
            <w:tcW w:type="dxa" w:w="3118"/>
            <w:vAlign w:val="center"/>
          </w:tcPr>
          <w:p>
            <w:pPr>
              <w:spacing w:after="0" w:line="252" w:lineRule="auto"/>
            </w:pPr>
            <w:r>
              <w:rPr>
                <w:sz w:val="17"/>
              </w:rPr>
            </w:r>
            <w:r>
              <w:rPr>
                <w:b w:val="0"/>
                <w:sz w:val="17"/>
              </w:rPr>
              <w:t>Validación directa limitada por panel; resultado modesto pero coherente.</w:t>
            </w:r>
          </w:p>
        </w:tc>
      </w:tr>
      <w:tr>
        <w:tc>
          <w:tcPr>
            <w:tcW w:type="dxa" w:w="1304"/>
            <w:vAlign w:val="center"/>
          </w:tcPr>
          <w:p>
            <w:pPr>
              <w:spacing w:after="0" w:line="252" w:lineRule="auto"/>
            </w:pPr>
            <w:r>
              <w:rPr>
                <w:sz w:val="17"/>
              </w:rPr>
            </w:r>
            <w:r>
              <w:rPr>
                <w:b w:val="0"/>
                <w:sz w:val="17"/>
              </w:rPr>
              <w:t>GSE211645</w:t>
            </w:r>
          </w:p>
        </w:tc>
        <w:tc>
          <w:tcPr>
            <w:tcW w:type="dxa" w:w="1701"/>
            <w:vAlign w:val="center"/>
          </w:tcPr>
          <w:p>
            <w:pPr>
              <w:spacing w:after="0" w:line="252" w:lineRule="auto"/>
            </w:pPr>
            <w:r>
              <w:rPr>
                <w:sz w:val="17"/>
              </w:rPr>
            </w:r>
            <w:r>
              <w:rPr>
                <w:b w:val="0"/>
                <w:sz w:val="17"/>
              </w:rPr>
              <w:t>1 gen</w:t>
            </w:r>
          </w:p>
        </w:tc>
        <w:tc>
          <w:tcPr>
            <w:tcW w:type="dxa" w:w="1587"/>
            <w:vAlign w:val="center"/>
          </w:tcPr>
          <w:p>
            <w:pPr>
              <w:spacing w:after="0" w:line="252" w:lineRule="auto"/>
            </w:pPr>
            <w:r>
              <w:rPr>
                <w:sz w:val="17"/>
              </w:rPr>
            </w:r>
            <w:r>
              <w:rPr>
                <w:b w:val="0"/>
                <w:sz w:val="17"/>
              </w:rPr>
              <w:t>0 %</w:t>
            </w:r>
          </w:p>
        </w:tc>
        <w:tc>
          <w:tcPr>
            <w:tcW w:type="dxa" w:w="1247"/>
            <w:vAlign w:val="center"/>
          </w:tcPr>
          <w:p>
            <w:pPr>
              <w:spacing w:after="0" w:line="252" w:lineRule="auto"/>
            </w:pPr>
            <w:r>
              <w:rPr>
                <w:sz w:val="17"/>
              </w:rPr>
            </w:r>
            <w:r>
              <w:rPr>
                <w:b w:val="0"/>
                <w:sz w:val="17"/>
              </w:rPr>
              <w:t>0,301</w:t>
            </w:r>
          </w:p>
        </w:tc>
        <w:tc>
          <w:tcPr>
            <w:tcW w:type="dxa" w:w="3118"/>
            <w:vAlign w:val="center"/>
          </w:tcPr>
          <w:p>
            <w:pPr>
              <w:spacing w:after="0" w:line="252" w:lineRule="auto"/>
            </w:pPr>
            <w:r>
              <w:rPr>
                <w:sz w:val="17"/>
              </w:rPr>
            </w:r>
            <w:r>
              <w:rPr>
                <w:b w:val="0"/>
                <w:sz w:val="17"/>
              </w:rPr>
              <w:t>Checkpoint distinto; no debe interpretarse como anti-PD-1 discovery.</w:t>
            </w:r>
          </w:p>
        </w:tc>
      </w:tr>
    </w:tbl>
    <w:p>
      <w:pPr>
        <w:pStyle w:val="Heading2"/>
      </w:pPr>
      <w:r>
        <w:rPr>
          <w:b/>
          <w:color w:val="173A5E"/>
        </w:rPr>
        <w:t>4.4. Sensibilidad en sangre</w:t>
      </w:r>
    </w:p>
    <w:p>
      <w:pPr>
        <w:spacing w:after="120" w:line="259" w:lineRule="auto"/>
      </w:pPr>
      <w:r>
        <w:rPr>
          <w:sz w:val="20"/>
        </w:rPr>
        <w:t>El análisis de sensibilidad en sangre evaluó si la firma tumoral derivada de GSE78220 muestra señal detectable en sangre periférica. Los resultados fueron compatibles con una señal débil o ausente, lo que es coherente con el cambio de contexto biológico.</w:t>
      </w:r>
    </w:p>
    <w:p>
      <w:pPr>
        <w:spacing w:before="120" w:after="60"/>
      </w:pPr>
      <w:r>
        <w:rPr>
          <w:b/>
          <w:i/>
          <w:color w:val="5A5A5A"/>
          <w:sz w:val="17"/>
        </w:rPr>
        <w:t>Tabla 7. Sensibilidad de la firma tumoral en sangre</w:t>
      </w:r>
    </w:p>
    <w:tbl>
      <w:tblPr>
        <w:tblStyle w:val="TableGrid"/>
        <w:tblW w:type="auto" w:w="0"/>
        <w:jc w:val="center"/>
        <w:tblLayout w:type="autofit"/>
        <w:tblLook w:firstColumn="1" w:firstRow="1" w:lastColumn="0" w:lastRow="0" w:noHBand="0" w:noVBand="1" w:val="04A0"/>
      </w:tblPr>
      <w:tblGrid>
        <w:gridCol w:w="2606"/>
        <w:gridCol w:w="2606"/>
        <w:gridCol w:w="2606"/>
        <w:gridCol w:w="2606"/>
      </w:tblGrid>
      <w:tr>
        <w:tc>
          <w:tcPr>
            <w:tcW w:type="dxa" w:w="1417"/>
            <w:vAlign w:val="center"/>
            <w:shd w:fill="173A5E"/>
            <w:shd w:fill="173A5E"/>
          </w:tcPr>
          <w:p>
            <w:pPr>
              <w:spacing w:after="0" w:line="252" w:lineRule="auto"/>
            </w:pPr>
            <w:r>
              <w:rPr>
                <w:b/>
                <w:color w:val="FFFFFF"/>
                <w:sz w:val="17"/>
              </w:rPr>
            </w:r>
            <w:r>
              <w:rPr>
                <w:b/>
                <w:color w:val="FFFFFF"/>
                <w:sz w:val="17"/>
              </w:rPr>
              <w:t>Cohorte</w:t>
            </w:r>
          </w:p>
        </w:tc>
        <w:tc>
          <w:tcPr>
            <w:tcW w:type="dxa" w:w="1134"/>
            <w:vAlign w:val="center"/>
            <w:shd w:fill="173A5E"/>
            <w:shd w:fill="173A5E"/>
          </w:tcPr>
          <w:p>
            <w:pPr>
              <w:spacing w:after="0" w:line="252" w:lineRule="auto"/>
            </w:pPr>
            <w:r>
              <w:rPr>
                <w:b/>
                <w:color w:val="FFFFFF"/>
                <w:sz w:val="17"/>
              </w:rPr>
            </w:r>
            <w:r>
              <w:rPr>
                <w:b/>
                <w:color w:val="FFFFFF"/>
                <w:sz w:val="17"/>
              </w:rPr>
              <w:t>AUC</w:t>
            </w:r>
          </w:p>
        </w:tc>
        <w:tc>
          <w:tcPr>
            <w:tcW w:type="dxa" w:w="2948"/>
            <w:vAlign w:val="center"/>
            <w:shd w:fill="173A5E"/>
            <w:shd w:fill="173A5E"/>
          </w:tcPr>
          <w:p>
            <w:pPr>
              <w:spacing w:after="0" w:line="252" w:lineRule="auto"/>
            </w:pPr>
            <w:r>
              <w:rPr>
                <w:b/>
                <w:color w:val="FFFFFF"/>
                <w:sz w:val="17"/>
              </w:rPr>
            </w:r>
            <w:r>
              <w:rPr>
                <w:b/>
                <w:color w:val="FFFFFF"/>
                <w:sz w:val="17"/>
              </w:rPr>
              <w:t>Factores de distancia respecto a discovery</w:t>
            </w:r>
          </w:p>
        </w:tc>
        <w:tc>
          <w:tcPr>
            <w:tcW w:type="dxa" w:w="3515"/>
            <w:vAlign w:val="center"/>
            <w:shd w:fill="173A5E"/>
            <w:shd w:fill="173A5E"/>
          </w:tcPr>
          <w:p>
            <w:pPr>
              <w:spacing w:after="0" w:line="252" w:lineRule="auto"/>
            </w:pPr>
            <w:r>
              <w:rPr>
                <w:b/>
                <w:color w:val="FFFFFF"/>
                <w:sz w:val="17"/>
              </w:rPr>
            </w:r>
            <w:r>
              <w:rPr>
                <w:b/>
                <w:color w:val="FFFFFF"/>
                <w:sz w:val="17"/>
              </w:rPr>
              <w:t>Interpretación</w:t>
            </w:r>
          </w:p>
        </w:tc>
      </w:tr>
      <w:tr>
        <w:tc>
          <w:tcPr>
            <w:tcW w:type="dxa" w:w="1417"/>
            <w:vAlign w:val="center"/>
          </w:tcPr>
          <w:p>
            <w:pPr>
              <w:spacing w:after="0" w:line="252" w:lineRule="auto"/>
            </w:pPr>
            <w:r>
              <w:rPr>
                <w:sz w:val="17"/>
              </w:rPr>
            </w:r>
            <w:r>
              <w:rPr>
                <w:b w:val="0"/>
                <w:sz w:val="17"/>
              </w:rPr>
              <w:t>GSE91061</w:t>
            </w:r>
          </w:p>
        </w:tc>
        <w:tc>
          <w:tcPr>
            <w:tcW w:type="dxa" w:w="1134"/>
            <w:vAlign w:val="center"/>
          </w:tcPr>
          <w:p>
            <w:pPr>
              <w:spacing w:after="0" w:line="252" w:lineRule="auto"/>
            </w:pPr>
            <w:r>
              <w:rPr>
                <w:sz w:val="17"/>
              </w:rPr>
            </w:r>
            <w:r>
              <w:rPr>
                <w:b w:val="0"/>
                <w:sz w:val="17"/>
              </w:rPr>
              <w:t>0,500</w:t>
            </w:r>
          </w:p>
        </w:tc>
        <w:tc>
          <w:tcPr>
            <w:tcW w:type="dxa" w:w="2948"/>
            <w:vAlign w:val="center"/>
          </w:tcPr>
          <w:p>
            <w:pPr>
              <w:spacing w:after="0" w:line="252" w:lineRule="auto"/>
            </w:pPr>
            <w:r>
              <w:rPr>
                <w:sz w:val="17"/>
              </w:rPr>
            </w:r>
            <w:r>
              <w:rPr>
                <w:b w:val="0"/>
                <w:sz w:val="17"/>
              </w:rPr>
              <w:t>Tejido: tumor a sangre</w:t>
            </w:r>
          </w:p>
        </w:tc>
        <w:tc>
          <w:tcPr>
            <w:tcW w:type="dxa" w:w="3515"/>
            <w:vAlign w:val="center"/>
          </w:tcPr>
          <w:p>
            <w:pPr>
              <w:spacing w:after="0" w:line="252" w:lineRule="auto"/>
            </w:pPr>
            <w:r>
              <w:rPr>
                <w:sz w:val="17"/>
              </w:rPr>
            </w:r>
            <w:r>
              <w:rPr>
                <w:b w:val="0"/>
                <w:sz w:val="17"/>
              </w:rPr>
              <w:t>No se observa señal predictiva clara en sangre.</w:t>
            </w:r>
          </w:p>
        </w:tc>
      </w:tr>
      <w:tr>
        <w:tc>
          <w:tcPr>
            <w:tcW w:type="dxa" w:w="1417"/>
            <w:vAlign w:val="center"/>
          </w:tcPr>
          <w:p>
            <w:pPr>
              <w:spacing w:after="0" w:line="252" w:lineRule="auto"/>
            </w:pPr>
            <w:r>
              <w:rPr>
                <w:sz w:val="17"/>
              </w:rPr>
            </w:r>
            <w:r>
              <w:rPr>
                <w:b w:val="0"/>
                <w:sz w:val="17"/>
              </w:rPr>
              <w:t>GSE94873</w:t>
            </w:r>
          </w:p>
        </w:tc>
        <w:tc>
          <w:tcPr>
            <w:tcW w:type="dxa" w:w="1134"/>
            <w:vAlign w:val="center"/>
          </w:tcPr>
          <w:p>
            <w:pPr>
              <w:spacing w:after="0" w:line="252" w:lineRule="auto"/>
            </w:pPr>
            <w:r>
              <w:rPr>
                <w:sz w:val="17"/>
              </w:rPr>
            </w:r>
            <w:r>
              <w:rPr>
                <w:b w:val="0"/>
                <w:sz w:val="17"/>
              </w:rPr>
              <w:t>0,477</w:t>
            </w:r>
          </w:p>
        </w:tc>
        <w:tc>
          <w:tcPr>
            <w:tcW w:type="dxa" w:w="2948"/>
            <w:vAlign w:val="center"/>
          </w:tcPr>
          <w:p>
            <w:pPr>
              <w:spacing w:after="0" w:line="252" w:lineRule="auto"/>
            </w:pPr>
            <w:r>
              <w:rPr>
                <w:sz w:val="17"/>
              </w:rPr>
            </w:r>
            <w:r>
              <w:rPr>
                <w:b w:val="0"/>
                <w:sz w:val="17"/>
              </w:rPr>
              <w:t>Tejido, checkpoint y plataforma</w:t>
            </w:r>
          </w:p>
        </w:tc>
        <w:tc>
          <w:tcPr>
            <w:tcW w:type="dxa" w:w="3515"/>
            <w:vAlign w:val="center"/>
          </w:tcPr>
          <w:p>
            <w:pPr>
              <w:spacing w:after="0" w:line="252" w:lineRule="auto"/>
            </w:pPr>
            <w:r>
              <w:rPr>
                <w:sz w:val="17"/>
              </w:rPr>
            </w:r>
            <w:r>
              <w:rPr>
                <w:b w:val="0"/>
                <w:sz w:val="17"/>
              </w:rPr>
              <w:t>La ausencia de señal es esperable por mayor distancia metodológica.</w:t>
            </w:r>
          </w:p>
        </w:tc>
      </w:tr>
    </w:tbl>
    <w:p>
      <w:pPr>
        <w:spacing w:before="120" w:after="60"/>
      </w:pPr>
      <w:r>
        <w:rPr>
          <w:b/>
          <w:i/>
          <w:color w:val="5A5A5A"/>
          <w:sz w:val="17"/>
        </w:rPr>
        <w:t>Tabla 8. Distancia metodológica respecto al discovery GSE78220</w:t>
      </w:r>
    </w:p>
    <w:tbl>
      <w:tblPr>
        <w:tblStyle w:val="TableGrid"/>
        <w:tblW w:type="auto" w:w="0"/>
        <w:jc w:val="center"/>
        <w:tblLayout w:type="autofit"/>
        <w:tblLook w:firstColumn="1" w:firstRow="1" w:lastColumn="0" w:lastRow="0" w:noHBand="0" w:noVBand="1" w:val="04A0"/>
      </w:tblPr>
      <w:tblGrid>
        <w:gridCol w:w="3475"/>
        <w:gridCol w:w="3475"/>
        <w:gridCol w:w="3475"/>
      </w:tblGrid>
      <w:tr>
        <w:tc>
          <w:tcPr>
            <w:tcW w:type="dxa" w:w="3969"/>
            <w:vAlign w:val="center"/>
            <w:shd w:fill="173A5E"/>
            <w:shd w:fill="173A5E"/>
          </w:tcPr>
          <w:p>
            <w:pPr>
              <w:spacing w:after="0" w:line="252" w:lineRule="auto"/>
            </w:pPr>
            <w:r>
              <w:rPr>
                <w:b/>
                <w:color w:val="FFFFFF"/>
                <w:sz w:val="17"/>
              </w:rPr>
            </w:r>
            <w:r>
              <w:rPr>
                <w:b/>
                <w:color w:val="FFFFFF"/>
                <w:sz w:val="17"/>
              </w:rPr>
              <w:t>Fuente de distancia</w:t>
            </w:r>
          </w:p>
        </w:tc>
        <w:tc>
          <w:tcPr>
            <w:tcW w:type="dxa" w:w="2154"/>
            <w:vAlign w:val="center"/>
            <w:shd w:fill="173A5E"/>
            <w:shd w:fill="173A5E"/>
          </w:tcPr>
          <w:p>
            <w:pPr>
              <w:spacing w:after="0" w:line="252" w:lineRule="auto"/>
            </w:pPr>
            <w:r>
              <w:rPr>
                <w:b/>
                <w:color w:val="FFFFFF"/>
                <w:sz w:val="17"/>
              </w:rPr>
            </w:r>
            <w:r>
              <w:rPr>
                <w:b/>
                <w:color w:val="FFFFFF"/>
                <w:sz w:val="17"/>
              </w:rPr>
              <w:t>GSE91061</w:t>
            </w:r>
          </w:p>
        </w:tc>
        <w:tc>
          <w:tcPr>
            <w:tcW w:type="dxa" w:w="2154"/>
            <w:vAlign w:val="center"/>
            <w:shd w:fill="173A5E"/>
            <w:shd w:fill="173A5E"/>
          </w:tcPr>
          <w:p>
            <w:pPr>
              <w:spacing w:after="0" w:line="252" w:lineRule="auto"/>
            </w:pPr>
            <w:r>
              <w:rPr>
                <w:b/>
                <w:color w:val="FFFFFF"/>
                <w:sz w:val="17"/>
              </w:rPr>
            </w:r>
            <w:r>
              <w:rPr>
                <w:b/>
                <w:color w:val="FFFFFF"/>
                <w:sz w:val="17"/>
              </w:rPr>
              <w:t>GSE94873</w:t>
            </w:r>
          </w:p>
        </w:tc>
      </w:tr>
      <w:tr>
        <w:tc>
          <w:tcPr>
            <w:tcW w:type="dxa" w:w="3969"/>
            <w:vAlign w:val="center"/>
          </w:tcPr>
          <w:p>
            <w:pPr>
              <w:spacing w:after="0" w:line="252" w:lineRule="auto"/>
            </w:pPr>
            <w:r>
              <w:rPr>
                <w:sz w:val="17"/>
              </w:rPr>
            </w:r>
            <w:r>
              <w:rPr>
                <w:b w:val="0"/>
                <w:sz w:val="17"/>
              </w:rPr>
              <w:t>Tejido: tumor a sangre periférica</w:t>
            </w:r>
          </w:p>
        </w:tc>
        <w:tc>
          <w:tcPr>
            <w:tcW w:type="dxa" w:w="2154"/>
            <w:vAlign w:val="center"/>
          </w:tcPr>
          <w:p>
            <w:pPr>
              <w:spacing w:after="0" w:line="252" w:lineRule="auto"/>
            </w:pPr>
            <w:r>
              <w:rPr>
                <w:sz w:val="17"/>
              </w:rPr>
            </w:r>
            <w:r>
              <w:rPr>
                <w:b w:val="0"/>
                <w:sz w:val="17"/>
              </w:rPr>
              <w:t>Sí</w:t>
            </w:r>
          </w:p>
        </w:tc>
        <w:tc>
          <w:tcPr>
            <w:tcW w:type="dxa" w:w="2154"/>
            <w:vAlign w:val="center"/>
          </w:tcPr>
          <w:p>
            <w:pPr>
              <w:spacing w:after="0" w:line="252" w:lineRule="auto"/>
            </w:pPr>
            <w:r>
              <w:rPr>
                <w:sz w:val="17"/>
              </w:rPr>
            </w:r>
            <w:r>
              <w:rPr>
                <w:b w:val="0"/>
                <w:sz w:val="17"/>
              </w:rPr>
              <w:t>Sí</w:t>
            </w:r>
          </w:p>
        </w:tc>
      </w:tr>
      <w:tr>
        <w:tc>
          <w:tcPr>
            <w:tcW w:type="dxa" w:w="3969"/>
            <w:vAlign w:val="center"/>
          </w:tcPr>
          <w:p>
            <w:pPr>
              <w:spacing w:after="0" w:line="252" w:lineRule="auto"/>
            </w:pPr>
            <w:r>
              <w:rPr>
                <w:sz w:val="17"/>
              </w:rPr>
            </w:r>
            <w:r>
              <w:rPr>
                <w:b w:val="0"/>
                <w:sz w:val="17"/>
              </w:rPr>
              <w:t>Checkpoint distinto: anti-PD-1 a anti-CTLA-4</w:t>
            </w:r>
          </w:p>
        </w:tc>
        <w:tc>
          <w:tcPr>
            <w:tcW w:type="dxa" w:w="2154"/>
            <w:vAlign w:val="center"/>
          </w:tcPr>
          <w:p>
            <w:pPr>
              <w:spacing w:after="0" w:line="252" w:lineRule="auto"/>
            </w:pPr>
            <w:r>
              <w:rPr>
                <w:sz w:val="17"/>
              </w:rPr>
            </w:r>
            <w:r>
              <w:rPr>
                <w:b w:val="0"/>
                <w:sz w:val="17"/>
              </w:rPr>
              <w:t>No</w:t>
            </w:r>
          </w:p>
        </w:tc>
        <w:tc>
          <w:tcPr>
            <w:tcW w:type="dxa" w:w="2154"/>
            <w:vAlign w:val="center"/>
          </w:tcPr>
          <w:p>
            <w:pPr>
              <w:spacing w:after="0" w:line="252" w:lineRule="auto"/>
            </w:pPr>
            <w:r>
              <w:rPr>
                <w:sz w:val="17"/>
              </w:rPr>
            </w:r>
            <w:r>
              <w:rPr>
                <w:b w:val="0"/>
                <w:sz w:val="17"/>
              </w:rPr>
              <w:t>Sí</w:t>
            </w:r>
          </w:p>
        </w:tc>
      </w:tr>
      <w:tr>
        <w:tc>
          <w:tcPr>
            <w:tcW w:type="dxa" w:w="3969"/>
            <w:vAlign w:val="center"/>
          </w:tcPr>
          <w:p>
            <w:pPr>
              <w:spacing w:after="0" w:line="252" w:lineRule="auto"/>
            </w:pPr>
            <w:r>
              <w:rPr>
                <w:sz w:val="17"/>
              </w:rPr>
            </w:r>
            <w:r>
              <w:rPr>
                <w:b w:val="0"/>
                <w:sz w:val="17"/>
              </w:rPr>
              <w:t>Plataforma distinta: RNA-seq a NanoString</w:t>
            </w:r>
          </w:p>
        </w:tc>
        <w:tc>
          <w:tcPr>
            <w:tcW w:type="dxa" w:w="2154"/>
            <w:vAlign w:val="center"/>
          </w:tcPr>
          <w:p>
            <w:pPr>
              <w:spacing w:after="0" w:line="252" w:lineRule="auto"/>
            </w:pPr>
            <w:r>
              <w:rPr>
                <w:sz w:val="17"/>
              </w:rPr>
            </w:r>
            <w:r>
              <w:rPr>
                <w:b w:val="0"/>
                <w:sz w:val="17"/>
              </w:rPr>
              <w:t>No</w:t>
            </w:r>
          </w:p>
        </w:tc>
        <w:tc>
          <w:tcPr>
            <w:tcW w:type="dxa" w:w="2154"/>
            <w:vAlign w:val="center"/>
          </w:tcPr>
          <w:p>
            <w:pPr>
              <w:spacing w:after="0" w:line="252" w:lineRule="auto"/>
            </w:pPr>
            <w:r>
              <w:rPr>
                <w:sz w:val="17"/>
              </w:rPr>
            </w:r>
            <w:r>
              <w:rPr>
                <w:b w:val="0"/>
                <w:sz w:val="17"/>
              </w:rPr>
              <w:t>Sí</w:t>
            </w:r>
          </w:p>
        </w:tc>
      </w:tr>
      <w:tr>
        <w:tc>
          <w:tcPr>
            <w:tcW w:type="dxa" w:w="3969"/>
            <w:vAlign w:val="center"/>
          </w:tcPr>
          <w:p>
            <w:pPr>
              <w:spacing w:after="0" w:line="252" w:lineRule="auto"/>
            </w:pPr>
            <w:r>
              <w:rPr>
                <w:sz w:val="17"/>
              </w:rPr>
            </w:r>
            <w:r>
              <w:rPr>
                <w:b w:val="0"/>
                <w:sz w:val="17"/>
              </w:rPr>
              <w:t>Factores acumulados</w:t>
            </w:r>
          </w:p>
        </w:tc>
        <w:tc>
          <w:tcPr>
            <w:tcW w:type="dxa" w:w="2154"/>
            <w:vAlign w:val="center"/>
          </w:tcPr>
          <w:p>
            <w:pPr>
              <w:spacing w:after="0" w:line="252" w:lineRule="auto"/>
            </w:pPr>
            <w:r>
              <w:rPr>
                <w:sz w:val="17"/>
              </w:rPr>
            </w:r>
            <w:r>
              <w:rPr>
                <w:b w:val="0"/>
                <w:sz w:val="17"/>
              </w:rPr>
              <w:t>1</w:t>
            </w:r>
          </w:p>
        </w:tc>
        <w:tc>
          <w:tcPr>
            <w:tcW w:type="dxa" w:w="2154"/>
            <w:vAlign w:val="center"/>
          </w:tcPr>
          <w:p>
            <w:pPr>
              <w:spacing w:after="0" w:line="252" w:lineRule="auto"/>
            </w:pPr>
            <w:r>
              <w:rPr>
                <w:sz w:val="17"/>
              </w:rPr>
            </w:r>
            <w:r>
              <w:rPr>
                <w:b w:val="0"/>
                <w:sz w:val="17"/>
              </w:rPr>
              <w:t>3</w:t>
            </w:r>
          </w:p>
        </w:tc>
      </w:tr>
    </w:tbl>
    <w:p>
      <w:pPr>
        <w:spacing w:after="120" w:line="259" w:lineRule="auto"/>
      </w:pPr>
      <w:r>
        <w:rPr>
          <w:sz w:val="20"/>
        </w:rPr>
        <w:t>La firma tumoral derivada de anti-PD-1 no muestra señal predictiva clara en sangre periférica. Esta ausencia de transferencia no se interpreta como un fallo del análisis, sino como una consecuencia esperable de la especificidad tumoral de la firma y de las diferencias de tejido, plataforma y checkpoint.</w:t>
      </w:r>
    </w:p>
    <w:p>
      <w:r>
        <w:br w:type="page"/>
      </w:r>
    </w:p>
    <w:p>
      <w:pPr>
        <w:pStyle w:val="Heading2"/>
      </w:pPr>
      <w:r>
        <w:rPr>
          <w:b/>
          <w:color w:val="173A5E"/>
        </w:rPr>
        <w:t>4.5. Consistencia integrada en genes comunes</w:t>
      </w:r>
    </w:p>
    <w:p>
      <w:pPr>
        <w:spacing w:after="120" w:line="259" w:lineRule="auto"/>
      </w:pPr>
      <w:r>
        <w:rPr>
          <w:sz w:val="20"/>
        </w:rPr>
        <w:t>El dataset integrado tumoral se conserva como análisis exploratorio de consistencia, limitado a los 200 genes comunes entre las cohortes tumorales. Este bloque no se usa como discovery principal porque la intersección está condicionada por los paneles NanoString.</w:t>
      </w:r>
    </w:p>
    <w:p>
      <w:pPr>
        <w:spacing w:before="120" w:after="60"/>
      </w:pPr>
      <w:r>
        <w:rPr>
          <w:b/>
          <w:i/>
          <w:color w:val="5A5A5A"/>
          <w:sz w:val="17"/>
        </w:rPr>
        <w:t>Tabla 9. Consistencia multi-cohorte en genes comunes</w:t>
      </w:r>
    </w:p>
    <w:tbl>
      <w:tblPr>
        <w:tblStyle w:val="TableGrid"/>
        <w:tblW w:type="auto" w:w="0"/>
        <w:jc w:val="center"/>
        <w:tblLayout w:type="autofit"/>
        <w:tblLook w:firstColumn="1" w:firstRow="1" w:lastColumn="0" w:lastRow="0" w:noHBand="0" w:noVBand="1" w:val="04A0"/>
      </w:tblPr>
      <w:tblGrid>
        <w:gridCol w:w="5213"/>
        <w:gridCol w:w="5213"/>
      </w:tblGrid>
      <w:tr>
        <w:tc>
          <w:tcPr>
            <w:tcW w:type="dxa" w:w="3402"/>
            <w:vAlign w:val="center"/>
            <w:shd w:fill="173A5E"/>
            <w:shd w:fill="173A5E"/>
          </w:tcPr>
          <w:p>
            <w:pPr>
              <w:spacing w:after="0" w:line="252" w:lineRule="auto"/>
            </w:pPr>
            <w:r>
              <w:rPr>
                <w:b/>
                <w:color w:val="FFFFFF"/>
                <w:sz w:val="17"/>
              </w:rPr>
            </w:r>
            <w:r>
              <w:rPr>
                <w:b/>
                <w:color w:val="FFFFFF"/>
                <w:sz w:val="17"/>
              </w:rPr>
              <w:t>Resultado</w:t>
            </w:r>
          </w:p>
        </w:tc>
        <w:tc>
          <w:tcPr>
            <w:tcW w:type="dxa" w:w="5556"/>
            <w:vAlign w:val="center"/>
            <w:shd w:fill="173A5E"/>
            <w:shd w:fill="173A5E"/>
          </w:tcPr>
          <w:p>
            <w:pPr>
              <w:spacing w:after="0" w:line="252" w:lineRule="auto"/>
            </w:pPr>
            <w:r>
              <w:rPr>
                <w:b/>
                <w:color w:val="FFFFFF"/>
                <w:sz w:val="17"/>
              </w:rPr>
            </w:r>
            <w:r>
              <w:rPr>
                <w:b/>
                <w:color w:val="FFFFFF"/>
                <w:sz w:val="17"/>
              </w:rPr>
              <w:t>Valor</w:t>
            </w:r>
          </w:p>
        </w:tc>
      </w:tr>
      <w:tr>
        <w:tc>
          <w:tcPr>
            <w:tcW w:type="dxa" w:w="3402"/>
            <w:vAlign w:val="center"/>
          </w:tcPr>
          <w:p>
            <w:pPr>
              <w:spacing w:after="0" w:line="252" w:lineRule="auto"/>
            </w:pPr>
            <w:r>
              <w:rPr>
                <w:sz w:val="17"/>
              </w:rPr>
            </w:r>
            <w:r>
              <w:rPr>
                <w:b w:val="0"/>
                <w:sz w:val="17"/>
              </w:rPr>
              <w:t>Genes comunes evaluados</w:t>
            </w:r>
          </w:p>
        </w:tc>
        <w:tc>
          <w:tcPr>
            <w:tcW w:type="dxa" w:w="5556"/>
            <w:vAlign w:val="center"/>
          </w:tcPr>
          <w:p>
            <w:pPr>
              <w:spacing w:after="0" w:line="252" w:lineRule="auto"/>
            </w:pPr>
            <w:r>
              <w:rPr>
                <w:sz w:val="17"/>
              </w:rPr>
            </w:r>
            <w:r>
              <w:rPr>
                <w:b w:val="0"/>
                <w:sz w:val="17"/>
              </w:rPr>
              <w:t>200</w:t>
            </w:r>
          </w:p>
        </w:tc>
      </w:tr>
      <w:tr>
        <w:tc>
          <w:tcPr>
            <w:tcW w:type="dxa" w:w="3402"/>
            <w:vAlign w:val="center"/>
          </w:tcPr>
          <w:p>
            <w:pPr>
              <w:spacing w:after="0" w:line="252" w:lineRule="auto"/>
            </w:pPr>
            <w:r>
              <w:rPr>
                <w:sz w:val="17"/>
              </w:rPr>
            </w:r>
            <w:r>
              <w:rPr>
                <w:b w:val="0"/>
                <w:sz w:val="17"/>
              </w:rPr>
              <w:t>Genes up en las tres cohortes</w:t>
            </w:r>
          </w:p>
        </w:tc>
        <w:tc>
          <w:tcPr>
            <w:tcW w:type="dxa" w:w="5556"/>
            <w:vAlign w:val="center"/>
          </w:tcPr>
          <w:p>
            <w:pPr>
              <w:spacing w:after="0" w:line="252" w:lineRule="auto"/>
            </w:pPr>
            <w:r>
              <w:rPr>
                <w:sz w:val="17"/>
              </w:rPr>
            </w:r>
            <w:r>
              <w:rPr>
                <w:b w:val="0"/>
                <w:sz w:val="17"/>
              </w:rPr>
              <w:t>61</w:t>
            </w:r>
          </w:p>
        </w:tc>
      </w:tr>
      <w:tr>
        <w:tc>
          <w:tcPr>
            <w:tcW w:type="dxa" w:w="3402"/>
            <w:vAlign w:val="center"/>
          </w:tcPr>
          <w:p>
            <w:pPr>
              <w:spacing w:after="0" w:line="252" w:lineRule="auto"/>
            </w:pPr>
            <w:r>
              <w:rPr>
                <w:sz w:val="17"/>
              </w:rPr>
            </w:r>
            <w:r>
              <w:rPr>
                <w:b w:val="0"/>
                <w:sz w:val="17"/>
              </w:rPr>
              <w:t>Genes down en las tres cohortes</w:t>
            </w:r>
          </w:p>
        </w:tc>
        <w:tc>
          <w:tcPr>
            <w:tcW w:type="dxa" w:w="5556"/>
            <w:vAlign w:val="center"/>
          </w:tcPr>
          <w:p>
            <w:pPr>
              <w:spacing w:after="0" w:line="252" w:lineRule="auto"/>
            </w:pPr>
            <w:r>
              <w:rPr>
                <w:sz w:val="17"/>
              </w:rPr>
            </w:r>
            <w:r>
              <w:rPr>
                <w:b w:val="0"/>
                <w:sz w:val="17"/>
              </w:rPr>
              <w:t>8</w:t>
            </w:r>
          </w:p>
        </w:tc>
      </w:tr>
      <w:tr>
        <w:tc>
          <w:tcPr>
            <w:tcW w:type="dxa" w:w="3402"/>
            <w:vAlign w:val="center"/>
          </w:tcPr>
          <w:p>
            <w:pPr>
              <w:spacing w:after="0" w:line="252" w:lineRule="auto"/>
            </w:pPr>
            <w:r>
              <w:rPr>
                <w:sz w:val="17"/>
              </w:rPr>
            </w:r>
            <w:r>
              <w:rPr>
                <w:b w:val="0"/>
                <w:sz w:val="17"/>
              </w:rPr>
              <w:t>Genes discordantes</w:t>
            </w:r>
          </w:p>
        </w:tc>
        <w:tc>
          <w:tcPr>
            <w:tcW w:type="dxa" w:w="5556"/>
            <w:vAlign w:val="center"/>
          </w:tcPr>
          <w:p>
            <w:pPr>
              <w:spacing w:after="0" w:line="252" w:lineRule="auto"/>
            </w:pPr>
            <w:r>
              <w:rPr>
                <w:sz w:val="17"/>
              </w:rPr>
            </w:r>
            <w:r>
              <w:rPr>
                <w:b w:val="0"/>
                <w:sz w:val="17"/>
              </w:rPr>
              <w:t>131</w:t>
            </w:r>
          </w:p>
        </w:tc>
      </w:tr>
      <w:tr>
        <w:tc>
          <w:tcPr>
            <w:tcW w:type="dxa" w:w="3402"/>
            <w:vAlign w:val="center"/>
          </w:tcPr>
          <w:p>
            <w:pPr>
              <w:spacing w:after="0" w:line="252" w:lineRule="auto"/>
            </w:pPr>
            <w:r>
              <w:rPr>
                <w:sz w:val="17"/>
              </w:rPr>
            </w:r>
            <w:r>
              <w:rPr>
                <w:b w:val="0"/>
                <w:sz w:val="17"/>
              </w:rPr>
              <w:t>Firma biológica coherente</w:t>
            </w:r>
          </w:p>
        </w:tc>
        <w:tc>
          <w:tcPr>
            <w:tcW w:type="dxa" w:w="5556"/>
            <w:vAlign w:val="center"/>
          </w:tcPr>
          <w:p>
            <w:pPr>
              <w:spacing w:after="0" w:line="252" w:lineRule="auto"/>
            </w:pPr>
            <w:r>
              <w:rPr>
                <w:sz w:val="17"/>
              </w:rPr>
            </w:r>
            <w:r>
              <w:rPr>
                <w:b w:val="0"/>
                <w:sz w:val="17"/>
              </w:rPr>
              <w:t>HLA-A/B/C/E/F, PSMB8, IFNGR1, STAT2, SLAMF7, ICAM1</w:t>
            </w:r>
          </w:p>
        </w:tc>
      </w:tr>
    </w:tbl>
    <w:tbl>
      <w:tblPr>
        <w:tblStyle w:val="TableGrid"/>
        <w:tblW w:type="auto" w:w="0"/>
        <w:tblLook w:firstColumn="1" w:firstRow="1" w:lastColumn="0" w:lastRow="0" w:noHBand="0" w:noVBand="1" w:val="04A0"/>
      </w:tblPr>
      <w:tblGrid>
        <w:gridCol w:w="10426"/>
      </w:tblGrid>
      <w:tr>
        <w:tc>
          <w:tcPr>
            <w:tcW w:type="dxa" w:w="10426"/>
            <w:shd w:fill="EAF5E2"/>
            <w:tcBorders>
              <w:top w:val="single" w:sz="8" w:space="0" w:color="6AA84F"/>
              <w:left w:val="single" w:sz="8" w:space="0" w:color="6AA84F"/>
              <w:bottom w:val="single" w:sz="8" w:space="0" w:color="6AA84F"/>
              <w:right w:val="single" w:sz="8" w:space="0" w:color="6AA84F"/>
            </w:tcBorders>
          </w:tcPr>
          <w:p>
            <w:pPr>
              <w:spacing w:after="0"/>
            </w:pPr>
            <w:r>
              <w:rPr>
                <w:sz w:val="18"/>
              </w:rPr>
              <w:t>Aportación biológica principal</w:t>
              <w:br/>
              <w:t>La señal más coherente se centra en presentación antigénica por MHC-I y señalización IFN-gamma, mecanismos plausiblemente relacionados con respuesta a inmunoterapia. Esta lectura es consistente con el marco biológico del melanoma tratado con inhibidores de checkpoint.</w:t>
            </w:r>
          </w:p>
        </w:tc>
      </w:tr>
    </w:tbl>
    <w:p>
      <w:pPr>
        <w:pStyle w:val="Heading1"/>
      </w:pPr>
      <w:r>
        <w:rPr>
          <w:b/>
          <w:color w:val="173A5E"/>
        </w:rPr>
        <w:t>5. Entregables parciales generados</w:t>
      </w:r>
    </w:p>
    <w:p>
      <w:pPr>
        <w:spacing w:after="120" w:line="259" w:lineRule="auto"/>
      </w:pPr>
      <w:r>
        <w:rPr>
          <w:sz w:val="20"/>
        </w:rPr>
        <w:t>El trabajo desarrollado se ha documentado mediante scripts reproducibles, informes HTML y tablas CSV de resultados. Los entregables se han organizado para facilitar la revisión por parte de la tutora y su posterior incorporación a la memoria.</w:t>
      </w:r>
    </w:p>
    <w:p>
      <w:pPr>
        <w:spacing w:before="120" w:after="60"/>
      </w:pPr>
      <w:r>
        <w:rPr>
          <w:b/>
          <w:i/>
          <w:color w:val="5A5A5A"/>
          <w:sz w:val="17"/>
        </w:rPr>
        <w:t>Tabla 10. Entregables parciales disponibles</w:t>
      </w:r>
    </w:p>
    <w:tbl>
      <w:tblPr>
        <w:tblStyle w:val="TableGrid"/>
        <w:tblW w:type="auto" w:w="0"/>
        <w:jc w:val="center"/>
        <w:tblLayout w:type="autofit"/>
        <w:tblLook w:firstColumn="1" w:firstRow="1" w:lastColumn="0" w:lastRow="0" w:noHBand="0" w:noVBand="1" w:val="04A0"/>
      </w:tblPr>
      <w:tblGrid>
        <w:gridCol w:w="5213"/>
        <w:gridCol w:w="5213"/>
      </w:tblGrid>
      <w:tr>
        <w:tc>
          <w:tcPr>
            <w:tcW w:type="dxa" w:w="2948"/>
            <w:vAlign w:val="center"/>
            <w:shd w:fill="173A5E"/>
            <w:shd w:fill="173A5E"/>
          </w:tcPr>
          <w:p>
            <w:pPr>
              <w:spacing w:after="0" w:line="252" w:lineRule="auto"/>
            </w:pPr>
            <w:r>
              <w:rPr>
                <w:b/>
                <w:color w:val="FFFFFF"/>
                <w:sz w:val="17"/>
              </w:rPr>
            </w:r>
            <w:r>
              <w:rPr>
                <w:b/>
                <w:color w:val="FFFFFF"/>
                <w:sz w:val="17"/>
              </w:rPr>
              <w:t>Entregable</w:t>
            </w:r>
          </w:p>
        </w:tc>
        <w:tc>
          <w:tcPr>
            <w:tcW w:type="dxa" w:w="6009"/>
            <w:vAlign w:val="center"/>
            <w:shd w:fill="173A5E"/>
            <w:shd w:fill="173A5E"/>
          </w:tcPr>
          <w:p>
            <w:pPr>
              <w:spacing w:after="0" w:line="252" w:lineRule="auto"/>
            </w:pPr>
            <w:r>
              <w:rPr>
                <w:b/>
                <w:color w:val="FFFFFF"/>
                <w:sz w:val="17"/>
              </w:rPr>
            </w:r>
            <w:r>
              <w:rPr>
                <w:b/>
                <w:color w:val="FFFFFF"/>
                <w:sz w:val="17"/>
              </w:rPr>
              <w:t>Contenido</w:t>
            </w:r>
          </w:p>
        </w:tc>
      </w:tr>
      <w:tr>
        <w:tc>
          <w:tcPr>
            <w:tcW w:type="dxa" w:w="2948"/>
            <w:vAlign w:val="center"/>
          </w:tcPr>
          <w:p>
            <w:pPr>
              <w:spacing w:after="0" w:line="252" w:lineRule="auto"/>
            </w:pPr>
            <w:r>
              <w:rPr>
                <w:sz w:val="17"/>
              </w:rPr>
            </w:r>
            <w:r>
              <w:rPr>
                <w:b w:val="0"/>
                <w:sz w:val="17"/>
              </w:rPr>
              <w:t>01_GSE78220_discovery.html</w:t>
            </w:r>
          </w:p>
        </w:tc>
        <w:tc>
          <w:tcPr>
            <w:tcW w:type="dxa" w:w="6009"/>
            <w:vAlign w:val="center"/>
          </w:tcPr>
          <w:p>
            <w:pPr>
              <w:spacing w:after="0" w:line="252" w:lineRule="auto"/>
            </w:pPr>
            <w:r>
              <w:rPr>
                <w:sz w:val="17"/>
              </w:rPr>
            </w:r>
            <w:r>
              <w:rPr>
                <w:b w:val="0"/>
                <w:sz w:val="17"/>
              </w:rPr>
              <w:t>Discovery RNA-seq anti-PD-1, DEA y modelo exploratorio LOOCV.</w:t>
            </w:r>
          </w:p>
        </w:tc>
      </w:tr>
      <w:tr>
        <w:tc>
          <w:tcPr>
            <w:tcW w:type="dxa" w:w="2948"/>
            <w:vAlign w:val="center"/>
          </w:tcPr>
          <w:p>
            <w:pPr>
              <w:spacing w:after="0" w:line="252" w:lineRule="auto"/>
            </w:pPr>
            <w:r>
              <w:rPr>
                <w:sz w:val="17"/>
              </w:rPr>
            </w:r>
            <w:r>
              <w:rPr>
                <w:b w:val="0"/>
                <w:sz w:val="17"/>
              </w:rPr>
              <w:t>02_tumor_validation.html</w:t>
            </w:r>
          </w:p>
        </w:tc>
        <w:tc>
          <w:tcPr>
            <w:tcW w:type="dxa" w:w="6009"/>
            <w:vAlign w:val="center"/>
          </w:tcPr>
          <w:p>
            <w:pPr>
              <w:spacing w:after="0" w:line="252" w:lineRule="auto"/>
            </w:pPr>
            <w:r>
              <w:rPr>
                <w:sz w:val="17"/>
              </w:rPr>
            </w:r>
            <w:r>
              <w:rPr>
                <w:b w:val="0"/>
                <w:sz w:val="17"/>
              </w:rPr>
              <w:t>Validación tumoral en GSE215868 y GSE211645.</w:t>
            </w:r>
          </w:p>
        </w:tc>
      </w:tr>
      <w:tr>
        <w:tc>
          <w:tcPr>
            <w:tcW w:type="dxa" w:w="2948"/>
            <w:vAlign w:val="center"/>
          </w:tcPr>
          <w:p>
            <w:pPr>
              <w:spacing w:after="0" w:line="252" w:lineRule="auto"/>
            </w:pPr>
            <w:r>
              <w:rPr>
                <w:sz w:val="17"/>
              </w:rPr>
            </w:r>
            <w:r>
              <w:rPr>
                <w:b w:val="0"/>
                <w:sz w:val="17"/>
              </w:rPr>
              <w:t>03_blood_sensitivity.html</w:t>
            </w:r>
          </w:p>
        </w:tc>
        <w:tc>
          <w:tcPr>
            <w:tcW w:type="dxa" w:w="6009"/>
            <w:vAlign w:val="center"/>
          </w:tcPr>
          <w:p>
            <w:pPr>
              <w:spacing w:after="0" w:line="252" w:lineRule="auto"/>
            </w:pPr>
            <w:r>
              <w:rPr>
                <w:sz w:val="17"/>
              </w:rPr>
            </w:r>
            <w:r>
              <w:rPr>
                <w:b w:val="0"/>
                <w:sz w:val="17"/>
              </w:rPr>
              <w:t>Sensibilidad en sangre con GSE91061 y GSE94873.</w:t>
            </w:r>
          </w:p>
        </w:tc>
      </w:tr>
      <w:tr>
        <w:tc>
          <w:tcPr>
            <w:tcW w:type="dxa" w:w="2948"/>
            <w:vAlign w:val="center"/>
          </w:tcPr>
          <w:p>
            <w:pPr>
              <w:spacing w:after="0" w:line="252" w:lineRule="auto"/>
            </w:pPr>
            <w:r>
              <w:rPr>
                <w:sz w:val="17"/>
              </w:rPr>
            </w:r>
            <w:r>
              <w:rPr>
                <w:b w:val="0"/>
                <w:sz w:val="17"/>
              </w:rPr>
              <w:t>04_consistency_integrated.html</w:t>
            </w:r>
          </w:p>
        </w:tc>
        <w:tc>
          <w:tcPr>
            <w:tcW w:type="dxa" w:w="6009"/>
            <w:vAlign w:val="center"/>
          </w:tcPr>
          <w:p>
            <w:pPr>
              <w:spacing w:after="0" w:line="252" w:lineRule="auto"/>
            </w:pPr>
            <w:r>
              <w:rPr>
                <w:sz w:val="17"/>
              </w:rPr>
            </w:r>
            <w:r>
              <w:rPr>
                <w:b w:val="0"/>
                <w:sz w:val="17"/>
              </w:rPr>
              <w:t>Consistencia de dirección de efecto en 200 genes comunes tumorales.</w:t>
            </w:r>
          </w:p>
        </w:tc>
      </w:tr>
      <w:tr>
        <w:tc>
          <w:tcPr>
            <w:tcW w:type="dxa" w:w="2948"/>
            <w:vAlign w:val="center"/>
          </w:tcPr>
          <w:p>
            <w:pPr>
              <w:spacing w:after="0" w:line="252" w:lineRule="auto"/>
            </w:pPr>
            <w:r>
              <w:rPr>
                <w:sz w:val="17"/>
              </w:rPr>
            </w:r>
            <w:r>
              <w:rPr>
                <w:b w:val="0"/>
                <w:sz w:val="17"/>
              </w:rPr>
              <w:t>05_summary_tables.html</w:t>
            </w:r>
          </w:p>
        </w:tc>
        <w:tc>
          <w:tcPr>
            <w:tcW w:type="dxa" w:w="6009"/>
            <w:vAlign w:val="center"/>
          </w:tcPr>
          <w:p>
            <w:pPr>
              <w:spacing w:after="0" w:line="252" w:lineRule="auto"/>
            </w:pPr>
            <w:r>
              <w:rPr>
                <w:sz w:val="17"/>
              </w:rPr>
            </w:r>
            <w:r>
              <w:rPr>
                <w:b w:val="0"/>
                <w:sz w:val="17"/>
              </w:rPr>
              <w:t>Resumen final de resultados principales, tablas interpretativas y distancias metodológicas.</w:t>
            </w:r>
          </w:p>
        </w:tc>
      </w:tr>
      <w:tr>
        <w:tc>
          <w:tcPr>
            <w:tcW w:type="dxa" w:w="2948"/>
            <w:vAlign w:val="center"/>
          </w:tcPr>
          <w:p>
            <w:pPr>
              <w:spacing w:after="0" w:line="252" w:lineRule="auto"/>
            </w:pPr>
            <w:r>
              <w:rPr>
                <w:sz w:val="17"/>
              </w:rPr>
            </w:r>
            <w:r>
              <w:rPr>
                <w:b w:val="0"/>
                <w:sz w:val="17"/>
              </w:rPr>
              <w:t>resultados/summary/</w:t>
            </w:r>
          </w:p>
        </w:tc>
        <w:tc>
          <w:tcPr>
            <w:tcW w:type="dxa" w:w="6009"/>
            <w:vAlign w:val="center"/>
          </w:tcPr>
          <w:p>
            <w:pPr>
              <w:spacing w:after="0" w:line="252" w:lineRule="auto"/>
            </w:pPr>
            <w:r>
              <w:rPr>
                <w:sz w:val="17"/>
              </w:rPr>
            </w:r>
            <w:r>
              <w:rPr>
                <w:b w:val="0"/>
                <w:sz w:val="17"/>
              </w:rPr>
              <w:t>Tablas CSV para memoria y revisión.</w:t>
            </w:r>
          </w:p>
        </w:tc>
      </w:tr>
      <w:tr>
        <w:tc>
          <w:tcPr>
            <w:tcW w:type="dxa" w:w="2948"/>
            <w:vAlign w:val="center"/>
          </w:tcPr>
          <w:p>
            <w:pPr>
              <w:spacing w:after="0" w:line="252" w:lineRule="auto"/>
            </w:pPr>
            <w:r>
              <w:rPr>
                <w:sz w:val="17"/>
              </w:rPr>
            </w:r>
            <w:r>
              <w:rPr>
                <w:b w:val="0"/>
                <w:sz w:val="17"/>
              </w:rPr>
              <w:t>GitHub</w:t>
            </w:r>
          </w:p>
        </w:tc>
        <w:tc>
          <w:tcPr>
            <w:tcW w:type="dxa" w:w="6009"/>
            <w:vAlign w:val="center"/>
          </w:tcPr>
          <w:p>
            <w:pPr>
              <w:spacing w:after="0" w:line="252" w:lineRule="auto"/>
            </w:pPr>
            <w:r>
              <w:rPr>
                <w:sz w:val="17"/>
              </w:rPr>
            </w:r>
            <w:r>
              <w:rPr>
                <w:b w:val="0"/>
                <w:sz w:val="17"/>
              </w:rPr>
              <w:t>Repositorio actualizado con scripts, HTML y resultados derivados.</w:t>
            </w:r>
          </w:p>
        </w:tc>
      </w:tr>
    </w:tbl>
    <w:p>
      <w:pPr>
        <w:pStyle w:val="Heading1"/>
      </w:pPr>
      <w:r>
        <w:rPr>
          <w:b/>
          <w:color w:val="173A5E"/>
        </w:rPr>
        <w:t>6. Revisión de la temporización y desviaciones</w:t>
      </w:r>
    </w:p>
    <w:p>
      <w:pPr>
        <w:spacing w:after="120" w:line="259" w:lineRule="auto"/>
      </w:pPr>
      <w:r>
        <w:rPr>
          <w:sz w:val="20"/>
        </w:rPr>
        <w:t>La planificación inicial contemplaba avanzar de forma paralela en el bloque pronóstico TCGA y el bloque predictivo GEO. Sin embargo, la revisión metodológica del bloque GEO requirió reestructurar el análisis para separar adecuadamente discovery, validación y sensibilidad.</w:t>
      </w:r>
    </w:p>
    <w:p>
      <w:pPr>
        <w:spacing w:before="120" w:after="60"/>
      </w:pPr>
      <w:r>
        <w:rPr>
          <w:b/>
          <w:i/>
          <w:color w:val="5A5A5A"/>
          <w:sz w:val="17"/>
        </w:rPr>
        <w:t>Tabla 11. Desviaciones y acciones de mitigación</w:t>
      </w:r>
    </w:p>
    <w:tbl>
      <w:tblPr>
        <w:tblStyle w:val="TableGrid"/>
        <w:tblW w:type="auto" w:w="0"/>
        <w:jc w:val="center"/>
        <w:tblLayout w:type="autofit"/>
        <w:tblLook w:firstColumn="1" w:firstRow="1" w:lastColumn="0" w:lastRow="0" w:noHBand="0" w:noVBand="1" w:val="04A0"/>
      </w:tblPr>
      <w:tblGrid>
        <w:gridCol w:w="2606"/>
        <w:gridCol w:w="2606"/>
        <w:gridCol w:w="2606"/>
        <w:gridCol w:w="2606"/>
      </w:tblGrid>
      <w:tr>
        <w:tc>
          <w:tcPr>
            <w:tcW w:type="dxa" w:w="2154"/>
            <w:vAlign w:val="center"/>
            <w:shd w:fill="173A5E"/>
            <w:shd w:fill="173A5E"/>
          </w:tcPr>
          <w:p>
            <w:pPr>
              <w:spacing w:after="0" w:line="252" w:lineRule="auto"/>
            </w:pPr>
            <w:r>
              <w:rPr>
                <w:b/>
                <w:color w:val="FFFFFF"/>
                <w:sz w:val="17"/>
              </w:rPr>
            </w:r>
            <w:r>
              <w:rPr>
                <w:b/>
                <w:color w:val="FFFFFF"/>
                <w:sz w:val="17"/>
              </w:rPr>
              <w:t>Desviación</w:t>
            </w:r>
          </w:p>
        </w:tc>
        <w:tc>
          <w:tcPr>
            <w:tcW w:type="dxa" w:w="2494"/>
            <w:vAlign w:val="center"/>
            <w:shd w:fill="173A5E"/>
            <w:shd w:fill="173A5E"/>
          </w:tcPr>
          <w:p>
            <w:pPr>
              <w:spacing w:after="0" w:line="252" w:lineRule="auto"/>
            </w:pPr>
            <w:r>
              <w:rPr>
                <w:b/>
                <w:color w:val="FFFFFF"/>
                <w:sz w:val="17"/>
              </w:rPr>
            </w:r>
            <w:r>
              <w:rPr>
                <w:b/>
                <w:color w:val="FFFFFF"/>
                <w:sz w:val="17"/>
              </w:rPr>
              <w:t>Causa</w:t>
            </w:r>
          </w:p>
        </w:tc>
        <w:tc>
          <w:tcPr>
            <w:tcW w:type="dxa" w:w="2268"/>
            <w:vAlign w:val="center"/>
            <w:shd w:fill="173A5E"/>
            <w:shd w:fill="173A5E"/>
          </w:tcPr>
          <w:p>
            <w:pPr>
              <w:spacing w:after="0" w:line="252" w:lineRule="auto"/>
            </w:pPr>
            <w:r>
              <w:rPr>
                <w:b/>
                <w:color w:val="FFFFFF"/>
                <w:sz w:val="17"/>
              </w:rPr>
            </w:r>
            <w:r>
              <w:rPr>
                <w:b/>
                <w:color w:val="FFFFFF"/>
                <w:sz w:val="17"/>
              </w:rPr>
              <w:t>Impacto</w:t>
            </w:r>
          </w:p>
        </w:tc>
        <w:tc>
          <w:tcPr>
            <w:tcW w:type="dxa" w:w="2438"/>
            <w:vAlign w:val="center"/>
            <w:shd w:fill="173A5E"/>
            <w:shd w:fill="173A5E"/>
          </w:tcPr>
          <w:p>
            <w:pPr>
              <w:spacing w:after="0" w:line="252" w:lineRule="auto"/>
            </w:pPr>
            <w:r>
              <w:rPr>
                <w:b/>
                <w:color w:val="FFFFFF"/>
                <w:sz w:val="17"/>
              </w:rPr>
            </w:r>
            <w:r>
              <w:rPr>
                <w:b/>
                <w:color w:val="FFFFFF"/>
                <w:sz w:val="17"/>
              </w:rPr>
              <w:t>Mitigación</w:t>
            </w:r>
          </w:p>
        </w:tc>
      </w:tr>
      <w:tr>
        <w:tc>
          <w:tcPr>
            <w:tcW w:type="dxa" w:w="2154"/>
            <w:vAlign w:val="center"/>
          </w:tcPr>
          <w:p>
            <w:pPr>
              <w:spacing w:after="0" w:line="252" w:lineRule="auto"/>
            </w:pPr>
            <w:r>
              <w:rPr>
                <w:sz w:val="17"/>
              </w:rPr>
            </w:r>
            <w:r>
              <w:rPr>
                <w:b w:val="0"/>
                <w:sz w:val="17"/>
              </w:rPr>
              <w:t>Retraso relativo del bloque TCGA</w:t>
            </w:r>
          </w:p>
        </w:tc>
        <w:tc>
          <w:tcPr>
            <w:tcW w:type="dxa" w:w="2494"/>
            <w:vAlign w:val="center"/>
          </w:tcPr>
          <w:p>
            <w:pPr>
              <w:spacing w:after="0" w:line="252" w:lineRule="auto"/>
            </w:pPr>
            <w:r>
              <w:rPr>
                <w:sz w:val="17"/>
              </w:rPr>
            </w:r>
            <w:r>
              <w:rPr>
                <w:b w:val="0"/>
                <w:sz w:val="17"/>
              </w:rPr>
              <w:t>Prioridad dada a resolver la complejidad de GEO.</w:t>
            </w:r>
          </w:p>
        </w:tc>
        <w:tc>
          <w:tcPr>
            <w:tcW w:type="dxa" w:w="2268"/>
            <w:vAlign w:val="center"/>
          </w:tcPr>
          <w:p>
            <w:pPr>
              <w:spacing w:after="0" w:line="252" w:lineRule="auto"/>
            </w:pPr>
            <w:r>
              <w:rPr>
                <w:sz w:val="17"/>
              </w:rPr>
            </w:r>
            <w:r>
              <w:rPr>
                <w:b w:val="0"/>
                <w:sz w:val="17"/>
              </w:rPr>
              <w:t>TCGA queda pendiente de reencaje en memoria.</w:t>
            </w:r>
          </w:p>
        </w:tc>
        <w:tc>
          <w:tcPr>
            <w:tcW w:type="dxa" w:w="2438"/>
            <w:vAlign w:val="center"/>
          </w:tcPr>
          <w:p>
            <w:pPr>
              <w:spacing w:after="0" w:line="252" w:lineRule="auto"/>
            </w:pPr>
            <w:r>
              <w:rPr>
                <w:sz w:val="17"/>
              </w:rPr>
            </w:r>
            <w:r>
              <w:rPr>
                <w:b w:val="0"/>
                <w:sz w:val="17"/>
              </w:rPr>
              <w:t>Tratar TCGA como bloque pronóstico separado y acotado.</w:t>
            </w:r>
          </w:p>
        </w:tc>
      </w:tr>
      <w:tr>
        <w:tc>
          <w:tcPr>
            <w:tcW w:type="dxa" w:w="2154"/>
            <w:vAlign w:val="center"/>
          </w:tcPr>
          <w:p>
            <w:pPr>
              <w:spacing w:after="0" w:line="252" w:lineRule="auto"/>
            </w:pPr>
            <w:r>
              <w:rPr>
                <w:sz w:val="17"/>
              </w:rPr>
            </w:r>
            <w:r>
              <w:rPr>
                <w:b w:val="0"/>
                <w:sz w:val="17"/>
              </w:rPr>
              <w:t>Reanálisis de GSE78220</w:t>
            </w:r>
          </w:p>
        </w:tc>
        <w:tc>
          <w:tcPr>
            <w:tcW w:type="dxa" w:w="2494"/>
            <w:vAlign w:val="center"/>
          </w:tcPr>
          <w:p>
            <w:pPr>
              <w:spacing w:after="0" w:line="252" w:lineRule="auto"/>
            </w:pPr>
            <w:r>
              <w:rPr>
                <w:sz w:val="17"/>
              </w:rPr>
            </w:r>
            <w:r>
              <w:rPr>
                <w:b w:val="0"/>
                <w:sz w:val="17"/>
              </w:rPr>
              <w:t>Necesidad de transformar a log2(expr + 1).</w:t>
            </w:r>
          </w:p>
        </w:tc>
        <w:tc>
          <w:tcPr>
            <w:tcW w:type="dxa" w:w="2268"/>
            <w:vAlign w:val="center"/>
          </w:tcPr>
          <w:p>
            <w:pPr>
              <w:spacing w:after="0" w:line="252" w:lineRule="auto"/>
            </w:pPr>
            <w:r>
              <w:rPr>
                <w:sz w:val="17"/>
              </w:rPr>
            </w:r>
            <w:r>
              <w:rPr>
                <w:b w:val="0"/>
                <w:sz w:val="17"/>
              </w:rPr>
              <w:t>Resultados previos sustituidos por resultados corregidos.</w:t>
            </w:r>
          </w:p>
        </w:tc>
        <w:tc>
          <w:tcPr>
            <w:tcW w:type="dxa" w:w="2438"/>
            <w:vAlign w:val="center"/>
          </w:tcPr>
          <w:p>
            <w:pPr>
              <w:spacing w:after="0" w:line="252" w:lineRule="auto"/>
            </w:pPr>
            <w:r>
              <w:rPr>
                <w:sz w:val="17"/>
              </w:rPr>
            </w:r>
            <w:r>
              <w:rPr>
                <w:b w:val="0"/>
                <w:sz w:val="17"/>
              </w:rPr>
              <w:t>Documentar la corrección como mejora metodológica.</w:t>
            </w:r>
          </w:p>
        </w:tc>
      </w:tr>
      <w:tr>
        <w:tc>
          <w:tcPr>
            <w:tcW w:type="dxa" w:w="2154"/>
            <w:vAlign w:val="center"/>
          </w:tcPr>
          <w:p>
            <w:pPr>
              <w:spacing w:after="0" w:line="252" w:lineRule="auto"/>
            </w:pPr>
            <w:r>
              <w:rPr>
                <w:sz w:val="17"/>
              </w:rPr>
            </w:r>
            <w:r>
              <w:rPr>
                <w:b w:val="0"/>
                <w:sz w:val="17"/>
              </w:rPr>
              <w:t>Cambio del análisis integrado</w:t>
            </w:r>
          </w:p>
        </w:tc>
        <w:tc>
          <w:tcPr>
            <w:tcW w:type="dxa" w:w="2494"/>
            <w:vAlign w:val="center"/>
          </w:tcPr>
          <w:p>
            <w:pPr>
              <w:spacing w:after="0" w:line="252" w:lineRule="auto"/>
            </w:pPr>
            <w:r>
              <w:rPr>
                <w:sz w:val="17"/>
              </w:rPr>
            </w:r>
            <w:r>
              <w:rPr>
                <w:b w:val="0"/>
                <w:sz w:val="17"/>
              </w:rPr>
              <w:t>Limitación por genes comunes y mezcla de plataformas.</w:t>
            </w:r>
          </w:p>
        </w:tc>
        <w:tc>
          <w:tcPr>
            <w:tcW w:type="dxa" w:w="2268"/>
            <w:vAlign w:val="center"/>
          </w:tcPr>
          <w:p>
            <w:pPr>
              <w:spacing w:after="0" w:line="252" w:lineRule="auto"/>
            </w:pPr>
            <w:r>
              <w:rPr>
                <w:sz w:val="17"/>
              </w:rPr>
            </w:r>
            <w:r>
              <w:rPr>
                <w:b w:val="0"/>
                <w:sz w:val="17"/>
              </w:rPr>
              <w:t>El integrado deja de ser análisis principal.</w:t>
            </w:r>
          </w:p>
        </w:tc>
        <w:tc>
          <w:tcPr>
            <w:tcW w:type="dxa" w:w="2438"/>
            <w:vAlign w:val="center"/>
          </w:tcPr>
          <w:p>
            <w:pPr>
              <w:spacing w:after="0" w:line="252" w:lineRule="auto"/>
            </w:pPr>
            <w:r>
              <w:rPr>
                <w:sz w:val="17"/>
              </w:rPr>
            </w:r>
            <w:r>
              <w:rPr>
                <w:b w:val="0"/>
                <w:sz w:val="17"/>
              </w:rPr>
              <w:t>Usarlo como consistencia exploratoria.</w:t>
            </w:r>
          </w:p>
        </w:tc>
      </w:tr>
      <w:tr>
        <w:tc>
          <w:tcPr>
            <w:tcW w:type="dxa" w:w="2154"/>
            <w:vAlign w:val="center"/>
          </w:tcPr>
          <w:p>
            <w:pPr>
              <w:spacing w:after="0" w:line="252" w:lineRule="auto"/>
            </w:pPr>
            <w:r>
              <w:rPr>
                <w:sz w:val="17"/>
              </w:rPr>
            </w:r>
            <w:r>
              <w:rPr>
                <w:b w:val="0"/>
                <w:sz w:val="17"/>
              </w:rPr>
              <w:t>Incorporación de GSE94873</w:t>
            </w:r>
          </w:p>
        </w:tc>
        <w:tc>
          <w:tcPr>
            <w:tcW w:type="dxa" w:w="2494"/>
            <w:vAlign w:val="center"/>
          </w:tcPr>
          <w:p>
            <w:pPr>
              <w:spacing w:after="0" w:line="252" w:lineRule="auto"/>
            </w:pPr>
            <w:r>
              <w:rPr>
                <w:sz w:val="17"/>
              </w:rPr>
            </w:r>
            <w:r>
              <w:rPr>
                <w:b w:val="0"/>
                <w:sz w:val="17"/>
              </w:rPr>
              <w:t>Recomendación de sensibilidad en sangre.</w:t>
            </w:r>
          </w:p>
        </w:tc>
        <w:tc>
          <w:tcPr>
            <w:tcW w:type="dxa" w:w="2268"/>
            <w:vAlign w:val="center"/>
          </w:tcPr>
          <w:p>
            <w:pPr>
              <w:spacing w:after="0" w:line="252" w:lineRule="auto"/>
            </w:pPr>
            <w:r>
              <w:rPr>
                <w:sz w:val="17"/>
              </w:rPr>
            </w:r>
            <w:r>
              <w:rPr>
                <w:b w:val="0"/>
                <w:sz w:val="17"/>
              </w:rPr>
              <w:t>Aumenta la documentación pero cierra una sugerencia de la tutora.</w:t>
            </w:r>
          </w:p>
        </w:tc>
        <w:tc>
          <w:tcPr>
            <w:tcW w:type="dxa" w:w="2438"/>
            <w:vAlign w:val="center"/>
          </w:tcPr>
          <w:p>
            <w:pPr>
              <w:spacing w:after="0" w:line="252" w:lineRule="auto"/>
            </w:pPr>
            <w:r>
              <w:rPr>
                <w:sz w:val="17"/>
              </w:rPr>
            </w:r>
            <w:r>
              <w:rPr>
                <w:b w:val="0"/>
                <w:sz w:val="17"/>
              </w:rPr>
              <w:t>Mantenerlo como sensibilidad, no como discovery.</w:t>
            </w:r>
          </w:p>
        </w:tc>
      </w:tr>
    </w:tbl>
    <w:p>
      <w:pPr>
        <w:spacing w:before="120" w:after="60"/>
      </w:pPr>
      <w:r>
        <w:rPr>
          <w:b/>
          <w:i/>
          <w:color w:val="5A5A5A"/>
          <w:sz w:val="17"/>
        </w:rPr>
        <w:t>Tabla 12. Plan de trabajo actualizado</w:t>
      </w:r>
    </w:p>
    <w:tbl>
      <w:tblPr>
        <w:tblStyle w:val="TableGrid"/>
        <w:tblW w:type="auto" w:w="0"/>
        <w:jc w:val="center"/>
        <w:tblLayout w:type="autofit"/>
        <w:tblLook w:firstColumn="1" w:firstRow="1" w:lastColumn="0" w:lastRow="0" w:noHBand="0" w:noVBand="1" w:val="04A0"/>
      </w:tblPr>
      <w:tblGrid>
        <w:gridCol w:w="3475"/>
        <w:gridCol w:w="3475"/>
        <w:gridCol w:w="3475"/>
      </w:tblGrid>
      <w:tr>
        <w:tc>
          <w:tcPr>
            <w:tcW w:type="dxa" w:w="1701"/>
            <w:vAlign w:val="center"/>
            <w:shd w:fill="173A5E"/>
            <w:shd w:fill="173A5E"/>
          </w:tcPr>
          <w:p>
            <w:pPr>
              <w:spacing w:after="0" w:line="252" w:lineRule="auto"/>
            </w:pPr>
            <w:r>
              <w:rPr>
                <w:b/>
                <w:color w:val="FFFFFF"/>
                <w:sz w:val="17"/>
              </w:rPr>
            </w:r>
            <w:r>
              <w:rPr>
                <w:b/>
                <w:color w:val="FFFFFF"/>
                <w:sz w:val="17"/>
              </w:rPr>
              <w:t>Periodo</w:t>
            </w:r>
          </w:p>
        </w:tc>
        <w:tc>
          <w:tcPr>
            <w:tcW w:type="dxa" w:w="3515"/>
            <w:vAlign w:val="center"/>
            <w:shd w:fill="173A5E"/>
            <w:shd w:fill="173A5E"/>
          </w:tcPr>
          <w:p>
            <w:pPr>
              <w:spacing w:after="0" w:line="252" w:lineRule="auto"/>
            </w:pPr>
            <w:r>
              <w:rPr>
                <w:b/>
                <w:color w:val="FFFFFF"/>
                <w:sz w:val="17"/>
              </w:rPr>
            </w:r>
            <w:r>
              <w:rPr>
                <w:b/>
                <w:color w:val="FFFFFF"/>
                <w:sz w:val="17"/>
              </w:rPr>
              <w:t>Tarea</w:t>
            </w:r>
          </w:p>
        </w:tc>
        <w:tc>
          <w:tcPr>
            <w:tcW w:type="dxa" w:w="3628"/>
            <w:vAlign w:val="center"/>
            <w:shd w:fill="173A5E"/>
            <w:shd w:fill="173A5E"/>
          </w:tcPr>
          <w:p>
            <w:pPr>
              <w:spacing w:after="0" w:line="252" w:lineRule="auto"/>
            </w:pPr>
            <w:r>
              <w:rPr>
                <w:b/>
                <w:color w:val="FFFFFF"/>
                <w:sz w:val="17"/>
              </w:rPr>
            </w:r>
            <w:r>
              <w:rPr>
                <w:b/>
                <w:color w:val="FFFFFF"/>
                <w:sz w:val="17"/>
              </w:rPr>
              <w:t>Resultado esperado</w:t>
            </w:r>
          </w:p>
        </w:tc>
      </w:tr>
      <w:tr>
        <w:tc>
          <w:tcPr>
            <w:tcW w:type="dxa" w:w="1701"/>
            <w:vAlign w:val="center"/>
          </w:tcPr>
          <w:p>
            <w:pPr>
              <w:spacing w:after="0" w:line="252" w:lineRule="auto"/>
            </w:pPr>
            <w:r>
              <w:rPr>
                <w:sz w:val="17"/>
              </w:rPr>
            </w:r>
            <w:r>
              <w:rPr>
                <w:b w:val="0"/>
                <w:sz w:val="17"/>
              </w:rPr>
              <w:t>Semana 1</w:t>
            </w:r>
          </w:p>
        </w:tc>
        <w:tc>
          <w:tcPr>
            <w:tcW w:type="dxa" w:w="3515"/>
            <w:vAlign w:val="center"/>
          </w:tcPr>
          <w:p>
            <w:pPr>
              <w:spacing w:after="0" w:line="252" w:lineRule="auto"/>
            </w:pPr>
            <w:r>
              <w:rPr>
                <w:sz w:val="17"/>
              </w:rPr>
            </w:r>
            <w:r>
              <w:rPr>
                <w:b w:val="0"/>
                <w:sz w:val="17"/>
              </w:rPr>
              <w:t>Cerrar bloque GEO predictivo</w:t>
            </w:r>
          </w:p>
        </w:tc>
        <w:tc>
          <w:tcPr>
            <w:tcW w:type="dxa" w:w="3628"/>
            <w:vAlign w:val="center"/>
          </w:tcPr>
          <w:p>
            <w:pPr>
              <w:spacing w:after="0" w:line="252" w:lineRule="auto"/>
            </w:pPr>
            <w:r>
              <w:rPr>
                <w:sz w:val="17"/>
              </w:rPr>
            </w:r>
            <w:r>
              <w:rPr>
                <w:b w:val="0"/>
                <w:sz w:val="17"/>
              </w:rPr>
              <w:t>Resultados GEO listos para memoria.</w:t>
            </w:r>
          </w:p>
        </w:tc>
      </w:tr>
      <w:tr>
        <w:tc>
          <w:tcPr>
            <w:tcW w:type="dxa" w:w="1701"/>
            <w:vAlign w:val="center"/>
          </w:tcPr>
          <w:p>
            <w:pPr>
              <w:spacing w:after="0" w:line="252" w:lineRule="auto"/>
            </w:pPr>
            <w:r>
              <w:rPr>
                <w:sz w:val="17"/>
              </w:rPr>
            </w:r>
            <w:r>
              <w:rPr>
                <w:b w:val="0"/>
                <w:sz w:val="17"/>
              </w:rPr>
              <w:t>Semana 2</w:t>
            </w:r>
          </w:p>
        </w:tc>
        <w:tc>
          <w:tcPr>
            <w:tcW w:type="dxa" w:w="3515"/>
            <w:vAlign w:val="center"/>
          </w:tcPr>
          <w:p>
            <w:pPr>
              <w:spacing w:after="0" w:line="252" w:lineRule="auto"/>
            </w:pPr>
            <w:r>
              <w:rPr>
                <w:sz w:val="17"/>
              </w:rPr>
            </w:r>
            <w:r>
              <w:rPr>
                <w:b w:val="0"/>
                <w:sz w:val="17"/>
              </w:rPr>
              <w:t>Reencajar TCGA como bloque pronóstico</w:t>
            </w:r>
          </w:p>
        </w:tc>
        <w:tc>
          <w:tcPr>
            <w:tcW w:type="dxa" w:w="3628"/>
            <w:vAlign w:val="center"/>
          </w:tcPr>
          <w:p>
            <w:pPr>
              <w:spacing w:after="0" w:line="252" w:lineRule="auto"/>
            </w:pPr>
            <w:r>
              <w:rPr>
                <w:sz w:val="17"/>
              </w:rPr>
            </w:r>
            <w:r>
              <w:rPr>
                <w:b w:val="0"/>
                <w:sz w:val="17"/>
              </w:rPr>
              <w:t>Sección de pronóstico estructurada.</w:t>
            </w:r>
          </w:p>
        </w:tc>
      </w:tr>
      <w:tr>
        <w:tc>
          <w:tcPr>
            <w:tcW w:type="dxa" w:w="1701"/>
            <w:vAlign w:val="center"/>
          </w:tcPr>
          <w:p>
            <w:pPr>
              <w:spacing w:after="0" w:line="252" w:lineRule="auto"/>
            </w:pPr>
            <w:r>
              <w:rPr>
                <w:sz w:val="17"/>
              </w:rPr>
            </w:r>
            <w:r>
              <w:rPr>
                <w:b w:val="0"/>
                <w:sz w:val="17"/>
              </w:rPr>
              <w:t>Semana 3</w:t>
            </w:r>
          </w:p>
        </w:tc>
        <w:tc>
          <w:tcPr>
            <w:tcW w:type="dxa" w:w="3515"/>
            <w:vAlign w:val="center"/>
          </w:tcPr>
          <w:p>
            <w:pPr>
              <w:spacing w:after="0" w:line="252" w:lineRule="auto"/>
            </w:pPr>
            <w:r>
              <w:rPr>
                <w:sz w:val="17"/>
              </w:rPr>
            </w:r>
            <w:r>
              <w:rPr>
                <w:b w:val="0"/>
                <w:sz w:val="17"/>
              </w:rPr>
              <w:t>Redactar métodos y resultados</w:t>
            </w:r>
          </w:p>
        </w:tc>
        <w:tc>
          <w:tcPr>
            <w:tcW w:type="dxa" w:w="3628"/>
            <w:vAlign w:val="center"/>
          </w:tcPr>
          <w:p>
            <w:pPr>
              <w:spacing w:after="0" w:line="252" w:lineRule="auto"/>
            </w:pPr>
            <w:r>
              <w:rPr>
                <w:sz w:val="17"/>
              </w:rPr>
            </w:r>
            <w:r>
              <w:rPr>
                <w:b w:val="0"/>
                <w:sz w:val="17"/>
              </w:rPr>
              <w:t>Primer borrador de memoria.</w:t>
            </w:r>
          </w:p>
        </w:tc>
      </w:tr>
      <w:tr>
        <w:tc>
          <w:tcPr>
            <w:tcW w:type="dxa" w:w="1701"/>
            <w:vAlign w:val="center"/>
          </w:tcPr>
          <w:p>
            <w:pPr>
              <w:spacing w:after="0" w:line="252" w:lineRule="auto"/>
            </w:pPr>
            <w:r>
              <w:rPr>
                <w:sz w:val="17"/>
              </w:rPr>
            </w:r>
            <w:r>
              <w:rPr>
                <w:b w:val="0"/>
                <w:sz w:val="17"/>
              </w:rPr>
              <w:t>Semana 4</w:t>
            </w:r>
          </w:p>
        </w:tc>
        <w:tc>
          <w:tcPr>
            <w:tcW w:type="dxa" w:w="3515"/>
            <w:vAlign w:val="center"/>
          </w:tcPr>
          <w:p>
            <w:pPr>
              <w:spacing w:after="0" w:line="252" w:lineRule="auto"/>
            </w:pPr>
            <w:r>
              <w:rPr>
                <w:sz w:val="17"/>
              </w:rPr>
            </w:r>
            <w:r>
              <w:rPr>
                <w:b w:val="0"/>
                <w:sz w:val="17"/>
              </w:rPr>
              <w:t>Discusión, limitaciones y conclusiones</w:t>
            </w:r>
          </w:p>
        </w:tc>
        <w:tc>
          <w:tcPr>
            <w:tcW w:type="dxa" w:w="3628"/>
            <w:vAlign w:val="center"/>
          </w:tcPr>
          <w:p>
            <w:pPr>
              <w:spacing w:after="0" w:line="252" w:lineRule="auto"/>
            </w:pPr>
            <w:r>
              <w:rPr>
                <w:sz w:val="17"/>
              </w:rPr>
            </w:r>
            <w:r>
              <w:rPr>
                <w:b w:val="0"/>
                <w:sz w:val="17"/>
              </w:rPr>
              <w:t>Borrador completo revisable.</w:t>
            </w:r>
          </w:p>
        </w:tc>
      </w:tr>
      <w:tr>
        <w:tc>
          <w:tcPr>
            <w:tcW w:type="dxa" w:w="1701"/>
            <w:vAlign w:val="center"/>
          </w:tcPr>
          <w:p>
            <w:pPr>
              <w:spacing w:after="0" w:line="252" w:lineRule="auto"/>
            </w:pPr>
            <w:r>
              <w:rPr>
                <w:sz w:val="17"/>
              </w:rPr>
            </w:r>
            <w:r>
              <w:rPr>
                <w:b w:val="0"/>
                <w:sz w:val="17"/>
              </w:rPr>
              <w:t>Semana 5</w:t>
            </w:r>
          </w:p>
        </w:tc>
        <w:tc>
          <w:tcPr>
            <w:tcW w:type="dxa" w:w="3515"/>
            <w:vAlign w:val="center"/>
          </w:tcPr>
          <w:p>
            <w:pPr>
              <w:spacing w:after="0" w:line="252" w:lineRule="auto"/>
            </w:pPr>
            <w:r>
              <w:rPr>
                <w:sz w:val="17"/>
              </w:rPr>
            </w:r>
            <w:r>
              <w:rPr>
                <w:b w:val="0"/>
                <w:sz w:val="17"/>
              </w:rPr>
              <w:t>Revisión formal y bibliografía</w:t>
            </w:r>
          </w:p>
        </w:tc>
        <w:tc>
          <w:tcPr>
            <w:tcW w:type="dxa" w:w="3628"/>
            <w:vAlign w:val="center"/>
          </w:tcPr>
          <w:p>
            <w:pPr>
              <w:spacing w:after="0" w:line="252" w:lineRule="auto"/>
            </w:pPr>
            <w:r>
              <w:rPr>
                <w:sz w:val="17"/>
              </w:rPr>
            </w:r>
            <w:r>
              <w:rPr>
                <w:b w:val="0"/>
                <w:sz w:val="17"/>
              </w:rPr>
              <w:t>Versión final para entrega.</w:t>
            </w:r>
          </w:p>
        </w:tc>
      </w:tr>
    </w:tbl>
    <w:p>
      <w:pPr>
        <w:pStyle w:val="Heading1"/>
      </w:pPr>
      <w:r>
        <w:rPr>
          <w:b/>
          <w:color w:val="173A5E"/>
        </w:rPr>
        <w:t>7. Riesgos, limitaciones y criterios de calidad</w:t>
      </w:r>
    </w:p>
    <w:p>
      <w:pPr>
        <w:pStyle w:val="ListBullet"/>
        <w:spacing w:after="40"/>
      </w:pPr>
      <w:r>
        <w:rPr>
          <w:sz w:val="20"/>
        </w:rPr>
        <w:t>Tamaño muestral reducido en GSE78220, lo que limita la potencia estadística tras corrección FDR.</w:t>
      </w:r>
    </w:p>
    <w:p>
      <w:pPr>
        <w:pStyle w:val="ListBullet"/>
        <w:spacing w:after="40"/>
      </w:pPr>
      <w:r>
        <w:rPr>
          <w:sz w:val="20"/>
        </w:rPr>
        <w:t>Diferencias entre plataformas RNA-seq y NanoString, especialmente en el solapamiento de genes.</w:t>
      </w:r>
    </w:p>
    <w:p>
      <w:pPr>
        <w:pStyle w:val="ListBullet"/>
        <w:spacing w:after="40"/>
      </w:pPr>
      <w:r>
        <w:rPr>
          <w:sz w:val="20"/>
        </w:rPr>
        <w:t>Diferencias entre tejido tumoral y sangre, que afectan a la transferibilidad de firmas.</w:t>
      </w:r>
    </w:p>
    <w:p>
      <w:pPr>
        <w:pStyle w:val="ListBullet"/>
        <w:spacing w:after="40"/>
      </w:pPr>
      <w:r>
        <w:rPr>
          <w:sz w:val="20"/>
        </w:rPr>
        <w:t>Diferencias entre anti-PD-1 y anti-CTLA-4, que obligan a interpretar separadamente los mecanismos de respuesta.</w:t>
      </w:r>
    </w:p>
    <w:p>
      <w:pPr>
        <w:pStyle w:val="ListBullet"/>
        <w:spacing w:after="40"/>
      </w:pPr>
      <w:r>
        <w:rPr>
          <w:sz w:val="20"/>
        </w:rPr>
        <w:t>Desequilibrio de clases en GSE94873; el AUC se usa como métrica más robusta que accuracy o F1 en este contexto.</w:t>
      </w:r>
    </w:p>
    <w:p>
      <w:pPr>
        <w:pStyle w:val="ListBullet"/>
        <w:spacing w:after="40"/>
      </w:pPr>
      <w:r>
        <w:rPr>
          <w:sz w:val="20"/>
        </w:rPr>
        <w:t>Necesidad de evitar sobreinterpretar modelos predictivos exploratorios con N pequeño.</w:t>
      </w:r>
    </w:p>
    <w:p>
      <w:pPr>
        <w:pStyle w:val="Heading1"/>
      </w:pPr>
      <w:r>
        <w:rPr>
          <w:b/>
          <w:color w:val="173A5E"/>
        </w:rPr>
        <w:t>8. Reproducibilidad, ética e integridad académica</w:t>
      </w:r>
    </w:p>
    <w:p>
      <w:pPr>
        <w:spacing w:after="120" w:line="259" w:lineRule="auto"/>
      </w:pPr>
      <w:r>
        <w:rPr>
          <w:sz w:val="20"/>
        </w:rPr>
        <w:t>El proyecto utiliza datos públicos procedentes de repositorios reconocidos, principalmente GEO y TCGA. Los datos están anonimizados y no permiten identificar directamente a pacientes individuales. La reproducibilidad se garantiza mediante R Markdown, objetos SummarizedExperiment regenerables, tablas CSV, informes HTML y control de versiones con Git/GitHub.</w:t>
      </w:r>
    </w:p>
    <w:p>
      <w:pPr>
        <w:spacing w:after="120" w:line="259" w:lineRule="auto"/>
      </w:pPr>
      <w:r>
        <w:rPr>
          <w:sz w:val="20"/>
        </w:rPr>
        <w:t>En la memoria final se citarán adecuadamente las cohortes originales, los artículos asociados y los paquetes utilizados, incluyendo GEOquery, SummarizedExperiment, limma, las conclusiones se formularán de acuerdo con las limitaciones del diseño, evitando presentar resultados exploratorios como biomarcadores definitivos.</w:t>
      </w:r>
    </w:p>
    <w:p>
      <w:pPr>
        <w:pStyle w:val="Heading1"/>
      </w:pPr>
      <w:r>
        <w:rPr>
          <w:b/>
          <w:color w:val="173A5E"/>
        </w:rPr>
        <w:t>9. Avance de la memoria</w:t>
      </w:r>
    </w:p>
    <w:p>
      <w:pPr>
        <w:spacing w:after="120" w:line="259" w:lineRule="auto"/>
      </w:pPr>
      <w:r>
        <w:rPr>
          <w:sz w:val="20"/>
        </w:rPr>
        <w:t>El bloque GEO dispone ya de resultados suficientes para redactar una primera versión de métodos y resultados. La memoria puede estructurarse de la siguiente manera:</w:t>
      </w:r>
    </w:p>
    <w:p>
      <w:pPr>
        <w:pStyle w:val="ListNumber"/>
        <w:spacing w:after="40"/>
      </w:pPr>
      <w:r>
        <w:rPr>
          <w:sz w:val="20"/>
        </w:rPr>
        <w:t>Introducción: melanoma, inmunoterapia, heterogeneidad molecular y necesidad de biomarcadores.</w:t>
      </w:r>
    </w:p>
    <w:p>
      <w:pPr>
        <w:pStyle w:val="ListNumber"/>
        <w:spacing w:after="40"/>
      </w:pPr>
      <w:r>
        <w:rPr>
          <w:sz w:val="20"/>
        </w:rPr>
        <w:t>Objetivos: pronóstico con TCGA y predicción/sensibilidad con GEO.</w:t>
      </w:r>
    </w:p>
    <w:p>
      <w:pPr>
        <w:pStyle w:val="ListNumber"/>
        <w:spacing w:after="40"/>
      </w:pPr>
      <w:r>
        <w:rPr>
          <w:sz w:val="20"/>
        </w:rPr>
        <w:t>Materiales y métodos: cohortes, preprocesamiento, SummarizedExperiment, DEA, validación, sensibilidad y consistencia.</w:t>
      </w:r>
    </w:p>
    <w:p>
      <w:pPr>
        <w:pStyle w:val="ListNumber"/>
        <w:spacing w:after="40"/>
      </w:pPr>
      <w:r>
        <w:rPr>
          <w:sz w:val="20"/>
        </w:rPr>
        <w:t>Resultados: discovery GSE78220, validación tumoral, sensibilidad en sangre y consistencia integrada.</w:t>
      </w:r>
    </w:p>
    <w:p>
      <w:pPr>
        <w:pStyle w:val="ListNumber"/>
        <w:spacing w:after="40"/>
      </w:pPr>
      <w:r>
        <w:rPr>
          <w:sz w:val="20"/>
        </w:rPr>
        <w:t>Discusión: señal IFN-gamma/MHC-I, limitaciones de plataforma, tejido y checkpoint.</w:t>
      </w:r>
    </w:p>
    <w:p>
      <w:pPr>
        <w:pStyle w:val="ListNumber"/>
        <w:spacing w:after="40"/>
      </w:pPr>
      <w:r>
        <w:rPr>
          <w:sz w:val="20"/>
        </w:rPr>
        <w:t>Conclusiones y trabajo futuro.</w:t>
      </w:r>
    </w:p>
    <w:p>
      <w:pPr>
        <w:pStyle w:val="Heading1"/>
      </w:pPr>
      <w:r>
        <w:rPr>
          <w:b/>
          <w:color w:val="173A5E"/>
        </w:rPr>
        <w:t>10. Conclusiones del seguimiento</w:t>
      </w:r>
    </w:p>
    <w:p>
      <w:pPr>
        <w:spacing w:after="120" w:line="259" w:lineRule="auto"/>
      </w:pPr>
      <w:r>
        <w:rPr>
          <w:sz w:val="20"/>
        </w:rPr>
        <w:t>En el momento actual, el proyecto se encuentra en una fase avanzada de implementación del bloque predictivo GEO. Se ha completado la exploración, preprocesamiento y análisis de varias cohortes, y se ha reestructurado el enfoque metodológico para hacerlo más robusto.</w:t>
      </w:r>
    </w:p>
    <w:p>
      <w:pPr>
        <w:spacing w:after="120" w:line="259" w:lineRule="auto"/>
      </w:pPr>
      <w:r>
        <w:rPr>
          <w:sz w:val="20"/>
        </w:rPr>
        <w:t>La principal decisión metodológica ha sido pasar de un análisis integrado como bloque central a un esquema de descubrimiento-validación-sensibilidad. Esta decisión está justificada por diferencias de plataforma, tejido y tratamiento, y permite defender mejor los resultados en la memoria.</w:t>
      </w:r>
    </w:p>
    <w:p>
      <w:pPr>
        <w:spacing w:after="120" w:line="259" w:lineRule="auto"/>
      </w:pPr>
      <w:r>
        <w:rPr>
          <w:sz w:val="20"/>
        </w:rPr>
        <w:t>El siguiente objetivo es consolidar el bloque pronóstico TCGA y avanzar en la redacción de la memoria, utilizando los informes HTML y tablas ya generados como base de resultados.</w:t>
      </w:r>
    </w:p>
    <w:p>
      <w:pPr>
        <w:pStyle w:val="Heading1"/>
      </w:pPr>
      <w:r>
        <w:rPr>
          <w:b/>
          <w:color w:val="173A5E"/>
        </w:rPr>
        <w:t>11. Reconocimiento de datos y herramientas</w:t>
      </w:r>
    </w:p>
    <w:p>
      <w:pPr>
        <w:spacing w:after="120" w:line="259" w:lineRule="auto"/>
      </w:pPr>
      <w:r>
        <w:rPr>
          <w:sz w:val="20"/>
        </w:rPr>
        <w:t>Las cohortes utilizadas proceden de repositorios públicos y están citadas en la memoria final: TCGA-SKCM y las series GEO GSE78220, GSE215868, GSE211645, GSE91061 y GSE94873. El análisis se ha desarrollado principalmente en R/Bioconductor utilizando, entre otros, GEOquery, SummarizedExperiment, limma, ggplot2 y herramientas de control de versiones Git/GitHub.</w:t>
      </w:r>
    </w:p>
    <w:p>
      <w:r>
        <w:br w:type="page"/>
      </w:r>
    </w:p>
    <w:p>
      <w:pPr>
        <w:pStyle w:val="Heading1"/>
      </w:pPr>
      <w:r>
        <w:rPr>
          <w:b/>
          <w:color w:val="173A5E"/>
        </w:rPr>
        <w:t>12. Contribución a los ODS</w:t>
      </w:r>
    </w:p>
    <w:p>
      <w:pPr>
        <w:spacing w:after="120" w:line="259" w:lineRule="auto"/>
      </w:pPr>
      <w:r>
        <w:rPr>
          <w:sz w:val="20"/>
        </w:rPr>
        <w:t>El proyecto contribuye principalmente a los Objetivos de Desarrollo Sostenible número 3 (Salud y bienestar), 9 (Industria, innovación e infraestructura) y 17 (Alianzas para lograr los objetivos). La identificación de biomarcadores moleculares en melanoma tiene aplicabilidad directa en la mejora del diagnóstico y la selección de tratamientos, contribuyendo a reducir la mortalidad por cáncer en población adulta, objetivo recogido en la meta 3.4 del ODS 3.</w:t>
      </w:r>
    </w:p>
    <w:p>
      <w:pPr>
        <w:spacing w:before="120" w:after="60"/>
      </w:pPr>
      <w:r>
        <w:rPr>
          <w:b/>
          <w:i/>
          <w:color w:val="5A5A5A"/>
          <w:sz w:val="17"/>
        </w:rPr>
        <w:t>Tabla 13. Contribución del proyecto a los ODS y posibles indicadores de seguimiento</w:t>
      </w:r>
    </w:p>
    <w:tbl>
      <w:tblPr>
        <w:tblStyle w:val="TableGrid"/>
        <w:tblW w:type="auto" w:w="0"/>
        <w:jc w:val="center"/>
        <w:tblLayout w:type="autofit"/>
        <w:tblLook w:firstColumn="1" w:firstRow="1" w:lastColumn="0" w:lastRow="0" w:noHBand="0" w:noVBand="1" w:val="04A0"/>
      </w:tblPr>
      <w:tblGrid>
        <w:gridCol w:w="3475"/>
        <w:gridCol w:w="3475"/>
        <w:gridCol w:w="3475"/>
      </w:tblGrid>
      <w:tr>
        <w:tc>
          <w:tcPr>
            <w:tcW w:type="dxa" w:w="1134"/>
            <w:vAlign w:val="center"/>
            <w:shd w:fill="173A5E"/>
            <w:shd w:fill="173A5E"/>
          </w:tcPr>
          <w:p>
            <w:pPr>
              <w:spacing w:after="0" w:line="252" w:lineRule="auto"/>
            </w:pPr>
            <w:r>
              <w:rPr>
                <w:b/>
                <w:color w:val="FFFFFF"/>
                <w:sz w:val="17"/>
              </w:rPr>
            </w:r>
            <w:r>
              <w:rPr>
                <w:b/>
                <w:color w:val="FFFFFF"/>
                <w:sz w:val="17"/>
              </w:rPr>
              <w:t>ODS</w:t>
            </w:r>
          </w:p>
        </w:tc>
        <w:tc>
          <w:tcPr>
            <w:tcW w:type="dxa" w:w="4876"/>
            <w:vAlign w:val="center"/>
            <w:shd w:fill="173A5E"/>
            <w:shd w:fill="173A5E"/>
          </w:tcPr>
          <w:p>
            <w:pPr>
              <w:spacing w:after="0" w:line="252" w:lineRule="auto"/>
            </w:pPr>
            <w:r>
              <w:rPr>
                <w:b/>
                <w:color w:val="FFFFFF"/>
                <w:sz w:val="17"/>
              </w:rPr>
            </w:r>
            <w:r>
              <w:rPr>
                <w:b/>
                <w:color w:val="FFFFFF"/>
                <w:sz w:val="17"/>
              </w:rPr>
              <w:t>Contribución del proyecto</w:t>
            </w:r>
          </w:p>
        </w:tc>
        <w:tc>
          <w:tcPr>
            <w:tcW w:type="dxa" w:w="2835"/>
            <w:vAlign w:val="center"/>
            <w:shd w:fill="173A5E"/>
            <w:shd w:fill="173A5E"/>
          </w:tcPr>
          <w:p>
            <w:pPr>
              <w:spacing w:after="0" w:line="252" w:lineRule="auto"/>
            </w:pPr>
            <w:r>
              <w:rPr>
                <w:b/>
                <w:color w:val="FFFFFF"/>
                <w:sz w:val="17"/>
              </w:rPr>
            </w:r>
            <w:r>
              <w:rPr>
                <w:b/>
                <w:color w:val="FFFFFF"/>
                <w:sz w:val="17"/>
              </w:rPr>
              <w:t>Indicador</w:t>
            </w:r>
          </w:p>
        </w:tc>
      </w:tr>
      <w:tr>
        <w:tc>
          <w:tcPr>
            <w:tcW w:type="dxa" w:w="1134"/>
            <w:vAlign w:val="center"/>
          </w:tcPr>
          <w:p>
            <w:pPr>
              <w:spacing w:after="0" w:line="252" w:lineRule="auto"/>
            </w:pPr>
            <w:r>
              <w:rPr>
                <w:sz w:val="17"/>
              </w:rPr>
            </w:r>
            <w:r>
              <w:rPr>
                <w:b w:val="0"/>
                <w:sz w:val="17"/>
              </w:rPr>
              <w:t>ODS 3</w:t>
            </w:r>
          </w:p>
        </w:tc>
        <w:tc>
          <w:tcPr>
            <w:tcW w:type="dxa" w:w="4876"/>
            <w:vAlign w:val="center"/>
          </w:tcPr>
          <w:p>
            <w:pPr>
              <w:spacing w:after="0" w:line="252" w:lineRule="auto"/>
            </w:pPr>
            <w:r>
              <w:rPr>
                <w:sz w:val="17"/>
              </w:rPr>
            </w:r>
            <w:r>
              <w:rPr>
                <w:b w:val="0"/>
                <w:sz w:val="17"/>
              </w:rPr>
              <w:t>Salud y bienestar. Identificación de biomarcadores de respuesta a inmunoterapia en melanoma avanzado; apoyo a la selección de tratamientos y reducción de mortalidad por cáncer.</w:t>
            </w:r>
          </w:p>
        </w:tc>
        <w:tc>
          <w:tcPr>
            <w:tcW w:type="dxa" w:w="2835"/>
            <w:vAlign w:val="center"/>
          </w:tcPr>
          <w:p>
            <w:pPr>
              <w:spacing w:after="0" w:line="252" w:lineRule="auto"/>
            </w:pPr>
            <w:r>
              <w:rPr>
                <w:sz w:val="17"/>
              </w:rPr>
            </w:r>
            <w:r>
              <w:rPr>
                <w:b w:val="0"/>
                <w:sz w:val="17"/>
              </w:rPr>
              <w:t>Tasa de respuesta a inmunoterapia; supervivencia global y libre de progresión en melanoma metastásico.</w:t>
            </w:r>
          </w:p>
        </w:tc>
      </w:tr>
      <w:tr>
        <w:tc>
          <w:tcPr>
            <w:tcW w:type="dxa" w:w="1134"/>
            <w:vAlign w:val="center"/>
          </w:tcPr>
          <w:p>
            <w:pPr>
              <w:spacing w:after="0" w:line="252" w:lineRule="auto"/>
            </w:pPr>
            <w:r>
              <w:rPr>
                <w:sz w:val="17"/>
              </w:rPr>
            </w:r>
            <w:r>
              <w:rPr>
                <w:b w:val="0"/>
                <w:sz w:val="17"/>
              </w:rPr>
              <w:t>ODS 9</w:t>
            </w:r>
          </w:p>
        </w:tc>
        <w:tc>
          <w:tcPr>
            <w:tcW w:type="dxa" w:w="4876"/>
            <w:vAlign w:val="center"/>
          </w:tcPr>
          <w:p>
            <w:pPr>
              <w:spacing w:after="0" w:line="252" w:lineRule="auto"/>
            </w:pPr>
            <w:r>
              <w:rPr>
                <w:sz w:val="17"/>
              </w:rPr>
            </w:r>
            <w:r>
              <w:rPr>
                <w:b w:val="0"/>
                <w:sz w:val="17"/>
              </w:rPr>
              <w:t>Industria, innovación e infraestructura. Desarrollo de pipelines bioinformáticos reproducibles y reutilizables, con control de versiones, objetos SummarizedExperiment y repositorios públicos.</w:t>
            </w:r>
          </w:p>
        </w:tc>
        <w:tc>
          <w:tcPr>
            <w:tcW w:type="dxa" w:w="2835"/>
            <w:vAlign w:val="center"/>
          </w:tcPr>
          <w:p>
            <w:pPr>
              <w:spacing w:after="0" w:line="252" w:lineRule="auto"/>
            </w:pPr>
            <w:r>
              <w:rPr>
                <w:sz w:val="17"/>
              </w:rPr>
            </w:r>
            <w:r>
              <w:rPr>
                <w:b w:val="0"/>
                <w:sz w:val="17"/>
              </w:rPr>
              <w:t>Número de scripts reproducibles documentados; disponibilidad pública del código en GitHub.</w:t>
            </w:r>
          </w:p>
        </w:tc>
      </w:tr>
      <w:tr>
        <w:tc>
          <w:tcPr>
            <w:tcW w:type="dxa" w:w="1134"/>
            <w:vAlign w:val="center"/>
          </w:tcPr>
          <w:p>
            <w:pPr>
              <w:spacing w:after="0" w:line="252" w:lineRule="auto"/>
            </w:pPr>
            <w:r>
              <w:rPr>
                <w:sz w:val="17"/>
              </w:rPr>
            </w:r>
            <w:r>
              <w:rPr>
                <w:b w:val="0"/>
                <w:sz w:val="17"/>
              </w:rPr>
              <w:t>ODS 17</w:t>
            </w:r>
          </w:p>
        </w:tc>
        <w:tc>
          <w:tcPr>
            <w:tcW w:type="dxa" w:w="4876"/>
            <w:vAlign w:val="center"/>
          </w:tcPr>
          <w:p>
            <w:pPr>
              <w:spacing w:after="0" w:line="252" w:lineRule="auto"/>
            </w:pPr>
            <w:r>
              <w:rPr>
                <w:sz w:val="17"/>
              </w:rPr>
            </w:r>
            <w:r>
              <w:rPr>
                <w:b w:val="0"/>
                <w:sz w:val="17"/>
              </w:rPr>
              <w:t>Alianzas para lograr los objetivos. Uso exclusivo de datos públicos (GEO, TCGA), herramientas de código abierto (R/Bioconductor) y prácticas de ciencia abierta y reproducible.</w:t>
            </w:r>
          </w:p>
        </w:tc>
        <w:tc>
          <w:tcPr>
            <w:tcW w:type="dxa" w:w="2835"/>
            <w:vAlign w:val="center"/>
          </w:tcPr>
          <w:p>
            <w:pPr>
              <w:spacing w:after="0" w:line="252" w:lineRule="auto"/>
            </w:pPr>
            <w:r>
              <w:rPr>
                <w:sz w:val="17"/>
              </w:rPr>
            </w:r>
            <w:r>
              <w:rPr>
                <w:b w:val="0"/>
                <w:sz w:val="17"/>
              </w:rPr>
              <w:t>Número de datasets públicos reutilizados; cohortes con acceso abierto en GEO y TCGA.</w:t>
            </w:r>
          </w:p>
        </w:tc>
      </w:tr>
    </w:tbl>
    <w:p>
      <w:pPr>
        <w:pStyle w:val="Heading1"/>
      </w:pPr>
      <w:r>
        <w:rPr>
          <w:b/>
          <w:color w:val="173A5E"/>
        </w:rPr>
        <w:t>13. Perspectiva de género</w:t>
      </w:r>
    </w:p>
    <w:p>
      <w:pPr>
        <w:spacing w:after="120" w:line="259" w:lineRule="auto"/>
      </w:pPr>
      <w:r>
        <w:rPr>
          <w:sz w:val="20"/>
        </w:rPr>
        <w:t>El análisis trabaja con datos biológicos y clínicos de pacientes con melanoma avanzado. A continuación se detallan los elementos considerados en relación con la perspectiva de género.</w:t>
      </w:r>
    </w:p>
    <w:p>
      <w:pPr>
        <w:pStyle w:val="ListBullet"/>
        <w:spacing w:after="40"/>
      </w:pPr>
      <w:r>
        <w:rPr>
          <w:sz w:val="20"/>
        </w:rPr>
        <w:t>Datos anonimizados y ausencia de sesgo de selección: las cohortes GEO utilizadas provienen de estudios clínicos publicados cuyos datos están anonimizados. En este análisis se han utilizado todas las muestras con respuesta clínica disponible, sin exclusión basada en sexo.</w:t>
      </w:r>
    </w:p>
    <w:p>
      <w:pPr>
        <w:pStyle w:val="ListBullet"/>
        <w:spacing w:after="40"/>
      </w:pPr>
      <w:r>
        <w:rPr>
          <w:sz w:val="20"/>
        </w:rPr>
        <w:t>Potencial análisis por sexo: en el bloque pronóstico con TCGA-SKCM, la variable sexo está disponible y podría incorporarse como covariable en los modelos de supervivencia de Cox, permitiendo evaluar posibles diferencias pronósticas entre hombres y mujeres.</w:t>
      </w:r>
    </w:p>
    <w:p>
      <w:pPr>
        <w:pStyle w:val="ListBullet"/>
        <w:spacing w:after="40"/>
      </w:pPr>
      <w:r>
        <w:rPr>
          <w:sz w:val="20"/>
        </w:rPr>
        <w:t>Limitación de los datos GEO: las cohortes del bloque predictivo no disponen de información de sexo armonizada en las variables utilizadas, por lo que no se plantea un análisis de interacción sexo-respuesta en el marco actual.</w:t>
      </w:r>
    </w:p>
    <w:p>
      <w:pPr>
        <w:pStyle w:val="ListBullet"/>
        <w:spacing w:after="40"/>
      </w:pPr>
      <w:r>
        <w:rPr>
          <w:sz w:val="20"/>
        </w:rPr>
        <w:t>Relevancia clínica: el melanoma afecta a hombres y mujeres, aunque con diferencias epidemiológicas en incidencia y pronóstico. La identificación de biomarcadores robustos de respuesta a inmunoterapia es relevante para ambos sexos.</w:t>
      </w:r>
    </w:p>
    <w:p>
      <w:pPr>
        <w:pStyle w:val="Heading1"/>
      </w:pPr>
      <w:r>
        <w:rPr>
          <w:b/>
          <w:color w:val="173A5E"/>
        </w:rPr>
        <w:t>14. Competencias trabajadas</w:t>
      </w:r>
    </w:p>
    <w:p>
      <w:pPr>
        <w:spacing w:after="120" w:line="259" w:lineRule="auto"/>
      </w:pPr>
      <w:r>
        <w:rPr>
          <w:sz w:val="20"/>
        </w:rPr>
        <w:t>La siguiente tabla muestra de forma explícita las competencias del Máster trabajadas en esta fase del proyecto y cómo se manifiestan en el trabajo desarrollado.</w:t>
      </w:r>
    </w:p>
    <w:p>
      <w:pPr>
        <w:spacing w:before="120" w:after="60"/>
      </w:pPr>
      <w:r>
        <w:rPr>
          <w:b/>
          <w:i/>
          <w:color w:val="5A5A5A"/>
          <w:sz w:val="17"/>
        </w:rPr>
        <w:t>Tabla 14. Mapeo de competencias del Máster trabajadas en esta fase del proyecto</w:t>
      </w:r>
    </w:p>
    <w:tbl>
      <w:tblPr>
        <w:tblStyle w:val="TableGrid"/>
        <w:tblW w:type="auto" w:w="0"/>
        <w:jc w:val="center"/>
        <w:tblLayout w:type="autofit"/>
        <w:tblLook w:firstColumn="1" w:firstRow="1" w:lastColumn="0" w:lastRow="0" w:noHBand="0" w:noVBand="1" w:val="04A0"/>
      </w:tblPr>
      <w:tblGrid>
        <w:gridCol w:w="3475"/>
        <w:gridCol w:w="3475"/>
        <w:gridCol w:w="3475"/>
      </w:tblGrid>
      <w:tr>
        <w:tc>
          <w:tcPr>
            <w:tcW w:type="dxa" w:w="1474"/>
            <w:vAlign w:val="center"/>
            <w:shd w:fill="173A5E"/>
            <w:shd w:fill="173A5E"/>
          </w:tcPr>
          <w:p>
            <w:pPr>
              <w:spacing w:after="0" w:line="252" w:lineRule="auto"/>
            </w:pPr>
            <w:r>
              <w:rPr>
                <w:b/>
                <w:color w:val="FFFFFF"/>
                <w:sz w:val="17"/>
              </w:rPr>
            </w:r>
            <w:r>
              <w:rPr>
                <w:b/>
                <w:color w:val="FFFFFF"/>
                <w:sz w:val="17"/>
              </w:rPr>
              <w:t>Competencia</w:t>
            </w:r>
          </w:p>
        </w:tc>
        <w:tc>
          <w:tcPr>
            <w:tcW w:type="dxa" w:w="2835"/>
            <w:vAlign w:val="center"/>
            <w:shd w:fill="173A5E"/>
            <w:shd w:fill="173A5E"/>
          </w:tcPr>
          <w:p>
            <w:pPr>
              <w:spacing w:after="0" w:line="252" w:lineRule="auto"/>
            </w:pPr>
            <w:r>
              <w:rPr>
                <w:b/>
                <w:color w:val="FFFFFF"/>
                <w:sz w:val="17"/>
              </w:rPr>
            </w:r>
            <w:r>
              <w:rPr>
                <w:b/>
                <w:color w:val="FFFFFF"/>
                <w:sz w:val="17"/>
              </w:rPr>
              <w:t>Descripción</w:t>
            </w:r>
          </w:p>
        </w:tc>
        <w:tc>
          <w:tcPr>
            <w:tcW w:type="dxa" w:w="4649"/>
            <w:vAlign w:val="center"/>
            <w:shd w:fill="173A5E"/>
            <w:shd w:fill="173A5E"/>
          </w:tcPr>
          <w:p>
            <w:pPr>
              <w:spacing w:after="0" w:line="252" w:lineRule="auto"/>
            </w:pPr>
            <w:r>
              <w:rPr>
                <w:b/>
                <w:color w:val="FFFFFF"/>
                <w:sz w:val="17"/>
              </w:rPr>
            </w:r>
            <w:r>
              <w:rPr>
                <w:b/>
                <w:color w:val="FFFFFF"/>
                <w:sz w:val="17"/>
              </w:rPr>
              <w:t>Evidencia en el proyecto</w:t>
            </w:r>
          </w:p>
        </w:tc>
      </w:tr>
      <w:tr>
        <w:tc>
          <w:tcPr>
            <w:tcW w:type="dxa" w:w="1474"/>
            <w:vAlign w:val="center"/>
          </w:tcPr>
          <w:p>
            <w:pPr>
              <w:spacing w:after="0" w:line="252" w:lineRule="auto"/>
            </w:pPr>
            <w:r>
              <w:rPr>
                <w:sz w:val="17"/>
              </w:rPr>
            </w:r>
            <w:r>
              <w:rPr>
                <w:b w:val="0"/>
                <w:sz w:val="17"/>
              </w:rPr>
              <w:t>C7</w:t>
            </w:r>
          </w:p>
        </w:tc>
        <w:tc>
          <w:tcPr>
            <w:tcW w:type="dxa" w:w="2835"/>
            <w:vAlign w:val="center"/>
          </w:tcPr>
          <w:p>
            <w:pPr>
              <w:spacing w:after="0" w:line="252" w:lineRule="auto"/>
            </w:pPr>
            <w:r>
              <w:rPr>
                <w:sz w:val="17"/>
              </w:rPr>
            </w:r>
            <w:r>
              <w:rPr>
                <w:b w:val="0"/>
                <w:sz w:val="17"/>
              </w:rPr>
              <w:t>Identificar métodos de estadística y aprendizaje automático en bioinformática.</w:t>
            </w:r>
          </w:p>
        </w:tc>
        <w:tc>
          <w:tcPr>
            <w:tcW w:type="dxa" w:w="4649"/>
            <w:vAlign w:val="center"/>
          </w:tcPr>
          <w:p>
            <w:pPr>
              <w:spacing w:after="0" w:line="252" w:lineRule="auto"/>
            </w:pPr>
            <w:r>
              <w:rPr>
                <w:sz w:val="17"/>
              </w:rPr>
            </w:r>
            <w:r>
              <w:rPr>
                <w:b w:val="0"/>
                <w:sz w:val="17"/>
              </w:rPr>
              <w:t>Uso de limma para expresión diferencial, LOOCV como validación de modelos exploratorios y AUC como métrica de discriminación.</w:t>
            </w:r>
          </w:p>
        </w:tc>
      </w:tr>
      <w:tr>
        <w:tc>
          <w:tcPr>
            <w:tcW w:type="dxa" w:w="1474"/>
            <w:vAlign w:val="center"/>
          </w:tcPr>
          <w:p>
            <w:pPr>
              <w:spacing w:after="0" w:line="252" w:lineRule="auto"/>
            </w:pPr>
            <w:r>
              <w:rPr>
                <w:sz w:val="17"/>
              </w:rPr>
            </w:r>
            <w:r>
              <w:rPr>
                <w:b w:val="0"/>
                <w:sz w:val="17"/>
              </w:rPr>
              <w:t>C ética</w:t>
            </w:r>
          </w:p>
        </w:tc>
        <w:tc>
          <w:tcPr>
            <w:tcW w:type="dxa" w:w="2835"/>
            <w:vAlign w:val="center"/>
          </w:tcPr>
          <w:p>
            <w:pPr>
              <w:spacing w:after="0" w:line="252" w:lineRule="auto"/>
            </w:pPr>
            <w:r>
              <w:rPr>
                <w:sz w:val="17"/>
              </w:rPr>
            </w:r>
            <w:r>
              <w:rPr>
                <w:b w:val="0"/>
                <w:sz w:val="17"/>
              </w:rPr>
              <w:t>Actuar de forma ética en el trabajo académico y evitar el plagio.</w:t>
            </w:r>
          </w:p>
        </w:tc>
        <w:tc>
          <w:tcPr>
            <w:tcW w:type="dxa" w:w="4649"/>
            <w:vAlign w:val="center"/>
          </w:tcPr>
          <w:p>
            <w:pPr>
              <w:spacing w:after="0" w:line="252" w:lineRule="auto"/>
            </w:pPr>
            <w:r>
              <w:rPr>
                <w:sz w:val="17"/>
              </w:rPr>
            </w:r>
            <w:r>
              <w:rPr>
                <w:b w:val="0"/>
                <w:sz w:val="17"/>
              </w:rPr>
              <w:t>Uso exclusivo de datos públicos y anonimizados. Cita de cohortes originales, paquetes y herramientas. Resultados exploratorios no presentados como definitivos.</w:t>
            </w:r>
          </w:p>
        </w:tc>
      </w:tr>
      <w:tr>
        <w:tc>
          <w:tcPr>
            <w:tcW w:type="dxa" w:w="1474"/>
            <w:vAlign w:val="center"/>
          </w:tcPr>
          <w:p>
            <w:pPr>
              <w:spacing w:after="0" w:line="252" w:lineRule="auto"/>
            </w:pPr>
            <w:r>
              <w:rPr>
                <w:sz w:val="17"/>
              </w:rPr>
            </w:r>
            <w:r>
              <w:rPr>
                <w:b w:val="0"/>
                <w:sz w:val="17"/>
              </w:rPr>
              <w:t>S2</w:t>
            </w:r>
          </w:p>
        </w:tc>
        <w:tc>
          <w:tcPr>
            <w:tcW w:type="dxa" w:w="2835"/>
            <w:vAlign w:val="center"/>
          </w:tcPr>
          <w:p>
            <w:pPr>
              <w:spacing w:after="0" w:line="252" w:lineRule="auto"/>
            </w:pPr>
            <w:r>
              <w:rPr>
                <w:sz w:val="17"/>
              </w:rPr>
            </w:r>
            <w:r>
              <w:rPr>
                <w:b w:val="0"/>
                <w:sz w:val="17"/>
              </w:rPr>
              <w:t>Discriminar los requerimientos informáticos y estadísticos para resolver un problema de bioinformática.</w:t>
            </w:r>
          </w:p>
        </w:tc>
        <w:tc>
          <w:tcPr>
            <w:tcW w:type="dxa" w:w="4649"/>
            <w:vAlign w:val="center"/>
          </w:tcPr>
          <w:p>
            <w:pPr>
              <w:spacing w:after="0" w:line="252" w:lineRule="auto"/>
            </w:pPr>
            <w:r>
              <w:rPr>
                <w:sz w:val="17"/>
              </w:rPr>
            </w:r>
            <w:r>
              <w:rPr>
                <w:b w:val="0"/>
                <w:sz w:val="17"/>
              </w:rPr>
              <w:t>Selección de R/Bioconductor, SummarizedExperiment como contenedor estándar, limma para datos normalizados y LOOCV por el tamaño muestral de GSE78220.</w:t>
            </w:r>
          </w:p>
        </w:tc>
      </w:tr>
      <w:tr>
        <w:tc>
          <w:tcPr>
            <w:tcW w:type="dxa" w:w="1474"/>
            <w:vAlign w:val="center"/>
          </w:tcPr>
          <w:p>
            <w:pPr>
              <w:spacing w:after="0" w:line="252" w:lineRule="auto"/>
            </w:pPr>
            <w:r>
              <w:rPr>
                <w:sz w:val="17"/>
              </w:rPr>
            </w:r>
            <w:r>
              <w:rPr>
                <w:b w:val="0"/>
                <w:sz w:val="17"/>
              </w:rPr>
              <w:t>S diseño</w:t>
            </w:r>
          </w:p>
        </w:tc>
        <w:tc>
          <w:tcPr>
            <w:tcW w:type="dxa" w:w="2835"/>
            <w:vAlign w:val="center"/>
          </w:tcPr>
          <w:p>
            <w:pPr>
              <w:spacing w:after="0" w:line="252" w:lineRule="auto"/>
            </w:pPr>
            <w:r>
              <w:rPr>
                <w:sz w:val="17"/>
              </w:rPr>
            </w:r>
            <w:r>
              <w:rPr>
                <w:b w:val="0"/>
                <w:sz w:val="17"/>
              </w:rPr>
              <w:t>Diseñar proyectos aplicando criterios de calidad y responsabilidad.</w:t>
            </w:r>
          </w:p>
        </w:tc>
        <w:tc>
          <w:tcPr>
            <w:tcW w:type="dxa" w:w="4649"/>
            <w:vAlign w:val="center"/>
          </w:tcPr>
          <w:p>
            <w:pPr>
              <w:spacing w:after="0" w:line="252" w:lineRule="auto"/>
            </w:pPr>
            <w:r>
              <w:rPr>
                <w:sz w:val="17"/>
              </w:rPr>
            </w:r>
            <w:r>
              <w:rPr>
                <w:b w:val="0"/>
                <w:sz w:val="17"/>
              </w:rPr>
              <w:t>Arquitectura descubrimiento-validación-sensibilidad diseñada para evitar contaminación de señal entre tejidos, plataformas y checkpoints.</w:t>
            </w:r>
          </w:p>
        </w:tc>
      </w:tr>
    </w:tbl>
    <w:p>
      <w:pPr>
        <w:pStyle w:val="Heading1"/>
      </w:pPr>
      <w:r>
        <w:rPr>
          <w:b/>
          <w:color w:val="173A5E"/>
        </w:rPr>
        <w:t>15. Borrador de introducción de la memoria</w:t>
      </w:r>
    </w:p>
    <w:p>
      <w:pPr>
        <w:spacing w:after="120" w:line="259" w:lineRule="auto"/>
      </w:pPr>
      <w:r>
        <w:rPr>
          <w:sz w:val="20"/>
        </w:rPr>
        <w:t>El siguiente texto constituye un primer borrador de la introducción de la memoria del TFM. Está sujeto a revisión y se ampliará con la bibliografía correspondiente en la versión final.</w:t>
      </w:r>
    </w:p>
    <w:p>
      <w:pPr>
        <w:pStyle w:val="Heading2"/>
      </w:pPr>
      <w:r>
        <w:rPr>
          <w:b/>
          <w:color w:val="173A5E"/>
        </w:rPr>
        <w:t>15.1. Contexto clínico e interés biológico</w:t>
      </w:r>
    </w:p>
    <w:p>
      <w:pPr>
        <w:spacing w:after="120" w:line="259" w:lineRule="auto"/>
      </w:pPr>
      <w:r>
        <w:rPr>
          <w:sz w:val="20"/>
        </w:rPr>
        <w:t>El melanoma cutáneo es el tumor maligno de piel de mayor mortalidad, con una incidencia creciente a nivel global. En estadios avanzados o metastásicos, el pronóstico era desfavorable hasta la irrupción de los inhibidores de checkpoint inmunológico (ICI), que han transformado radicalmente el panorama terapéutico. Los anti-PD-1 (pembrolizumab, nivolumab) y anti-CTLA-4 (ipilimumab, tremelimumab) han demostrado beneficio clínico en un subconjunto de pacientes, con tasas de respuesta objetiva que oscilan entre el 30 y el 45 % en monoterapia. Sin embargo, la mayoría de los pacientes no responde o desarrolla resistencia secundaria, lo que plantea la necesidad urgente de identificar biomarcadores que permitan predecir la respuesta antes de iniciar el tratamiento.</w:t>
      </w:r>
    </w:p>
    <w:p>
      <w:pPr>
        <w:pStyle w:val="Heading2"/>
      </w:pPr>
      <w:r>
        <w:rPr>
          <w:b/>
          <w:color w:val="173A5E"/>
        </w:rPr>
        <w:t>15.2. Bases moleculares de la respuesta a inmunoterapia</w:t>
      </w:r>
    </w:p>
    <w:p>
      <w:pPr>
        <w:spacing w:after="120" w:line="259" w:lineRule="auto"/>
      </w:pPr>
      <w:r>
        <w:rPr>
          <w:sz w:val="20"/>
        </w:rPr>
        <w:t>La respuesta a los ICI depende de la capacidad del sistema inmune de reconocer y eliminar células tumorales. Los mecanismos más estudiados incluyen la presentación antigénica por moléculas del MHC de clase I (HLA-A, HLA-B, HLA-C), la activación de la vía del interferón gamma (IFN-gamma) y la infiltración de linfocitos T citotóxicos en el microambiente tumoral. La pérdida de expresión de HLA o la inactivación de la vía JAK-STAT se han asociado con resistencia primaria o secundaria a anti-PD-1. En este contexto, la transcriptómica permite caracterizar el estado del microambiente inmune tumoral y desarrollar firmas genómicas con valor predictivo.</w:t>
      </w:r>
    </w:p>
    <w:p>
      <w:pPr>
        <w:pStyle w:val="Heading2"/>
      </w:pPr>
      <w:r>
        <w:rPr>
          <w:b/>
          <w:color w:val="173A5E"/>
        </w:rPr>
        <w:t>15.3. Enfoque bioinformático y objetivos del proyecto</w:t>
      </w:r>
    </w:p>
    <w:p>
      <w:pPr>
        <w:spacing w:after="120" w:line="259" w:lineRule="auto"/>
      </w:pPr>
      <w:r>
        <w:rPr>
          <w:sz w:val="20"/>
        </w:rPr>
        <w:t>El presente trabajo aborda dos preguntas complementarias: (1) qué genes o firmas transcriptómicas son pronósticas de supervivencia en melanoma no tratado con inmunoterapia, usando datos de TCGA-SKCM; y (2) si es posible identificar una firma de respuesta a anti-PD-1 en tumor que sea reproducible en distintas cohortes y plataformas. Para responder a la segunda pregunta se adoptó una arquitectura de descubrimiento, validación y sensibilidad, utilizando cohortes procedentes del repositorio GEO con distintas plataformas (RNA-seq y NanoString), tejidos (tumor y sangre periférica) y tratamientos (anti-PD-1 y anti-CTLA-4). Este diseño permite evaluar tanto la reproducibilidad como la especificidad de las señales identificadas, y contribuye a una interpretación más rigurosa de los resultados en el contexto del melanoma tratado con inmunoterapia.</w:t>
      </w:r>
    </w:p>
    <w:sectPr w:rsidR="00FC693F" w:rsidRPr="0006063C" w:rsidSect="00034616">
      <w:footerReference w:type="default" r:id="rId9"/>
      <w:pgSz w:w="12240" w:h="15840"/>
      <w:pgMar w:top="964"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5"/>
      </w:rPr>
      <w:t>PEC3 - Informe de seguimiento del TFM | Sonia Salmerón Fructuoso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A5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A5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73A5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