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76D"/>
          <w:sz w:val="36"/>
        </w:rPr>
        <w:t>Resumen metodológico del procesamiento del dataset GSE78220</w:t>
      </w:r>
    </w:p>
    <w:p>
      <w:pPr>
        <w:jc w:val="center"/>
      </w:pPr>
      <w:r>
        <w:rPr>
          <w:i/>
          <w:sz w:val="22"/>
        </w:rPr>
        <w:t>Construcción del objeto SummarizedExperiment para el bloque GEO del TFM</w:t>
      </w:r>
    </w:p>
    <w:p/>
    <w:tbl>
      <w:tblPr>
        <w:tblW w:type="auto" w:w="0"/>
        <w:jc w:val="center"/>
        <w:tblLook w:firstColumn="1" w:firstRow="1" w:lastColumn="0" w:lastRow="0" w:noHBand="0" w:noVBand="1" w:val="04A0"/>
      </w:tblPr>
      <w:tblGrid>
        <w:gridCol w:w="9746"/>
      </w:tblGrid>
      <w:tr>
        <w:tc>
          <w:tcPr>
            <w:tcW w:type="dxa" w:w="9746"/>
            <w:shd w:fill="EEF4FB"/>
            <w:tcMar>
              <w:top w:w="120" w:type="dxa"/>
              <w:start w:w="160" w:type="dxa"/>
              <w:bottom w:w="120" w:type="dxa"/>
              <w:end w:w="160" w:type="dxa"/>
            </w:tcMar>
            <w:vAlign w:val="center"/>
          </w:tcPr>
          <w:p>
            <w:r>
              <w:t>Objetivo. Este documento resume, de forma estructurada y detallada, el procesamiento realizado sobre la cohorte pública GSE78220, incluyendo la descarga de los datos, la selección de muestras pretratamiento, la definición de la variable de respuesta a inmunoterapia, el alineamiento entre expresión y metadatos clínicos, la construcción del objeto SummarizedExperiment y el guardado del contenedor final.</w:t>
            </w:r>
          </w:p>
        </w:tc>
      </w:tr>
    </w:tbl>
    <w:p/>
    <w:p>
      <w:pPr>
        <w:pStyle w:val="Heading1"/>
      </w:pPr>
      <w:r>
        <w:t>1. Resultado final obtenido</w:t>
      </w:r>
    </w:p>
    <w:tbl>
      <w:tblPr>
        <w:tblW w:type="auto" w:w="0"/>
        <w:jc w:val="center"/>
        <w:tblLook w:firstColumn="1" w:firstRow="1" w:lastColumn="0" w:lastRow="0" w:noHBand="0" w:noVBand="1" w:val="04A0"/>
      </w:tblPr>
      <w:tblGrid>
        <w:gridCol w:w="4873"/>
        <w:gridCol w:w="4873"/>
      </w:tblGrid>
      <w:tr>
        <w:tc>
          <w:tcPr>
            <w:tcW w:type="dxa" w:w="4873"/>
            <w:shd w:fill="D9EAF7"/>
            <w:tcMar>
              <w:top w:w="80" w:type="dxa"/>
              <w:start w:w="120" w:type="dxa"/>
              <w:bottom w:w="80" w:type="dxa"/>
              <w:end w:w="120" w:type="dxa"/>
            </w:tcMar>
          </w:tcPr>
          <w:p>
            <w:r>
              <w:rPr>
                <w:b/>
              </w:rPr>
              <w:t>Elemento</w:t>
            </w:r>
          </w:p>
        </w:tc>
        <w:tc>
          <w:tcPr>
            <w:tcW w:type="dxa" w:w="4873"/>
            <w:shd w:fill="D9EAF7"/>
            <w:tcMar>
              <w:top w:w="80" w:type="dxa"/>
              <w:start w:w="120" w:type="dxa"/>
              <w:bottom w:w="80" w:type="dxa"/>
              <w:end w:w="120" w:type="dxa"/>
            </w:tcMar>
          </w:tcPr>
          <w:p>
            <w:r>
              <w:rPr>
                <w:b/>
              </w:rPr>
              <w:t>Resultado</w:t>
            </w:r>
          </w:p>
        </w:tc>
      </w:tr>
      <w:tr>
        <w:tc>
          <w:tcPr>
            <w:tcW w:type="dxa" w:w="4873"/>
            <w:tcMar>
              <w:top w:w="80" w:type="dxa"/>
              <w:start w:w="120" w:type="dxa"/>
              <w:bottom w:w="80" w:type="dxa"/>
              <w:end w:w="120" w:type="dxa"/>
            </w:tcMar>
            <w:vAlign w:val="center"/>
          </w:tcPr>
          <w:p>
            <w:r>
              <w:t>Archivo crudo utilizado</w:t>
            </w:r>
          </w:p>
        </w:tc>
        <w:tc>
          <w:tcPr>
            <w:tcW w:type="dxa" w:w="4873"/>
            <w:tcMar>
              <w:top w:w="80" w:type="dxa"/>
              <w:start w:w="120" w:type="dxa"/>
              <w:bottom w:w="80" w:type="dxa"/>
              <w:end w:w="120" w:type="dxa"/>
            </w:tcMar>
            <w:vAlign w:val="center"/>
          </w:tcPr>
          <w:p>
            <w:r>
              <w:t>GSE78220_PatientFPKM.xlsx</w:t>
            </w:r>
          </w:p>
        </w:tc>
      </w:tr>
      <w:tr>
        <w:tc>
          <w:tcPr>
            <w:tcW w:type="dxa" w:w="4873"/>
            <w:tcMar>
              <w:top w:w="80" w:type="dxa"/>
              <w:start w:w="120" w:type="dxa"/>
              <w:bottom w:w="80" w:type="dxa"/>
              <w:end w:w="120" w:type="dxa"/>
            </w:tcMar>
            <w:vAlign w:val="center"/>
          </w:tcPr>
          <w:p>
            <w:r>
              <w:t>Formato de expresión</w:t>
            </w:r>
          </w:p>
        </w:tc>
        <w:tc>
          <w:tcPr>
            <w:tcW w:type="dxa" w:w="4873"/>
            <w:tcMar>
              <w:top w:w="80" w:type="dxa"/>
              <w:start w:w="120" w:type="dxa"/>
              <w:bottom w:w="80" w:type="dxa"/>
              <w:end w:w="120" w:type="dxa"/>
            </w:tcMar>
            <w:vAlign w:val="center"/>
          </w:tcPr>
          <w:p>
            <w:r>
              <w:t>FPKM (matriz suplementaria en Excel)</w:t>
            </w:r>
          </w:p>
        </w:tc>
      </w:tr>
      <w:tr>
        <w:tc>
          <w:tcPr>
            <w:tcW w:type="dxa" w:w="4873"/>
            <w:tcMar>
              <w:top w:w="80" w:type="dxa"/>
              <w:start w:w="120" w:type="dxa"/>
              <w:bottom w:w="80" w:type="dxa"/>
              <w:end w:w="120" w:type="dxa"/>
            </w:tcMar>
            <w:vAlign w:val="center"/>
          </w:tcPr>
          <w:p>
            <w:r>
              <w:t>Dimensión del archivo cargado</w:t>
            </w:r>
          </w:p>
        </w:tc>
        <w:tc>
          <w:tcPr>
            <w:tcW w:type="dxa" w:w="4873"/>
            <w:tcMar>
              <w:top w:w="80" w:type="dxa"/>
              <w:start w:w="120" w:type="dxa"/>
              <w:bottom w:w="80" w:type="dxa"/>
              <w:end w:w="120" w:type="dxa"/>
            </w:tcMar>
            <w:vAlign w:val="center"/>
          </w:tcPr>
          <w:p>
            <w:r>
              <w:t>25.268 genes × 29 columnas</w:t>
            </w:r>
          </w:p>
        </w:tc>
      </w:tr>
      <w:tr>
        <w:tc>
          <w:tcPr>
            <w:tcW w:type="dxa" w:w="4873"/>
            <w:tcMar>
              <w:top w:w="80" w:type="dxa"/>
              <w:start w:w="120" w:type="dxa"/>
              <w:bottom w:w="80" w:type="dxa"/>
              <w:end w:w="120" w:type="dxa"/>
            </w:tcMar>
            <w:vAlign w:val="center"/>
          </w:tcPr>
          <w:p>
            <w:r>
              <w:t>Muestras baseline seleccionadas</w:t>
            </w:r>
          </w:p>
        </w:tc>
        <w:tc>
          <w:tcPr>
            <w:tcW w:type="dxa" w:w="4873"/>
            <w:tcMar>
              <w:top w:w="80" w:type="dxa"/>
              <w:start w:w="120" w:type="dxa"/>
              <w:bottom w:w="80" w:type="dxa"/>
              <w:end w:w="120" w:type="dxa"/>
            </w:tcMar>
            <w:vAlign w:val="center"/>
          </w:tcPr>
          <w:p>
            <w:r>
              <w:t>25 muestras</w:t>
            </w:r>
          </w:p>
        </w:tc>
      </w:tr>
      <w:tr>
        <w:tc>
          <w:tcPr>
            <w:tcW w:type="dxa" w:w="4873"/>
            <w:tcMar>
              <w:top w:w="80" w:type="dxa"/>
              <w:start w:w="120" w:type="dxa"/>
              <w:bottom w:w="80" w:type="dxa"/>
              <w:end w:w="120" w:type="dxa"/>
            </w:tcMar>
            <w:vAlign w:val="center"/>
          </w:tcPr>
          <w:p>
            <w:r>
              <w:t>Dimensión del SummarizedExperiment final</w:t>
            </w:r>
          </w:p>
        </w:tc>
        <w:tc>
          <w:tcPr>
            <w:tcW w:type="dxa" w:w="4873"/>
            <w:tcMar>
              <w:top w:w="80" w:type="dxa"/>
              <w:start w:w="120" w:type="dxa"/>
              <w:bottom w:w="80" w:type="dxa"/>
              <w:end w:w="120" w:type="dxa"/>
            </w:tcMar>
            <w:vAlign w:val="center"/>
          </w:tcPr>
          <w:p>
            <w:r>
              <w:t>25.268 genes × 25 muestras</w:t>
            </w:r>
          </w:p>
        </w:tc>
      </w:tr>
      <w:tr>
        <w:tc>
          <w:tcPr>
            <w:tcW w:type="dxa" w:w="4873"/>
            <w:tcMar>
              <w:top w:w="80" w:type="dxa"/>
              <w:start w:w="120" w:type="dxa"/>
              <w:bottom w:w="80" w:type="dxa"/>
              <w:end w:w="120" w:type="dxa"/>
            </w:tcMar>
            <w:vAlign w:val="center"/>
          </w:tcPr>
          <w:p>
            <w:r>
              <w:t>Variables clínicas conservadas</w:t>
            </w:r>
          </w:p>
        </w:tc>
        <w:tc>
          <w:tcPr>
            <w:tcW w:type="dxa" w:w="4873"/>
            <w:tcMar>
              <w:top w:w="80" w:type="dxa"/>
              <w:start w:w="120" w:type="dxa"/>
              <w:bottom w:w="80" w:type="dxa"/>
              <w:end w:w="120" w:type="dxa"/>
            </w:tcMar>
            <w:vAlign w:val="center"/>
          </w:tcPr>
          <w:p>
            <w:r>
              <w:t>sample_id, patient_id, response_raw, response_binary, dataset, tissue, platform</w:t>
            </w:r>
          </w:p>
        </w:tc>
      </w:tr>
      <w:tr>
        <w:tc>
          <w:tcPr>
            <w:tcW w:type="dxa" w:w="4873"/>
            <w:tcMar>
              <w:top w:w="80" w:type="dxa"/>
              <w:start w:w="120" w:type="dxa"/>
              <w:bottom w:w="80" w:type="dxa"/>
              <w:end w:w="120" w:type="dxa"/>
            </w:tcMar>
            <w:vAlign w:val="center"/>
          </w:tcPr>
          <w:p>
            <w:r>
              <w:t>Ruta de guardado del objeto final</w:t>
            </w:r>
          </w:p>
        </w:tc>
        <w:tc>
          <w:tcPr>
            <w:tcW w:type="dxa" w:w="4873"/>
            <w:tcMar>
              <w:top w:w="80" w:type="dxa"/>
              <w:start w:w="120" w:type="dxa"/>
              <w:bottom w:w="80" w:type="dxa"/>
              <w:end w:w="120" w:type="dxa"/>
            </w:tcMar>
            <w:vAlign w:val="center"/>
          </w:tcPr>
          <w:p>
            <w:r>
              <w:t>SummarizedExperiment_objects/se_gse78220.rds</w:t>
            </w:r>
          </w:p>
        </w:tc>
      </w:tr>
      <w:tr>
        <w:tc>
          <w:tcPr>
            <w:tcW w:type="dxa" w:w="4873"/>
            <w:tcMar>
              <w:top w:w="80" w:type="dxa"/>
              <w:start w:w="120" w:type="dxa"/>
              <w:bottom w:w="80" w:type="dxa"/>
              <w:end w:w="120" w:type="dxa"/>
            </w:tcMar>
            <w:vAlign w:val="center"/>
          </w:tcPr>
          <w:p>
            <w:r>
              <w:t>Estado final del pipeline</w:t>
            </w:r>
          </w:p>
        </w:tc>
        <w:tc>
          <w:tcPr>
            <w:tcW w:type="dxa" w:w="4873"/>
            <w:tcMar>
              <w:top w:w="80" w:type="dxa"/>
              <w:start w:w="120" w:type="dxa"/>
              <w:bottom w:w="80" w:type="dxa"/>
              <w:end w:w="120" w:type="dxa"/>
            </w:tcMar>
            <w:vAlign w:val="center"/>
          </w:tcPr>
          <w:p>
            <w:r>
              <w:t>Completado correctamente; checklist final en 'Sí' para todos los pasos</w:t>
            </w:r>
          </w:p>
        </w:tc>
      </w:tr>
    </w:tbl>
    <w:p/>
    <w:p>
      <w:pPr>
        <w:pStyle w:val="Heading1"/>
      </w:pPr>
      <w:r>
        <w:t>2. Descarga y organización automática de rutas</w:t>
      </w:r>
    </w:p>
    <w:p>
      <w:r>
        <w:t>El script automatizado se diseñó para ejecutarse desde la carpeta scripts/GEO/GSE78220/. A partir de esta ubicación se definió automáticamente el directorio raíz del proyecto y, desde él, se construyeron las rutas de salida correctas. De este modo, los archivos crudos se almacenan en GEO_raw/GSE78220/, mientras que el objeto final se guarda en SummarizedExperiment_objects/. Esta automatización evita que los archivos descargados queden mezclados con los scripts y mejora la reproducibilidad del flujo de trabajo.</w:t>
      </w:r>
    </w:p>
    <w:p>
      <w:pPr>
        <w:pStyle w:val="Heading1"/>
      </w:pPr>
      <w:r>
        <w:t>3. Descarga de metadatos GEO</w:t>
      </w:r>
    </w:p>
    <w:p>
      <w:r>
        <w:t>Los metadatos clínicos del estudio se descargaron mediante la función getGEO() del paquete GEOquery, utilizando la opción GSEMatrix = TRUE. El objeto ExpressionSet obtenido permitió extraer la tabla de metadatos clínicos (pData), que posteriormente se utilizó para identificar la respuesta a inmunoterapia y los identificadores de paciente.</w:t>
      </w:r>
    </w:p>
    <w:p>
      <w:pPr>
        <w:pStyle w:val="Heading1"/>
      </w:pPr>
      <w:r>
        <w:t>4. Localización y carga de la matriz de expresión</w:t>
      </w:r>
    </w:p>
    <w:p>
      <w:r>
        <w:t>La matriz de expresión no se leyó desde el ExpressionSet, sino desde el archivo suplementario Excel denominado GSE78220_PatientFPKM.xlsx. El pipeline comprobó primero si dicho archivo ya existía en la carpeta GEO_raw/GSE78220/. En caso de no estar presente, intentó descargarlo automáticamente mediante getGEOSuppFiles(). Una vez localizado, el archivo se cargó con read_excel(). El archivo original presentó una dimensión de 25.268 filas por 29 columnas, correspondiendo una columna al identificador génico y las restantes a muestras del estudio.</w:t>
      </w:r>
    </w:p>
    <w:p>
      <w:pPr>
        <w:pStyle w:val="Heading1"/>
      </w:pPr>
      <w:r>
        <w:t>5. Selección de muestras pretratamiento (baseline)</w:t>
      </w:r>
    </w:p>
    <w:p>
      <w:r>
        <w:t>Para el análisis predictivo de respuesta a inmunoterapia se restringió el dataset a las muestras pretratamiento. Esto se realizó seleccionando únicamente aquellas columnas cuyo nombre incluía el patrón baseline. Las muestras OnTx no se conservaron, ya que reflejan el efecto de la terapia y no deben utilizarse para construir un modelo predictivo basado en información previa al tratamiento. Tras este filtrado, la matriz de expresión quedó reducida a 25.268 genes y 25 muestras baseline.</w:t>
      </w:r>
    </w:p>
    <w:p>
      <w:pPr>
        <w:pStyle w:val="Heading1"/>
      </w:pPr>
      <w:r>
        <w:t>6. Definición de las variables clínicas clave</w:t>
      </w:r>
    </w:p>
    <w:p>
      <w:r>
        <w:t>En los metadatos clínicos se identificaron como variables principales: patient id:ch1, utilizada como identificador de muestra y paciente; y anti-pd-1 response:ch1, utilizada como variable de respuesta clínica. A partir de estas variables se construyó una tabla clínica limpia con las columnas sample_id, patient_id, response_raw, response_binary, dataset, tissue y platform.</w:t>
      </w:r>
    </w:p>
    <w:p>
      <w:pPr>
        <w:pStyle w:val="Heading1"/>
      </w:pPr>
      <w:r>
        <w:t>7. Recodificación de respondedores frente a no respondedores</w:t>
      </w:r>
    </w:p>
    <w:p>
      <w:r>
        <w:t>La variable clínica original de respuesta se recodificó en una variable binaria de interés para el modelo predictivo: Responder para CR y PR; y No_responder para SD y PD. Este paso permitió traducir la información clínica del estudio a una variable interpretable para futuros análisis de clasificación.</w:t>
      </w:r>
    </w:p>
    <w:p>
      <w:pPr>
        <w:pStyle w:val="Heading1"/>
      </w:pPr>
      <w:r>
        <w:t>8. Alineamiento entre expresión y metadatos</w:t>
      </w:r>
    </w:p>
    <w:p>
      <w:r>
        <w:t>Se realizó un alineamiento robusto entre la matriz de expresión baseline y los metadatos clínicos. Para ello, se limpiaron los identificadores de muestra, se evaluaron posibles discrepancias y se conservó únicamente la intersección común entre ambas fuentes. Posteriormente, se reordenaron los metadatos siguiendo exactamente el orden de las columnas de la matriz de expresión. La ausencia de errores en esta fase y la posterior construcción del contenedor confirman que el alineamiento fue correcto.</w:t>
      </w:r>
    </w:p>
    <w:p>
      <w:pPr>
        <w:pStyle w:val="Heading1"/>
      </w:pPr>
      <w:r>
        <w:t>9. Construcción del objeto SummarizedExperiment</w:t>
      </w:r>
    </w:p>
    <w:p>
      <w:r>
        <w:t>Una vez alineados assay, colData y rowData, se construyó el objeto SummarizedExperiment. El contenedor final integra la matriz de expresión génica baseline, los metadatos clínicos de las 25 muestras conservadas y una anotación mínima de genes basada en gene_symbol. El objeto resultante tuvo dimensión final de 25.268 genes × 25 muestras.</w:t>
      </w:r>
    </w:p>
    <w:p>
      <w:pPr>
        <w:pStyle w:val="Heading1"/>
      </w:pPr>
      <w:r>
        <w:t>10. Metadatos de preprocesamiento y guardado final</w:t>
      </w:r>
    </w:p>
    <w:p>
      <w:r>
        <w:t>Al objeto final se añadieron metadatos contextuales para documentar el procesamiento realizado, incluyendo dataset, descripción, unidades de expresión, columnas clínicas empleadas y resumen del preprocesamiento. Finalmente, el contenedor se guardó automáticamente en la ruta SummarizedExperiment_objects/se_gse78220.rds.</w:t>
      </w:r>
    </w:p>
    <w:p>
      <w:pPr>
        <w:pStyle w:val="Heading1"/>
      </w:pPr>
      <w:r>
        <w:t>11. Comprobación final del pipeline</w:t>
      </w:r>
    </w:p>
    <w:p>
      <w:r>
        <w:t>El HTML compilado mostró una checklist final con todos los pasos en estado Sí, incluyendo: metadatos descargados, archivo suplementario localizado o descargado, matriz de expresión cargada, muestras baseline seleccionadas, sample_id definido, respuesta identificada, muestras alineadas, SummarizedExperiment construido y objeto guardado en carpeta final. Esto confirma que el procesamiento automatizado de GSE78220 quedó finalizado correctamente.</w:t>
      </w:r>
    </w:p>
    <w:p>
      <w:pPr>
        <w:pStyle w:val="Heading1"/>
      </w:pPr>
      <w:r>
        <w:t>12. Interpretación metodológica dentro del TFM</w:t>
      </w:r>
    </w:p>
    <w:p>
      <w:r>
        <w:t>El procesamiento de GSE78220 permite considerar esta cohorte como una cohorte transcriptómica ya preparada para integrarse en el bloque predictivo del TFM. En términos metodológicos, este dataset ya dispone de expresión génica estructurada, muestras restringidas a pretratamiento, variable de respuesta binaria, metadatos clínicos sincronizados con la expresión y un contenedor SummarizedExperiment reproducible. Por tanto, GSE78220 puede emplearse posteriormente en la integración multi-cohorte junto con GSE91061 y las siguientes cohortes GEO que se incorporen al proyecto.</w:t>
      </w:r>
    </w:p>
    <w:p>
      <w:pPr>
        <w:pStyle w:val="Heading1"/>
      </w:pPr>
      <w:r>
        <w:t>13. Resumen esquemático del flujo seguido</w:t>
      </w:r>
    </w:p>
    <w:p>
      <w:pPr>
        <w:pStyle w:val="ListNumber"/>
      </w:pPr>
      <w:r>
        <w:t>Definición automática de rutas del proyecto</w:t>
      </w:r>
    </w:p>
    <w:p>
      <w:pPr>
        <w:pStyle w:val="ListNumber"/>
      </w:pPr>
      <w:r>
        <w:t>Descarga de metadatos GEO con GEOquery</w:t>
      </w:r>
    </w:p>
    <w:p>
      <w:pPr>
        <w:pStyle w:val="ListNumber"/>
      </w:pPr>
      <w:r>
        <w:t>Localización o descarga del archivo suplementario Excel</w:t>
      </w:r>
    </w:p>
    <w:p>
      <w:pPr>
        <w:pStyle w:val="ListNumber"/>
      </w:pPr>
      <w:r>
        <w:t>Carga de la matriz de expresión FPKM</w:t>
      </w:r>
    </w:p>
    <w:p>
      <w:pPr>
        <w:pStyle w:val="ListNumber"/>
      </w:pPr>
      <w:r>
        <w:t>Selección de muestras baseline</w:t>
      </w:r>
    </w:p>
    <w:p>
      <w:pPr>
        <w:pStyle w:val="ListNumber"/>
      </w:pPr>
      <w:r>
        <w:t>Extracción de identificadores clínicos y respuesta</w:t>
      </w:r>
    </w:p>
    <w:p>
      <w:pPr>
        <w:pStyle w:val="ListNumber"/>
      </w:pPr>
      <w:r>
        <w:t>Recodificación Responder / No_responder</w:t>
      </w:r>
    </w:p>
    <w:p>
      <w:pPr>
        <w:pStyle w:val="ListNumber"/>
      </w:pPr>
      <w:r>
        <w:t>Alineamiento entre expresión y metadatos</w:t>
      </w:r>
    </w:p>
    <w:p>
      <w:pPr>
        <w:pStyle w:val="ListNumber"/>
      </w:pPr>
      <w:r>
        <w:t>Construcción del SummarizedExperiment</w:t>
      </w:r>
    </w:p>
    <w:p>
      <w:pPr>
        <w:pStyle w:val="ListNumber"/>
      </w:pPr>
      <w:r>
        <w:t>Añadido de metadatos de preprocesamiento</w:t>
      </w:r>
    </w:p>
    <w:p>
      <w:pPr>
        <w:pStyle w:val="ListNumber"/>
      </w:pPr>
      <w:r>
        <w:t>Guardado final del objeto se_gse78220.rds</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