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detallado del procesamiento del dataset GSE91061</w:t>
      </w:r>
    </w:p>
    <w:p>
      <w:pPr>
        <w:pStyle w:val="Heading2"/>
      </w:pPr>
      <w:r>
        <w:t>1. Descarga y organización de datos</w:t>
      </w:r>
    </w:p>
    <w:p>
      <w:r>
        <w:t>Se automatizó la descarga de los datos del estudio GSE91061 desde GEO.</w:t>
        <w:br/>
        <w:t>Se definió una estructura de carpetas del proyecto para garantizar la reproducibilidad:</w:t>
        <w:br/>
        <w:br/>
        <w:t>- GEO_raw/: datos crudos descargados de GEO</w:t>
        <w:br/>
        <w:t>- SummarizedExperiment_objects/: objetos finales integrados</w:t>
        <w:br/>
        <w:t>- scripts/: scripts y RMarkdown</w:t>
        <w:br/>
        <w:t>- resultados/: resultados de análisis</w:t>
        <w:br/>
        <w:t>- figuras/: figuras del TFM</w:t>
        <w:br/>
        <w:t>- TFM_memoria/: documentos de la memoria</w:t>
        <w:br/>
        <w:br/>
        <w:t>Dentro de GEO_raw/ se creó automáticamente la carpeta GEO_raw/GSE91061/</w:t>
        <w:br/>
        <w:t>donde se descargaron los archivos suplementarios del estudio (FPKM, RAW, RLD y cytolytic score).</w:t>
      </w:r>
    </w:p>
    <w:p>
      <w:pPr>
        <w:pStyle w:val="Heading2"/>
      </w:pPr>
      <w:r>
        <w:t>2. Selección de la matriz de expresión</w:t>
      </w:r>
    </w:p>
    <w:p>
      <w:r>
        <w:t>Se seleccionó la matriz GSE91061_BMS038109Sample.hg19KnownGene.rld.csv.gz,</w:t>
        <w:br/>
        <w:t>que contiene datos normalizados mediante transformación RLD.</w:t>
        <w:br/>
        <w:t>Esta matriz es adecuada para análisis de expresión diferencial, PCA, clustering,</w:t>
        <w:br/>
        <w:t>modelos predictivos e integración con otros datasets.</w:t>
        <w:br/>
        <w:br/>
        <w:t>La matriz se organizó en formato genes × muestras.</w:t>
      </w:r>
    </w:p>
    <w:p>
      <w:pPr>
        <w:pStyle w:val="Heading2"/>
      </w:pPr>
      <w:r>
        <w:t>3. Obtención de metadatos clínicos</w:t>
      </w:r>
    </w:p>
    <w:p>
      <w:r>
        <w:t>Los metadatos se descargaron usando GEOquery.</w:t>
        <w:br/>
        <w:t>Se extrajeron variables clínicas relevantes:</w:t>
        <w:br/>
        <w:br/>
        <w:t>- title → identificador de muestra</w:t>
        <w:br/>
        <w:t>- response → respuesta a inmunoterapia</w:t>
        <w:br/>
        <w:t>- visit (pre or on treatment) → baseline vs on-treatment</w:t>
        <w:br/>
        <w:br/>
        <w:t>Estas variables permiten identificar respondedores y seleccionar muestras pretratamiento.</w:t>
      </w:r>
    </w:p>
    <w:p>
      <w:pPr>
        <w:pStyle w:val="Heading2"/>
      </w:pPr>
      <w:r>
        <w:t>4. Definición de respondedores vs no respondedores</w:t>
      </w:r>
    </w:p>
    <w:p>
      <w:r>
        <w:t>Se definió la variable response_binary:</w:t>
        <w:br/>
        <w:br/>
        <w:t>CR y PR → Respondedor</w:t>
        <w:br/>
        <w:t>SD y PD → No respondedor</w:t>
        <w:br/>
        <w:br/>
        <w:t>Esta variable se utilizará en los modelos predictivos de respuesta a inmunoterapia.</w:t>
      </w:r>
    </w:p>
    <w:p>
      <w:pPr>
        <w:pStyle w:val="Heading2"/>
      </w:pPr>
      <w:r>
        <w:t>5. Selección de muestras pretratamiento</w:t>
      </w:r>
    </w:p>
    <w:p>
      <w:r>
        <w:t>Se filtraron únicamente las muestras baseline (pretratamiento),</w:t>
        <w:br/>
        <w:t>ya que las muestras on-treatment están influenciadas por la terapia y no deben</w:t>
        <w:br/>
        <w:t>usarse para predicción.</w:t>
        <w:br/>
        <w:br/>
        <w:t>El dataset final contiene aproximadamente 51 muestras baseline.</w:t>
      </w:r>
    </w:p>
    <w:p>
      <w:pPr>
        <w:pStyle w:val="Heading2"/>
      </w:pPr>
      <w:r>
        <w:t>6. Alineamiento entre expresión y metadatos</w:t>
      </w:r>
    </w:p>
    <w:p>
      <w:r>
        <w:t>Se verificó que las columnas de la matriz de expresión coincidieran</w:t>
        <w:br/>
        <w:t>exactamente con las filas de los metadatos.</w:t>
        <w:br/>
        <w:br/>
        <w:t>Esto garantiza que cada muestra tenga su información clínica correcta</w:t>
        <w:br/>
        <w:t>y evita errores en análisis posteriores.</w:t>
      </w:r>
    </w:p>
    <w:p>
      <w:pPr>
        <w:pStyle w:val="Heading2"/>
      </w:pPr>
      <w:r>
        <w:t>7. Construcción del objeto SummarizedExperiment</w:t>
      </w:r>
    </w:p>
    <w:p>
      <w:r>
        <w:t>Se construyó un objeto SummarizedExperiment que integra:</w:t>
        <w:br/>
        <w:br/>
        <w:t>- Matriz de expresión génica</w:t>
        <w:br/>
        <w:t>- Metadatos de muestras</w:t>
        <w:br/>
        <w:t>- Información de genes</w:t>
        <w:br/>
        <w:t>- Información del procesamiento</w:t>
        <w:br/>
        <w:br/>
        <w:t>Este contenedor permite integrar datasets y aplicar análisis de forma reproducible.</w:t>
      </w:r>
    </w:p>
    <w:p>
      <w:pPr>
        <w:pStyle w:val="Heading2"/>
      </w:pPr>
      <w:r>
        <w:t>8. Guardado del objeto final</w:t>
      </w:r>
    </w:p>
    <w:p>
      <w:r>
        <w:t>El objeto final se guardó como:</w:t>
        <w:br/>
        <w:t>SummarizedExperiment_objects/se_gse91061.rds</w:t>
        <w:br/>
        <w:br/>
        <w:t>Este archivo será utilizado en integración de datasets, análisis diferencial,</w:t>
        <w:br/>
        <w:t>modelos predictivos y validación.</w:t>
      </w:r>
    </w:p>
    <w:p>
      <w:pPr>
        <w:pStyle w:val="Heading2"/>
      </w:pPr>
      <w:r>
        <w:t>9. Resultado final del procesamiento</w:t>
      </w:r>
    </w:p>
    <w:p>
      <w:r>
        <w:t>Dataset final GSE91061:</w:t>
        <w:br/>
        <w:br/>
        <w:t>Tipo de datos: RNA-seq</w:t>
        <w:br/>
        <w:t>Genes: ~22,000</w:t>
        <w:br/>
        <w:t>Muestras baseline: ~51</w:t>
        <w:br/>
        <w:t>Variable respuesta: Sí</w:t>
        <w:br/>
        <w:t>SummarizedExperiment: Sí</w:t>
        <w:br/>
        <w:t>Dataset listo para integración: Sí</w:t>
      </w:r>
    </w:p>
    <w:p>
      <w:pPr>
        <w:pStyle w:val="Heading2"/>
      </w:pPr>
      <w:r>
        <w:t>10. Pipeline general del estudio</w:t>
      </w:r>
    </w:p>
    <w:p>
      <w:r>
        <w:t>Pipeline del estudio:</w:t>
        <w:br/>
        <w:br/>
        <w:t>1. Descarga de datasets GEO</w:t>
        <w:br/>
        <w:t>2. Procesamiento individual de cada dataset</w:t>
        <w:br/>
        <w:t>3. Selección de muestras baseline</w:t>
        <w:br/>
        <w:t>4. Clasificación respondedores vs no respondedores</w:t>
        <w:br/>
        <w:t>5. Construcción de objetos SummarizedExperiment</w:t>
        <w:br/>
        <w:t>6. Integración de datasets</w:t>
        <w:br/>
        <w:t>7. Corrección de batch effect</w:t>
        <w:br/>
        <w:t>8. Expresión diferencial</w:t>
        <w:br/>
        <w:t>9. Selección de genes</w:t>
        <w:br/>
        <w:t>10. Construcción de modelo predictivo</w:t>
        <w:br/>
        <w:t>11. Validación del modelo</w:t>
        <w:br/>
        <w:t>12. Interpretación biológica</w:t>
        <w:br/>
        <w:t>13. Construcción de firma transcriptómica predictiva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