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FIX #25 REPORT — EXPENSE / INVENTORY SEPARATION</w:t>
      </w:r>
    </w:p>
    <w:p>
      <w:r>
        <w:rPr>
          <w:b/>
        </w:rPr>
        <w:t>STATUS: PASS</w:t>
      </w:r>
    </w:p>
    <w:p>
      <w:r>
        <w:t>**DATE:** 2026-09-11</w:t>
      </w:r>
    </w:p>
    <w:p>
      <w:r>
        <w:t>**BRANCH:** `cursor/data-integrity-consolidated-b6e7`</w:t>
      </w:r>
    </w:p>
    <w:p>
      <w:r>
        <w:t>**Formal deliverable:** `docs/PHASE-1-FIX-25-EXPENSE-INVENTORY-SEPARATION.docx`</w:t>
      </w:r>
    </w:p>
    <w:p>
      <w:r>
        <w:t>---</w:t>
      </w:r>
    </w:p>
    <w:p>
      <w:pPr>
        <w:pStyle w:val="Heading2"/>
      </w:pPr>
      <w:r>
        <w:t>1. Finding</w:t>
      </w:r>
    </w:p>
    <w:p>
      <w:r>
        <w:t>When recording accessory sales and operating expenses, inventory/accessory valuation appeared to decrease by the expense amount. Operating expenses (e.g. WiFi) must not reduce stock quantity, movement-derived inventory value, or product cost basis.</w:t>
      </w:r>
    </w:p>
    <w:p>
      <w:pPr>
        <w:pStyle w:val="Heading2"/>
      </w:pPr>
      <w:r>
        <w:t>2. Reproduction</w:t>
      </w:r>
    </w:p>
    <w:p>
      <w:r>
        <w:t>Controlled fixture:</w:t>
      </w:r>
    </w:p>
    <w:p>
      <w:r>
        <w:t>1. Create product with initial stock 10 × UGX 10,000 = UGX 100,000 inventory.</w:t>
      </w:r>
    </w:p>
    <w:p>
      <w:r>
        <w:t>2. Purchase +5 units → inventory UGX 150,000.</w:t>
      </w:r>
    </w:p>
    <w:p>
      <w:r>
        <w:t>3. Sell 2 units → inventory UGX 130,000 (movement-driven).</w:t>
      </w:r>
    </w:p>
    <w:p>
      <w:r>
        <w:t>4. Record operating expense UGX 10,000.</w:t>
      </w:r>
    </w:p>
    <w:p>
      <w:r>
        <w:t>5. **Observed (before fix):** dashboard/inventory display could imply inventory dropped with expenses.</w:t>
      </w:r>
    </w:p>
    <w:p>
      <w:r>
        <w:t>6. **Expected:** inventory remains UGX 130,000; expense total increases by UGX 10,000; net cash/profit may reflect expense separately.</w:t>
      </w:r>
    </w:p>
    <w:p>
      <w:pPr>
        <w:pStyle w:val="Heading2"/>
      </w:pPr>
      <w:r>
        <w:t>3. Root Cause</w:t>
      </w:r>
    </w:p>
    <w:p>
      <w:r>
        <w:t>**Expenses service does not mutate stock.** Audited `lib/server/services/expenses-service.ts` — no stock movement or product updates.</w:t>
      </w:r>
    </w:p>
    <w:p>
      <w:r>
        <w:rPr>
          <w:b/>
        </w:rPr>
        <w:t>Display/calculation conflation:</w:t>
      </w:r>
    </w:p>
    <w:p>
      <w:pPr>
        <w:pStyle w:val="ListBullet"/>
      </w:pPr>
      <w:r>
        <w:t>Stock dashboard metrics used global `product.currentStock × buyingPrice` without branch movement scoping.</w:t>
      </w:r>
    </w:p>
    <w:p>
      <w:pPr>
        <w:pStyle w:val="ListBullet"/>
      </w:pPr>
      <w:r>
        <w:t>Cash/net displays correctly subtract expenses from cash flow, but inventory widgets could be misread as movement-derived when they were not consistently branch/movement authoritative.</w:t>
      </w:r>
    </w:p>
    <w:p>
      <w:pPr>
        <w:pStyle w:val="ListBullet"/>
      </w:pPr>
      <w:r>
        <w:t>No single authoritative helper separated inventory valuation from operating expense totals.</w:t>
      </w:r>
    </w:p>
    <w:p>
      <w:pPr>
        <w:pStyle w:val="Heading2"/>
      </w:pPr>
      <w:r>
        <w:t>4. Affected Files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`lib/inventory/valuation.ts` | **NEW** — `computeAuthoritativeBranchInventoryValue` (movements only, excludes expenses) |</w:t>
      </w:r>
    </w:p>
    <w:p>
      <w:pPr>
        <w:pStyle w:val="IntenseQuote"/>
      </w:pPr>
      <w:r>
        <w:t>| `lib/stock/calculations.ts` | `computeDashboardMetrics` accepts optional branch; uses movement-based valuation when branch provided |</w:t>
      </w:r>
    </w:p>
    <w:p>
      <w:pPr>
        <w:pStyle w:val="IntenseQuote"/>
      </w:pPr>
      <w:r>
        <w:t>| `context/stock-context.tsx` | Passes `activeBranch` into dashboard metrics |</w:t>
      </w:r>
    </w:p>
    <w:p>
      <w:pPr>
        <w:pStyle w:val="IntenseQuote"/>
      </w:pPr>
      <w:r>
        <w:t>| `scripts/verify-expense-inventory-separation.ts` | New certification script (13 checks) |</w:t>
      </w:r>
    </w:p>
    <w:p>
      <w:pPr>
        <w:pStyle w:val="IntenseQuote"/>
      </w:pPr>
      <w:r>
        <w:t>| `package.json` | Added `verify:expense-inventory-separation` |</w:t>
      </w:r>
    </w:p>
    <w:p>
      <w:pPr>
        <w:pStyle w:val="Heading2"/>
      </w:pPr>
      <w:r>
        <w:t>5. Fix</w:t>
      </w:r>
    </w:p>
    <w:p>
      <w:pPr>
        <w:pStyle w:val="ListBullet"/>
      </w:pPr>
      <w:r>
        <w:t>Introduced authoritative branch inventory valuation derived exclusively from products + stock movements.</w:t>
      </w:r>
    </w:p>
    <w:p>
      <w:pPr>
        <w:pStyle w:val="ListBullet"/>
      </w:pPr>
      <w:r>
        <w:t>Stock context dashboard metrics now use branch-scoped movement-based valuation.</w:t>
      </w:r>
    </w:p>
    <w:p>
      <w:pPr>
        <w:pStyle w:val="ListBullet"/>
      </w:pPr>
      <w:r>
        <w:t>Operating expenses continue to affect cash/profit calculations only through expense aggregation paths.</w:t>
      </w:r>
    </w:p>
    <w:p>
      <w:pPr>
        <w:pStyle w:val="Heading2"/>
      </w:pPr>
      <w:r>
        <w:t>6. Invariant</w:t>
      </w:r>
    </w:p>
    <w:p>
      <w:r>
        <w:t>```</w:t>
      </w:r>
    </w:p>
    <w:p>
      <w:r>
        <w:t>INVENTORY VALUE = f(stock movements, product buying prices) — NOT expenses</w:t>
      </w:r>
    </w:p>
    <w:p>
      <w:r>
        <w:t>OPERATING EXPENSE = cash outflow / P&amp;L expense — does NOT mutate inventory</w:t>
      </w:r>
    </w:p>
    <w:p>
      <w:r>
        <w:t>NET CASH may = REVENUE - EXPENSES (correct)</w:t>
      </w:r>
    </w:p>
    <w:p>
      <w:r>
        <w:t>INVENTORY VALUE ≠ REVENUE - EXPENSES (must never be conflated)</w:t>
      </w:r>
    </w:p>
    <w:p>
      <w:r>
        <w:t>```</w:t>
      </w:r>
    </w:p>
    <w:p>
      <w:r>
        <w:t>Cross-branch isolation preserved: Kansanga expenses cannot alter Salaama inventory.</w:t>
      </w:r>
    </w:p>
    <w:p>
      <w:pPr>
        <w:pStyle w:val="Heading2"/>
      </w:pPr>
      <w:r>
        <w:t>7. Test Design</w:t>
      </w:r>
    </w:p>
    <w:p>
      <w:r>
        <w:t>`scripts/verify-expense-inventory-separation.ts`:</w:t>
      </w:r>
    </w:p>
    <w:p>
      <w:r>
        <w:t>1. Static — expense service has no stock mutations; valuation helper excludes expenses.</w:t>
      </w:r>
    </w:p>
    <w:p>
      <w:r>
        <w:t>2. Create product, purchase, sale — inventory changes only via movements.</w:t>
      </w:r>
    </w:p>
    <w:p>
      <w:r>
        <w:t>3. Record operating expense — inventory unchanged.</w:t>
      </w:r>
    </w:p>
    <w:p>
      <w:r>
        <w:t>4. Expense totals increase independently.</w:t>
      </w:r>
    </w:p>
    <w:p>
      <w:r>
        <w:t>5. Operating expense calc ≠ inventory value.</w:t>
      </w:r>
    </w:p>
    <w:p>
      <w:r>
        <w:t>6. Cross-branch expense does not change other branch inventory.</w:t>
      </w:r>
    </w:p>
    <w:p>
      <w:r>
        <w:t>7. Soft-delete expense does not mutate inventory.</w:t>
      </w:r>
    </w:p>
    <w:p>
      <w:r>
        <w:t>8. Product stock remains movement-driven.</w:t>
      </w:r>
    </w:p>
    <w:p>
      <w:r>
        <w:t>Uses staff client for operational writes (sales/expenses); owner for catalog/purchases.</w:t>
      </w:r>
    </w:p>
    <w:p>
      <w:pPr>
        <w:pStyle w:val="Heading2"/>
      </w:pPr>
      <w:r>
        <w:t>8. Test Results</w:t>
      </w:r>
    </w:p>
    <w:p>
      <w:r>
        <w:t>```</w:t>
      </w:r>
    </w:p>
    <w:p>
      <w:r>
        <w:t>npm run verify:expense-inventory-separation → 13/13 PASS</w:t>
      </w:r>
    </w:p>
    <w:p>
      <w:r>
        <w:t>npm run verify:financial-assertions           → 17/17 PASS</w:t>
      </w:r>
    </w:p>
    <w:p>
      <w:r>
        <w:t>npm run verify:financial-defaults             → 14/14 PASS</w:t>
      </w:r>
    </w:p>
    <w:p>
      <w:r>
        <w:t>npm run verify:reports                        → 6/6 PASS</w:t>
      </w:r>
    </w:p>
    <w:p>
      <w:r>
        <w:t>npm run verify:reports-server-authority       → 16/16 PASS</w:t>
      </w:r>
    </w:p>
    <w:p>
      <w:r>
        <w:t>```</w:t>
      </w:r>
    </w:p>
    <w:p>
      <w:pPr>
        <w:pStyle w:val="Heading2"/>
      </w:pPr>
      <w:r>
        <w:t>9. Branch Safety</w:t>
      </w:r>
    </w:p>
    <w:p>
      <w:r>
        <w:t>Inventory valuation scoped per branch via `computeInventoryValueByBranch`. Cross-branch expense test confirms Salaama inventory unchanged when Kansanga expense recorded.</w:t>
      </w:r>
    </w:p>
    <w:p>
      <w:pPr>
        <w:pStyle w:val="Heading2"/>
      </w:pPr>
      <w:r>
        <w:t>10. Transaction Safety</w:t>
      </w:r>
    </w:p>
    <w:p>
      <w:r>
        <w:t>Inventory mutations (purchases, sales) remain in existing Prisma transactions. Expense writes unchanged. No long-running network inside transactions.</w:t>
      </w:r>
    </w:p>
    <w:p>
      <w:pPr>
        <w:pStyle w:val="Heading2"/>
      </w:pPr>
      <w:r>
        <w:t>11. Schema Impact</w:t>
      </w:r>
    </w:p>
    <w:p>
      <w:r>
        <w:t>**NONE** — separation enforced at calculation/display layer; no Prisma migration required.</w:t>
      </w:r>
    </w:p>
    <w:p>
      <w:pPr>
        <w:pStyle w:val="Heading2"/>
      </w:pPr>
      <w:r>
        <w:t>12. Production Impact</w:t>
      </w:r>
    </w:p>
    <w:p>
      <w:r>
        <w:t>**NOT TOUCHED** — local/disposable PostgreSQL fixtures only.</w:t>
      </w:r>
    </w:p>
    <w:p>
      <w:pPr>
        <w:pStyle w:val="Heading2"/>
      </w:pPr>
      <w:r>
        <w:t>13. Regression Results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`verify:expense-inventory-separation` | PASS |</w:t>
      </w:r>
    </w:p>
    <w:p>
      <w:pPr>
        <w:pStyle w:val="IntenseQuote"/>
      </w:pPr>
      <w:r>
        <w:t>| `verify:financial-assertions` | PASS |</w:t>
      </w:r>
    </w:p>
    <w:p>
      <w:pPr>
        <w:pStyle w:val="IntenseQuote"/>
      </w:pPr>
      <w:r>
        <w:t>| `verify:financial-defaults` | PASS |</w:t>
      </w:r>
    </w:p>
    <w:p>
      <w:pPr>
        <w:pStyle w:val="IntenseQuote"/>
      </w:pPr>
      <w:r>
        <w:t>| `verify:reports` | PASS |</w:t>
      </w:r>
    </w:p>
    <w:p>
      <w:pPr>
        <w:pStyle w:val="IntenseQuote"/>
      </w:pPr>
      <w:r>
        <w:t>| `verify:reports-server-authority` | PASS |</w:t>
      </w:r>
    </w:p>
    <w:p>
      <w:pPr>
        <w:pStyle w:val="IntenseQuote"/>
      </w:pPr>
      <w:r>
        <w:t>| `verify:branch-authorization` | PASS |</w:t>
      </w:r>
    </w:p>
    <w:p>
      <w:pPr>
        <w:pStyle w:val="IntenseQuote"/>
      </w:pPr>
      <w:r>
        <w:t>| `npx tsc --noEmit` | PASS |</w:t>
      </w:r>
    </w:p>
    <w:p>
      <w:pPr>
        <w:pStyle w:val="IntenseQuote"/>
      </w:pPr>
      <w:r>
        <w:t>| `npm run build` | FAIL — PRE-EXISTING `_global-error` prerender |</w:t>
      </w:r>
    </w:p>
    <w:p>
      <w:pPr>
        <w:pStyle w:val="IntenseQuote"/>
      </w:pPr>
      <w:r>
        <w:t>| `npm run lint` | FAIL — PRE-EXISTING repo-wide lint debt (45 errors) |</w:t>
      </w:r>
    </w:p>
    <w:p>
      <w:pPr>
        <w:pStyle w:val="Heading2"/>
      </w:pPr>
      <w:r>
        <w:t>14. Final Result</w:t>
      </w:r>
    </w:p>
    <w:p>
      <w:r>
        <w:rPr>
          <w:b/>
        </w:rPr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