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5CFFC" w14:textId="77777777" w:rsidR="00AD3602" w:rsidRPr="00146705" w:rsidRDefault="00AD3602" w:rsidP="00AD3602">
      <w:pPr>
        <w:jc w:val="center"/>
        <w:rPr>
          <w:lang w:val="pl-PL"/>
        </w:rPr>
      </w:pPr>
      <w:r w:rsidRPr="00146705">
        <w:rPr>
          <w:b/>
          <w:sz w:val="32"/>
          <w:lang w:val="pl-PL"/>
        </w:rPr>
        <w:t>Analiza rynku motocyklowego na podstawie ogłoszeń sprzedaży - eksploracja danych z serwisu ogłoszeniowego.</w:t>
      </w:r>
    </w:p>
    <w:p w14:paraId="43455F92" w14:textId="74F3D42B" w:rsidR="001C2C9E" w:rsidRPr="00146705" w:rsidRDefault="00AD3602" w:rsidP="00AD3602">
      <w:pPr>
        <w:jc w:val="center"/>
        <w:rPr>
          <w:lang w:val="pl-PL"/>
        </w:rPr>
      </w:pPr>
      <w:r w:rsidRPr="00146705">
        <w:rPr>
          <w:lang w:val="pl-PL"/>
        </w:rPr>
        <w:t>Mateusz Majcher 279391, Kamil Wierzbicki 279392</w:t>
      </w:r>
    </w:p>
    <w:p w14:paraId="39BFD6DE" w14:textId="77777777" w:rsidR="001C2C9E" w:rsidRPr="00146705" w:rsidRDefault="001C2C9E">
      <w:pPr>
        <w:rPr>
          <w:lang w:val="pl-PL"/>
        </w:rPr>
      </w:pPr>
    </w:p>
    <w:p w14:paraId="776A0823" w14:textId="77777777" w:rsidR="001C2C9E" w:rsidRPr="00146705" w:rsidRDefault="00000000">
      <w:pPr>
        <w:rPr>
          <w:lang w:val="pl-PL"/>
        </w:rPr>
      </w:pPr>
      <w:r w:rsidRPr="00146705">
        <w:rPr>
          <w:lang w:val="pl-PL"/>
        </w:rPr>
        <w:br w:type="page"/>
      </w:r>
    </w:p>
    <w:p w14:paraId="5B5D885C" w14:textId="77777777" w:rsidR="00AD3602" w:rsidRPr="00146705" w:rsidRDefault="00AD3602">
      <w:pPr>
        <w:pStyle w:val="Nagwek1"/>
        <w:rPr>
          <w:lang w:val="pl-PL"/>
        </w:rPr>
        <w:sectPr w:rsidR="00AD3602" w:rsidRPr="00146705" w:rsidSect="00034616">
          <w:footerReference w:type="default" r:id="rId8"/>
          <w:pgSz w:w="12240" w:h="15840"/>
          <w:pgMar w:top="1417" w:right="1417" w:bottom="1417" w:left="1417" w:header="720" w:footer="720" w:gutter="0"/>
          <w:cols w:space="720"/>
          <w:docGrid w:linePitch="360"/>
        </w:sectPr>
      </w:pPr>
    </w:p>
    <w:p w14:paraId="17581D79" w14:textId="77777777" w:rsidR="001C2C9E" w:rsidRPr="00146705" w:rsidRDefault="00000000">
      <w:pPr>
        <w:pStyle w:val="Nagwek1"/>
        <w:rPr>
          <w:lang w:val="pl-PL"/>
        </w:rPr>
      </w:pPr>
      <w:r w:rsidRPr="00146705">
        <w:rPr>
          <w:lang w:val="pl-PL"/>
        </w:rPr>
        <w:lastRenderedPageBreak/>
        <w:t>1. Cel i zakres projektu</w:t>
      </w:r>
    </w:p>
    <w:p w14:paraId="2A6F74B0" w14:textId="69894810" w:rsidR="001C2C9E" w:rsidRPr="00146705" w:rsidRDefault="00000000">
      <w:pPr>
        <w:rPr>
          <w:lang w:val="pl-PL"/>
        </w:rPr>
      </w:pPr>
      <w:r w:rsidRPr="00146705">
        <w:rPr>
          <w:lang w:val="pl-PL"/>
        </w:rPr>
        <w:t xml:space="preserve">Projekt dotyczy </w:t>
      </w:r>
      <w:r w:rsidR="00CD325C" w:rsidRPr="00146705">
        <w:rPr>
          <w:lang w:val="pl-PL"/>
        </w:rPr>
        <w:t>analizy</w:t>
      </w:r>
      <w:r w:rsidRPr="00146705">
        <w:rPr>
          <w:lang w:val="pl-PL"/>
        </w:rPr>
        <w:t xml:space="preserve"> danych rynku wtórnego motocykli</w:t>
      </w:r>
      <w:r w:rsidR="00CD325C" w:rsidRPr="00146705">
        <w:rPr>
          <w:lang w:val="pl-PL"/>
        </w:rPr>
        <w:t xml:space="preserve"> </w:t>
      </w:r>
      <w:r w:rsidR="00146705" w:rsidRPr="00146705">
        <w:rPr>
          <w:lang w:val="pl-PL"/>
        </w:rPr>
        <w:t>i</w:t>
      </w:r>
      <w:r w:rsidR="00CD325C" w:rsidRPr="00146705">
        <w:rPr>
          <w:lang w:val="pl-PL"/>
        </w:rPr>
        <w:t xml:space="preserve"> </w:t>
      </w:r>
      <w:r w:rsidRPr="00146705">
        <w:rPr>
          <w:lang w:val="pl-PL"/>
        </w:rPr>
        <w:t xml:space="preserve">quadów dostępnych </w:t>
      </w:r>
      <w:r w:rsidR="00CD325C" w:rsidRPr="00146705">
        <w:rPr>
          <w:lang w:val="pl-PL"/>
        </w:rPr>
        <w:t>na</w:t>
      </w:r>
      <w:r w:rsidRPr="00146705">
        <w:rPr>
          <w:lang w:val="pl-PL"/>
        </w:rPr>
        <w:t xml:space="preserve"> polski</w:t>
      </w:r>
      <w:r w:rsidR="00CD325C" w:rsidRPr="00146705">
        <w:rPr>
          <w:lang w:val="pl-PL"/>
        </w:rPr>
        <w:t>ej stronie z</w:t>
      </w:r>
      <w:r w:rsidRPr="00146705">
        <w:rPr>
          <w:lang w:val="pl-PL"/>
        </w:rPr>
        <w:t xml:space="preserve"> ogłoszenia</w:t>
      </w:r>
      <w:r w:rsidR="00CD325C" w:rsidRPr="00146705">
        <w:rPr>
          <w:lang w:val="pl-PL"/>
        </w:rPr>
        <w:t>mi motoryzacyjnymi www.otomoto.pl</w:t>
      </w:r>
      <w:r w:rsidRPr="00146705">
        <w:rPr>
          <w:lang w:val="pl-PL"/>
        </w:rPr>
        <w:t xml:space="preserve"> </w:t>
      </w:r>
    </w:p>
    <w:p w14:paraId="10DC5397" w14:textId="77777777" w:rsidR="001C2C9E" w:rsidRPr="00146705" w:rsidRDefault="00000000">
      <w:pPr>
        <w:rPr>
          <w:lang w:val="pl-PL"/>
        </w:rPr>
      </w:pPr>
      <w:r w:rsidRPr="00146705">
        <w:rPr>
          <w:lang w:val="pl-PL"/>
        </w:rPr>
        <w:t>Główne pytania badawcze, na które odpowiada analiza, to:</w:t>
      </w:r>
    </w:p>
    <w:p w14:paraId="6F7F7E8D" w14:textId="77777777" w:rsidR="001C2C9E" w:rsidRPr="00146705" w:rsidRDefault="00000000">
      <w:pPr>
        <w:pStyle w:val="Listapunktowana"/>
        <w:rPr>
          <w:lang w:val="pl-PL"/>
        </w:rPr>
      </w:pPr>
      <w:r w:rsidRPr="00146705">
        <w:rPr>
          <w:lang w:val="pl-PL"/>
        </w:rPr>
        <w:t>Jaka jest struktura rynku pod względem marek, modeli i typów pojazdów?</w:t>
      </w:r>
    </w:p>
    <w:p w14:paraId="0926D7FE" w14:textId="77777777" w:rsidR="001C2C9E" w:rsidRPr="00146705" w:rsidRDefault="00000000">
      <w:pPr>
        <w:pStyle w:val="Listapunktowana"/>
        <w:rPr>
          <w:lang w:val="pl-PL"/>
        </w:rPr>
      </w:pPr>
      <w:r w:rsidRPr="00146705">
        <w:rPr>
          <w:lang w:val="pl-PL"/>
        </w:rPr>
        <w:t>Jak rozkładają się ceny i przebiegi w całym zbiorze oraz w obrębie poszczególnych producentów?</w:t>
      </w:r>
    </w:p>
    <w:p w14:paraId="3238ECFD" w14:textId="77777777" w:rsidR="001C2C9E" w:rsidRPr="00146705" w:rsidRDefault="00000000">
      <w:pPr>
        <w:pStyle w:val="Listapunktowana"/>
        <w:rPr>
          <w:lang w:val="pl-PL"/>
        </w:rPr>
      </w:pPr>
      <w:r w:rsidRPr="00146705">
        <w:rPr>
          <w:lang w:val="pl-PL"/>
        </w:rPr>
        <w:t>W jaki sposób cena zależy od roku produkcji i przebiegu?</w:t>
      </w:r>
    </w:p>
    <w:p w14:paraId="4CE864D9" w14:textId="77777777" w:rsidR="001C2C9E" w:rsidRPr="00146705" w:rsidRDefault="00000000">
      <w:pPr>
        <w:pStyle w:val="Listapunktowana"/>
        <w:rPr>
          <w:lang w:val="pl-PL"/>
        </w:rPr>
      </w:pPr>
      <w:r w:rsidRPr="00146705">
        <w:rPr>
          <w:lang w:val="pl-PL"/>
        </w:rPr>
        <w:t>Które marki szybciej tracą wartość i które są intensywniej eksploatowane?</w:t>
      </w:r>
    </w:p>
    <w:p w14:paraId="0A71C8DA" w14:textId="77777777" w:rsidR="001C2C9E" w:rsidRPr="00146705" w:rsidRDefault="00000000">
      <w:pPr>
        <w:pStyle w:val="Listapunktowana"/>
        <w:rPr>
          <w:lang w:val="pl-PL"/>
        </w:rPr>
      </w:pPr>
      <w:r w:rsidRPr="00146705">
        <w:rPr>
          <w:lang w:val="pl-PL"/>
        </w:rPr>
        <w:t>Czy da się wyróżnić grupy marek o podobnym profilu ekonomicznym?</w:t>
      </w:r>
    </w:p>
    <w:p w14:paraId="4A331BE0" w14:textId="77777777" w:rsidR="001C2C9E" w:rsidRPr="00146705" w:rsidRDefault="00000000">
      <w:pPr>
        <w:pStyle w:val="Listapunktowana"/>
        <w:rPr>
          <w:lang w:val="pl-PL"/>
        </w:rPr>
      </w:pPr>
      <w:r w:rsidRPr="00146705">
        <w:rPr>
          <w:lang w:val="pl-PL"/>
        </w:rPr>
        <w:t>Które ogłoszenia wyróżniają się ceną i przebiegiem na tle podobnych ofert?</w:t>
      </w:r>
    </w:p>
    <w:p w14:paraId="25C1418F" w14:textId="77777777" w:rsidR="001C2C9E" w:rsidRPr="00146705" w:rsidRDefault="00000000">
      <w:pPr>
        <w:pStyle w:val="Nagwek1"/>
        <w:rPr>
          <w:lang w:val="pl-PL"/>
        </w:rPr>
      </w:pPr>
      <w:r w:rsidRPr="00146705">
        <w:rPr>
          <w:lang w:val="pl-PL"/>
        </w:rPr>
        <w:t>2. Wymagania zadania projektowego</w:t>
      </w:r>
    </w:p>
    <w:p w14:paraId="01FCD4FC" w14:textId="77777777" w:rsidR="001C2C9E" w:rsidRPr="00146705" w:rsidRDefault="00000000">
      <w:pPr>
        <w:rPr>
          <w:lang w:val="pl-PL"/>
        </w:rPr>
      </w:pPr>
      <w:r w:rsidRPr="00146705">
        <w:rPr>
          <w:lang w:val="pl-PL"/>
        </w:rPr>
        <w:t>Projekt został zaprojektowany tak, aby spełnić wymagania typowe dla zadań z eksploracji danych:</w:t>
      </w:r>
    </w:p>
    <w:p w14:paraId="5B836657" w14:textId="77777777" w:rsidR="001C2C9E" w:rsidRPr="00146705" w:rsidRDefault="00000000">
      <w:pPr>
        <w:pStyle w:val="Listapunktowana"/>
        <w:rPr>
          <w:lang w:val="pl-PL"/>
        </w:rPr>
      </w:pPr>
      <w:r w:rsidRPr="00146705">
        <w:rPr>
          <w:lang w:val="pl-PL"/>
        </w:rPr>
        <w:t>Pobranie danych z zewnętrznego źródła — wykorzystano web scraping (Playwright) zamiast oficjalnego API.</w:t>
      </w:r>
    </w:p>
    <w:p w14:paraId="5AFA0A8C" w14:textId="77777777" w:rsidR="001C2C9E" w:rsidRPr="00146705" w:rsidRDefault="00000000">
      <w:pPr>
        <w:pStyle w:val="Listapunktowana"/>
        <w:rPr>
          <w:lang w:val="pl-PL"/>
        </w:rPr>
      </w:pPr>
      <w:r w:rsidRPr="00146705">
        <w:rPr>
          <w:lang w:val="pl-PL"/>
        </w:rPr>
        <w:t>Wybór dziedziny analizy — rynek motocykli używanych w Polsce.</w:t>
      </w:r>
    </w:p>
    <w:p w14:paraId="45737FC4" w14:textId="77777777" w:rsidR="001C2C9E" w:rsidRPr="00146705" w:rsidRDefault="00000000">
      <w:pPr>
        <w:pStyle w:val="Listapunktowana"/>
        <w:rPr>
          <w:lang w:val="pl-PL"/>
        </w:rPr>
      </w:pPr>
      <w:r w:rsidRPr="00146705">
        <w:rPr>
          <w:lang w:val="pl-PL"/>
        </w:rPr>
        <w:t>Czyszczenie danych — normalizacja, usuwanie duplikatów, rekordów niekompletnych i wartości odstających.</w:t>
      </w:r>
    </w:p>
    <w:p w14:paraId="7AF9530C" w14:textId="77777777" w:rsidR="001C2C9E" w:rsidRPr="00146705" w:rsidRDefault="00000000">
      <w:pPr>
        <w:pStyle w:val="Listapunktowana"/>
        <w:rPr>
          <w:lang w:val="pl-PL"/>
        </w:rPr>
      </w:pPr>
      <w:r w:rsidRPr="00146705">
        <w:rPr>
          <w:lang w:val="pl-PL"/>
        </w:rPr>
        <w:t>Analiza danych — statystyki opisowe, regresja, klasteryzacja, wizualizacje oraz wyszukiwanie okazji.</w:t>
      </w:r>
    </w:p>
    <w:p w14:paraId="2CDD93FC" w14:textId="77777777" w:rsidR="00FD3E45" w:rsidRDefault="00FD3E45">
      <w:pPr>
        <w:rPr>
          <w:rFonts w:asciiTheme="majorHAnsi" w:eastAsiaTheme="majorEastAsia" w:hAnsiTheme="majorHAnsi" w:cstheme="majorBidi"/>
          <w:b/>
          <w:bCs/>
          <w:color w:val="365F91" w:themeColor="accent1" w:themeShade="BF"/>
          <w:sz w:val="28"/>
          <w:szCs w:val="28"/>
          <w:lang w:val="pl-PL"/>
        </w:rPr>
      </w:pPr>
      <w:r>
        <w:rPr>
          <w:lang w:val="pl-PL"/>
        </w:rPr>
        <w:br w:type="page"/>
      </w:r>
    </w:p>
    <w:p w14:paraId="2EC54DC8" w14:textId="06CACB15" w:rsidR="001C2C9E" w:rsidRPr="00146705" w:rsidRDefault="00000000">
      <w:pPr>
        <w:pStyle w:val="Nagwek1"/>
        <w:rPr>
          <w:lang w:val="pl-PL"/>
        </w:rPr>
      </w:pPr>
      <w:r w:rsidRPr="00146705">
        <w:rPr>
          <w:lang w:val="pl-PL"/>
        </w:rPr>
        <w:lastRenderedPageBreak/>
        <w:t>3. Źródło danych i opis rekordu</w:t>
      </w:r>
    </w:p>
    <w:p w14:paraId="6245C739" w14:textId="77777777" w:rsidR="001C2C9E" w:rsidRPr="00146705" w:rsidRDefault="00000000">
      <w:pPr>
        <w:rPr>
          <w:lang w:val="pl-PL"/>
        </w:rPr>
      </w:pPr>
      <w:r w:rsidRPr="00146705">
        <w:rPr>
          <w:lang w:val="pl-PL"/>
        </w:rPr>
        <w:t>Źródłem danych jest serwis OtoMoto.pl, kategoria motocykli i quadów. Domyślny adres startowy oraz liczba stron wyników konfigurowane są w pliku config/settings.yaml (obecnie do 25 stron listingu).</w:t>
      </w:r>
    </w:p>
    <w:p w14:paraId="29F8C02F" w14:textId="77777777" w:rsidR="001C2C9E" w:rsidRPr="00146705" w:rsidRDefault="00000000">
      <w:pPr>
        <w:rPr>
          <w:lang w:val="pl-PL"/>
        </w:rPr>
      </w:pPr>
      <w:r w:rsidRPr="00146705">
        <w:rPr>
          <w:lang w:val="pl-PL"/>
        </w:rPr>
        <w:t>Każde ogłoszenie reprezentowane jest jako jeden wiersz w tabeli. Podstawowe atrybuty wykorzystywane w analizie to:</w:t>
      </w:r>
    </w:p>
    <w:p w14:paraId="46F182D2" w14:textId="77777777" w:rsidR="001C2C9E" w:rsidRPr="00146705" w:rsidRDefault="00000000">
      <w:pPr>
        <w:pStyle w:val="Listapunktowana"/>
        <w:rPr>
          <w:lang w:val="pl-PL"/>
        </w:rPr>
      </w:pPr>
      <w:r w:rsidRPr="00146705">
        <w:rPr>
          <w:lang w:val="pl-PL"/>
        </w:rPr>
        <w:t>brand — marka motocykla</w:t>
      </w:r>
    </w:p>
    <w:p w14:paraId="3A349186" w14:textId="77777777" w:rsidR="001C2C9E" w:rsidRPr="00146705" w:rsidRDefault="00000000">
      <w:pPr>
        <w:pStyle w:val="Listapunktowana"/>
        <w:rPr>
          <w:lang w:val="pl-PL"/>
        </w:rPr>
      </w:pPr>
      <w:r w:rsidRPr="00146705">
        <w:rPr>
          <w:lang w:val="pl-PL"/>
        </w:rPr>
        <w:t>model — model</w:t>
      </w:r>
    </w:p>
    <w:p w14:paraId="0DBF965A" w14:textId="77777777" w:rsidR="001C2C9E" w:rsidRPr="00146705" w:rsidRDefault="00000000">
      <w:pPr>
        <w:pStyle w:val="Listapunktowana"/>
        <w:rPr>
          <w:lang w:val="pl-PL"/>
        </w:rPr>
      </w:pPr>
      <w:r w:rsidRPr="00146705">
        <w:rPr>
          <w:lang w:val="pl-PL"/>
        </w:rPr>
        <w:t>year — rok produkcji</w:t>
      </w:r>
    </w:p>
    <w:p w14:paraId="09F7B7EA" w14:textId="77777777" w:rsidR="001C2C9E" w:rsidRPr="00146705" w:rsidRDefault="00000000">
      <w:pPr>
        <w:pStyle w:val="Listapunktowana"/>
        <w:rPr>
          <w:lang w:val="pl-PL"/>
        </w:rPr>
      </w:pPr>
      <w:r w:rsidRPr="00146705">
        <w:rPr>
          <w:lang w:val="pl-PL"/>
        </w:rPr>
        <w:t>mileage — przebieg w kilometrach</w:t>
      </w:r>
    </w:p>
    <w:p w14:paraId="7F574ED7" w14:textId="77777777" w:rsidR="001C2C9E" w:rsidRPr="00146705" w:rsidRDefault="00000000">
      <w:pPr>
        <w:pStyle w:val="Listapunktowana"/>
        <w:rPr>
          <w:lang w:val="pl-PL"/>
        </w:rPr>
      </w:pPr>
      <w:r w:rsidRPr="00146705">
        <w:rPr>
          <w:lang w:val="pl-PL"/>
        </w:rPr>
        <w:t>price — cena ofertowa w PLN</w:t>
      </w:r>
    </w:p>
    <w:p w14:paraId="53788F35" w14:textId="77777777" w:rsidR="001C2C9E" w:rsidRPr="00146705" w:rsidRDefault="00000000">
      <w:pPr>
        <w:pStyle w:val="Listapunktowana"/>
        <w:rPr>
          <w:lang w:val="pl-PL"/>
        </w:rPr>
      </w:pPr>
      <w:r w:rsidRPr="00146705">
        <w:rPr>
          <w:lang w:val="pl-PL"/>
        </w:rPr>
        <w:t>capacity — pojemność silnika (jeśli dostępna w ogłoszeniu)</w:t>
      </w:r>
    </w:p>
    <w:p w14:paraId="531ABCE5" w14:textId="77777777" w:rsidR="001C2C9E" w:rsidRPr="00146705" w:rsidRDefault="00000000">
      <w:pPr>
        <w:pStyle w:val="Listapunktowana"/>
        <w:rPr>
          <w:lang w:val="pl-PL"/>
        </w:rPr>
      </w:pPr>
      <w:r w:rsidRPr="00146705">
        <w:rPr>
          <w:lang w:val="pl-PL"/>
        </w:rPr>
        <w:t>power — moc (jeśli dostępna)</w:t>
      </w:r>
    </w:p>
    <w:p w14:paraId="43CD7276" w14:textId="77777777" w:rsidR="001C2C9E" w:rsidRPr="00146705" w:rsidRDefault="00000000">
      <w:pPr>
        <w:pStyle w:val="Listapunktowana"/>
        <w:rPr>
          <w:lang w:val="pl-PL"/>
        </w:rPr>
      </w:pPr>
      <w:r w:rsidRPr="00146705">
        <w:rPr>
          <w:lang w:val="pl-PL"/>
        </w:rPr>
        <w:t>type — typ motocykla (np. sport, turystyczny, chopper)</w:t>
      </w:r>
    </w:p>
    <w:p w14:paraId="3BACE778" w14:textId="77777777" w:rsidR="001C2C9E" w:rsidRPr="00146705" w:rsidRDefault="00000000">
      <w:pPr>
        <w:rPr>
          <w:lang w:val="pl-PL"/>
        </w:rPr>
      </w:pPr>
      <w:r w:rsidRPr="00146705">
        <w:rPr>
          <w:lang w:val="pl-PL"/>
        </w:rPr>
        <w:t>Zebrane dane surowe zapisywane są do pliku data/raw/raw_listings.csv. Po czyszczeniu powstaje zbiór data/processed/cleaned_listings.csv, który można ponownie wczytać bez konieczności scrapingu.</w:t>
      </w:r>
    </w:p>
    <w:p w14:paraId="7338AED2" w14:textId="77777777" w:rsidR="001C2C9E" w:rsidRPr="00146705" w:rsidRDefault="00000000">
      <w:pPr>
        <w:pStyle w:val="Nagwek1"/>
        <w:rPr>
          <w:lang w:val="pl-PL"/>
        </w:rPr>
      </w:pPr>
      <w:r w:rsidRPr="00146705">
        <w:rPr>
          <w:lang w:val="pl-PL"/>
        </w:rPr>
        <w:t>4. Architektura rozwiązania</w:t>
      </w:r>
    </w:p>
    <w:p w14:paraId="6097B263" w14:textId="77777777" w:rsidR="001C2C9E" w:rsidRPr="00146705" w:rsidRDefault="00000000">
      <w:pPr>
        <w:rPr>
          <w:lang w:val="pl-PL"/>
        </w:rPr>
      </w:pPr>
      <w:r w:rsidRPr="00146705">
        <w:rPr>
          <w:lang w:val="pl-PL"/>
        </w:rPr>
        <w:t>Program podzielony jest na moduły odpowiadające kolejnym etapom przetwarzania:</w:t>
      </w:r>
    </w:p>
    <w:p w14:paraId="36A362CC" w14:textId="77777777" w:rsidR="001C2C9E" w:rsidRPr="00146705" w:rsidRDefault="00000000">
      <w:pPr>
        <w:pStyle w:val="Listapunktowana"/>
        <w:rPr>
          <w:lang w:val="pl-PL"/>
        </w:rPr>
      </w:pPr>
      <w:r w:rsidRPr="00146705">
        <w:rPr>
          <w:lang w:val="pl-PL"/>
        </w:rPr>
        <w:t>src/scraper — pobieranie danych (przeglądarka Playwright, parser HTML, crawler z paginacją)</w:t>
      </w:r>
    </w:p>
    <w:p w14:paraId="3511F5FD" w14:textId="77777777" w:rsidR="001C2C9E" w:rsidRPr="00146705" w:rsidRDefault="00000000">
      <w:pPr>
        <w:pStyle w:val="Listapunktowana"/>
        <w:rPr>
          <w:lang w:val="pl-PL"/>
        </w:rPr>
      </w:pPr>
      <w:r w:rsidRPr="00146705">
        <w:rPr>
          <w:lang w:val="pl-PL"/>
        </w:rPr>
        <w:t>src/cleaning — normalizacja marek oraz filtrowanie jakości danych</w:t>
      </w:r>
    </w:p>
    <w:p w14:paraId="0D16C880" w14:textId="77777777" w:rsidR="001C2C9E" w:rsidRPr="00146705" w:rsidRDefault="00000000">
      <w:pPr>
        <w:pStyle w:val="Listapunktowana"/>
        <w:rPr>
          <w:lang w:val="pl-PL"/>
        </w:rPr>
      </w:pPr>
      <w:r w:rsidRPr="00146705">
        <w:rPr>
          <w:lang w:val="pl-PL"/>
        </w:rPr>
        <w:t>src/analysis — statystyki, regresja, klasteryzacja, wykrywanie okazji</w:t>
      </w:r>
    </w:p>
    <w:p w14:paraId="3E1684F5" w14:textId="77777777" w:rsidR="001C2C9E" w:rsidRPr="00146705" w:rsidRDefault="00000000">
      <w:pPr>
        <w:pStyle w:val="Listapunktowana"/>
        <w:rPr>
          <w:lang w:val="pl-PL"/>
        </w:rPr>
      </w:pPr>
      <w:r w:rsidRPr="00146705">
        <w:rPr>
          <w:lang w:val="pl-PL"/>
        </w:rPr>
        <w:t>src/utils — wczytywanie konfiguracji i logowanie</w:t>
      </w:r>
    </w:p>
    <w:p w14:paraId="00F77629" w14:textId="77777777" w:rsidR="001C2C9E" w:rsidRPr="00146705" w:rsidRDefault="00000000">
      <w:pPr>
        <w:pStyle w:val="Listapunktowana"/>
        <w:rPr>
          <w:lang w:val="pl-PL"/>
        </w:rPr>
      </w:pPr>
      <w:r w:rsidRPr="00146705">
        <w:rPr>
          <w:lang w:val="pl-PL"/>
        </w:rPr>
        <w:t>src/main.py — orchestracja całego potoku (scrape → clean → analyze)</w:t>
      </w:r>
    </w:p>
    <w:p w14:paraId="307CBD7D" w14:textId="77777777" w:rsidR="001C2C9E" w:rsidRPr="00146705" w:rsidRDefault="00000000">
      <w:pPr>
        <w:rPr>
          <w:lang w:val="pl-PL"/>
        </w:rPr>
      </w:pPr>
      <w:r w:rsidRPr="00146705">
        <w:rPr>
          <w:lang w:val="pl-PL"/>
        </w:rPr>
        <w:t>Parametr pipeline.data_source w konfiguracji pozwala wybrać tryb pracy: scrape (pobierz i przeanalizuj od nowa), raw (wczytaj surowe CSV i oczyść), processed (wczytaj już oczyszczone dane i wykonaj samą analizę). Ułatwia to iteracyjną pracę nad wykresami bez wielokrotnego obciążania serwisu OtoMoto.</w:t>
      </w:r>
    </w:p>
    <w:p w14:paraId="7B212915" w14:textId="77777777" w:rsidR="00FD3E45" w:rsidRDefault="00FD3E45">
      <w:pPr>
        <w:rPr>
          <w:rFonts w:asciiTheme="majorHAnsi" w:eastAsiaTheme="majorEastAsia" w:hAnsiTheme="majorHAnsi" w:cstheme="majorBidi"/>
          <w:b/>
          <w:bCs/>
          <w:color w:val="365F91" w:themeColor="accent1" w:themeShade="BF"/>
          <w:sz w:val="28"/>
          <w:szCs w:val="28"/>
          <w:lang w:val="pl-PL"/>
        </w:rPr>
      </w:pPr>
      <w:r>
        <w:rPr>
          <w:lang w:val="pl-PL"/>
        </w:rPr>
        <w:br w:type="page"/>
      </w:r>
    </w:p>
    <w:p w14:paraId="3C7E3FE6" w14:textId="4B82FC98" w:rsidR="001C2C9E" w:rsidRPr="00146705" w:rsidRDefault="00000000">
      <w:pPr>
        <w:pStyle w:val="Nagwek1"/>
        <w:rPr>
          <w:lang w:val="pl-PL"/>
        </w:rPr>
      </w:pPr>
      <w:r w:rsidRPr="00146705">
        <w:rPr>
          <w:lang w:val="pl-PL"/>
        </w:rPr>
        <w:lastRenderedPageBreak/>
        <w:t>5. Pobieranie danych (web scraping)</w:t>
      </w:r>
    </w:p>
    <w:p w14:paraId="52663794" w14:textId="77777777" w:rsidR="001C2C9E" w:rsidRPr="00146705" w:rsidRDefault="00000000">
      <w:pPr>
        <w:rPr>
          <w:lang w:val="pl-PL"/>
        </w:rPr>
      </w:pPr>
      <w:r w:rsidRPr="00146705">
        <w:rPr>
          <w:lang w:val="pl-PL"/>
        </w:rPr>
        <w:t>Moduł OtoMotoCrawler uruchamia przeglądarkę w trybie headless, przechodzi kolejne strony wyników wyszukiwania i dla każdej strony wywołuje parser ogłoszeń. Adres URL dla strony n &gt; 1 budowany jest przez dopisanie parametru page do adresu startowego.</w:t>
      </w:r>
    </w:p>
    <w:p w14:paraId="366F02D5" w14:textId="77777777" w:rsidR="001C2C9E" w:rsidRPr="00146705" w:rsidRDefault="00000000">
      <w:pPr>
        <w:rPr>
          <w:lang w:val="pl-PL"/>
        </w:rPr>
      </w:pPr>
      <w:r w:rsidRPr="00146705">
        <w:rPr>
          <w:lang w:val="pl-PL"/>
        </w:rPr>
        <w:t>Parser wyciąga z widoku listingu pola opisujące pojazd. W przypadku braku wyników crawler kończy pobieranie — zakładając, że osiągnięto koniec dostępnych stron. Przy włączonym trybie debug zapisywany może być kod HTML strony do katalogu results/debug, co ułatwia diagnozę zmian w strukturze serwisu.</w:t>
      </w:r>
    </w:p>
    <w:p w14:paraId="5BCC6597" w14:textId="77777777" w:rsidR="001C2C9E" w:rsidRPr="00146705" w:rsidRDefault="00000000">
      <w:pPr>
        <w:rPr>
          <w:lang w:val="pl-PL"/>
        </w:rPr>
      </w:pPr>
      <w:r w:rsidRPr="00146705">
        <w:rPr>
          <w:lang w:val="pl-PL"/>
        </w:rPr>
        <w:t>Podczas pierwszego wejścia obsługiwane jest okno zgody na cookies (przycisk „Przejdź do serwisu”), aby nie blokować dalszego parsowania.</w:t>
      </w:r>
    </w:p>
    <w:p w14:paraId="4B62453F" w14:textId="77777777" w:rsidR="001C2C9E" w:rsidRPr="00146705" w:rsidRDefault="00000000">
      <w:pPr>
        <w:pStyle w:val="Nagwek1"/>
        <w:rPr>
          <w:lang w:val="pl-PL"/>
        </w:rPr>
      </w:pPr>
      <w:r w:rsidRPr="00146705">
        <w:rPr>
          <w:lang w:val="pl-PL"/>
        </w:rPr>
        <w:t>6. Czyszczenie i przygotowanie zbioru</w:t>
      </w:r>
    </w:p>
    <w:p w14:paraId="1407513D" w14:textId="77777777" w:rsidR="001C2C9E" w:rsidRPr="00146705" w:rsidRDefault="00000000">
      <w:pPr>
        <w:pStyle w:val="Nagwek2"/>
        <w:rPr>
          <w:lang w:val="pl-PL"/>
        </w:rPr>
      </w:pPr>
      <w:r w:rsidRPr="00146705">
        <w:rPr>
          <w:lang w:val="pl-PL"/>
        </w:rPr>
        <w:t>6.1. Normalizacja marek</w:t>
      </w:r>
    </w:p>
    <w:p w14:paraId="77C45258" w14:textId="77777777" w:rsidR="001C2C9E" w:rsidRPr="00146705" w:rsidRDefault="00000000">
      <w:pPr>
        <w:rPr>
          <w:lang w:val="pl-PL"/>
        </w:rPr>
      </w:pPr>
      <w:r w:rsidRPr="00146705">
        <w:rPr>
          <w:lang w:val="pl-PL"/>
        </w:rPr>
        <w:t>Klasa DataNormalizer ujednolica zapisy marek — np. różne warianty pisowni, wielkość liter, skróty — do jednej postaci słownikowej. Uwzględniono marki wielowyrazowe (Moto Guzzi, Royal Enfield, MV Agusta, Harley-Davidson itd.), co jest istotne przy dalszym grupowaniu i regresji per marka.</w:t>
      </w:r>
    </w:p>
    <w:p w14:paraId="4197FB38" w14:textId="77777777" w:rsidR="001C2C9E" w:rsidRPr="00146705" w:rsidRDefault="00000000">
      <w:pPr>
        <w:pStyle w:val="Nagwek2"/>
        <w:rPr>
          <w:lang w:val="pl-PL"/>
        </w:rPr>
      </w:pPr>
      <w:r w:rsidRPr="00146705">
        <w:rPr>
          <w:lang w:val="pl-PL"/>
        </w:rPr>
        <w:t>6.2. Usuwanie duplikatów i rekordów niekompletnych</w:t>
      </w:r>
    </w:p>
    <w:p w14:paraId="7E8D79EB" w14:textId="77777777" w:rsidR="001C2C9E" w:rsidRPr="00146705" w:rsidRDefault="00000000">
      <w:pPr>
        <w:rPr>
          <w:lang w:val="pl-PL"/>
        </w:rPr>
      </w:pPr>
      <w:r w:rsidRPr="00146705">
        <w:rPr>
          <w:lang w:val="pl-PL"/>
        </w:rPr>
        <w:t>DataFilter.remove_duplicates usuwa wiersze identyczne we wszystkich kolumnach. Następnie remove_incomplete wymaga obecności kluczowych pól: brand, model, year, mileage, price. Usuwane są także rekordy z wartością 0 w kolumnach numerycznych, bo taki przebieg lub cena nie mają interpretacji rynkowej.</w:t>
      </w:r>
    </w:p>
    <w:p w14:paraId="148B1FC3" w14:textId="77777777" w:rsidR="001C2C9E" w:rsidRPr="00146705" w:rsidRDefault="00000000">
      <w:pPr>
        <w:pStyle w:val="Nagwek2"/>
        <w:rPr>
          <w:lang w:val="pl-PL"/>
        </w:rPr>
      </w:pPr>
      <w:r w:rsidRPr="00146705">
        <w:rPr>
          <w:lang w:val="pl-PL"/>
        </w:rPr>
        <w:t>6.3. Wartości odstające (IQR)</w:t>
      </w:r>
    </w:p>
    <w:p w14:paraId="384E4B31" w14:textId="77777777" w:rsidR="001C2C9E" w:rsidRPr="00146705" w:rsidRDefault="00000000">
      <w:pPr>
        <w:rPr>
          <w:lang w:val="pl-PL"/>
        </w:rPr>
      </w:pPr>
      <w:r w:rsidRPr="00146705">
        <w:rPr>
          <w:lang w:val="pl-PL"/>
        </w:rPr>
        <w:t>Na kolumnach price, mileage i year stosowana jest metoda rozstępu ćwiartkowego (IQR). Dla każdej kolumny wyznaczane są kwartyle Q1 i Q3, a następnie dopuszczalny przedział [Q1 − k·IQR, Q3 + k·IQR], gdzie k domyślnie wynosi 1,5 (parametr cleaning.outlier_threshold). Rekordy poza tym przedziałem są odrzucane, co ogranicza wpływ błędnych ogłoszeń i ekstremalnych ofert na wykresy i modele.</w:t>
      </w:r>
    </w:p>
    <w:p w14:paraId="15C21486" w14:textId="77777777" w:rsidR="00FD3E45" w:rsidRDefault="00FD3E45">
      <w:pPr>
        <w:rPr>
          <w:rFonts w:asciiTheme="majorHAnsi" w:eastAsiaTheme="majorEastAsia" w:hAnsiTheme="majorHAnsi" w:cstheme="majorBidi"/>
          <w:b/>
          <w:bCs/>
          <w:color w:val="365F91" w:themeColor="accent1" w:themeShade="BF"/>
          <w:sz w:val="28"/>
          <w:szCs w:val="28"/>
          <w:lang w:val="pl-PL"/>
        </w:rPr>
      </w:pPr>
      <w:r>
        <w:rPr>
          <w:lang w:val="pl-PL"/>
        </w:rPr>
        <w:br w:type="page"/>
      </w:r>
    </w:p>
    <w:p w14:paraId="2EA757FD" w14:textId="423210FA" w:rsidR="001C2C9E" w:rsidRPr="00146705" w:rsidRDefault="00000000">
      <w:pPr>
        <w:pStyle w:val="Nagwek1"/>
        <w:rPr>
          <w:lang w:val="pl-PL"/>
        </w:rPr>
      </w:pPr>
      <w:r w:rsidRPr="00146705">
        <w:rPr>
          <w:lang w:val="pl-PL"/>
        </w:rPr>
        <w:lastRenderedPageBreak/>
        <w:t>7. Analiza eksploracyjna</w:t>
      </w:r>
    </w:p>
    <w:p w14:paraId="64E75FCC" w14:textId="77777777" w:rsidR="001C2C9E" w:rsidRPr="00146705" w:rsidRDefault="00000000">
      <w:pPr>
        <w:rPr>
          <w:lang w:val="pl-PL"/>
        </w:rPr>
      </w:pPr>
      <w:r w:rsidRPr="00146705">
        <w:rPr>
          <w:lang w:val="pl-PL"/>
        </w:rPr>
        <w:t>Analiza realizowana jest przez klasę MarketAnalysis oraz moduły pomocnicze. Poniżej opisano kolejne aspekty uwzględniane w projekcie oraz powiązane artefakty wyjściowe.</w:t>
      </w:r>
    </w:p>
    <w:p w14:paraId="1B52FB9D" w14:textId="77777777" w:rsidR="001C2C9E" w:rsidRPr="00146705" w:rsidRDefault="00000000">
      <w:pPr>
        <w:pStyle w:val="Nagwek2"/>
        <w:rPr>
          <w:lang w:val="pl-PL"/>
        </w:rPr>
      </w:pPr>
      <w:r w:rsidRPr="00146705">
        <w:rPr>
          <w:lang w:val="pl-PL"/>
        </w:rPr>
        <w:t>7.1. Struktura rynku</w:t>
      </w:r>
    </w:p>
    <w:p w14:paraId="598B7C18" w14:textId="16635E7E" w:rsidR="001C2C9E" w:rsidRDefault="00000000">
      <w:pPr>
        <w:rPr>
          <w:lang w:val="pl-PL"/>
        </w:rPr>
      </w:pPr>
      <w:r w:rsidRPr="00146705">
        <w:rPr>
          <w:lang w:val="pl-PL"/>
        </w:rPr>
        <w:t>Obliczane są udziały procentowe marek oraz typów motocykli w zbiorze ogłoszeń. Wykres struktura_rynku.png przedstawia wykresy słupkowe ułatwiające szybką ocenę koncentracji rynk</w:t>
      </w:r>
      <w:r w:rsidR="004214E5">
        <w:rPr>
          <w:lang w:val="pl-PL"/>
        </w:rPr>
        <w:t>u.</w:t>
      </w:r>
    </w:p>
    <w:p w14:paraId="3B7F50BD" w14:textId="5ABB4B44" w:rsidR="004214E5" w:rsidRDefault="004214E5">
      <w:pPr>
        <w:rPr>
          <w:lang w:val="pl-PL"/>
        </w:rPr>
      </w:pPr>
      <w:r w:rsidRPr="004214E5">
        <w:rPr>
          <w:noProof/>
          <w:lang w:val="pl-PL"/>
        </w:rPr>
        <w:drawing>
          <wp:inline distT="0" distB="0" distL="0" distR="0" wp14:anchorId="5E4359A6" wp14:editId="21054F93">
            <wp:extent cx="5972810" cy="2654300"/>
            <wp:effectExtent l="0" t="0" r="8890" b="0"/>
            <wp:docPr id="214645580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55801" name=""/>
                    <pic:cNvPicPr/>
                  </pic:nvPicPr>
                  <pic:blipFill>
                    <a:blip r:embed="rId9"/>
                    <a:stretch>
                      <a:fillRect/>
                    </a:stretch>
                  </pic:blipFill>
                  <pic:spPr>
                    <a:xfrm>
                      <a:off x="0" y="0"/>
                      <a:ext cx="5972810" cy="2654300"/>
                    </a:xfrm>
                    <a:prstGeom prst="rect">
                      <a:avLst/>
                    </a:prstGeom>
                  </pic:spPr>
                </pic:pic>
              </a:graphicData>
            </a:graphic>
          </wp:inline>
        </w:drawing>
      </w:r>
    </w:p>
    <w:p w14:paraId="6BD15546" w14:textId="46D84553" w:rsidR="004214E5" w:rsidRDefault="00A21056">
      <w:pPr>
        <w:rPr>
          <w:lang w:val="pl-PL"/>
        </w:rPr>
      </w:pPr>
      <w:r>
        <w:rPr>
          <w:lang w:val="pl-PL"/>
        </w:rPr>
        <w:t>Na lewym wykresie widać, że rynek jest silnie skoncentrowany: za zdecydowaną większość ogłoszeń odpowiada tzw. „Wielka Czwórka z Japonii”: Yamaha, Honda, Suzuki i Kawasaki. Producenci tych jednośladów posiadają status legendarnych w świecie motocykli i ich maszyny są chętnie skupowane na rynkach wtórnych.</w:t>
      </w:r>
    </w:p>
    <w:p w14:paraId="3AE1724E" w14:textId="3DF15968" w:rsidR="00A21056" w:rsidRPr="00146705" w:rsidRDefault="00A21056">
      <w:pPr>
        <w:rPr>
          <w:lang w:val="pl-PL"/>
        </w:rPr>
      </w:pPr>
      <w:r>
        <w:rPr>
          <w:lang w:val="pl-PL"/>
        </w:rPr>
        <w:t>Na prawym wykresie widać, dominacje modeli typu „</w:t>
      </w:r>
      <w:r w:rsidR="00DA4490">
        <w:rPr>
          <w:lang w:val="pl-PL"/>
        </w:rPr>
        <w:t>n</w:t>
      </w:r>
      <w:r>
        <w:rPr>
          <w:lang w:val="pl-PL"/>
        </w:rPr>
        <w:t>aked bike”</w:t>
      </w:r>
      <w:r w:rsidR="00DA4490">
        <w:rPr>
          <w:lang w:val="pl-PL"/>
        </w:rPr>
        <w:t>. W ich skład wchodzą takie modele jak</w:t>
      </w:r>
      <w:r>
        <w:rPr>
          <w:lang w:val="pl-PL"/>
        </w:rPr>
        <w:t xml:space="preserve"> Yamaha MT, Honda CB, KTM Duke, </w:t>
      </w:r>
      <w:r w:rsidR="00DA4490">
        <w:rPr>
          <w:lang w:val="pl-PL"/>
        </w:rPr>
        <w:t>Kawasaki Z czy Suzuki GSX. Są to motocykle stworzone do poruszania się po mieście – ułatwiają one przedostawanie się przez zakorkowany ruch uliczny wielkich miast oraz znalezienie miejsca parkingowego – idealne na codzienne dojazdy do pracy, co wyjaśnia ich dużą ilość na rynku wtórnym.</w:t>
      </w:r>
    </w:p>
    <w:p w14:paraId="288574FF" w14:textId="77777777" w:rsidR="00C90D24" w:rsidRDefault="00C90D24">
      <w:pPr>
        <w:rPr>
          <w:rFonts w:asciiTheme="majorHAnsi" w:eastAsiaTheme="majorEastAsia" w:hAnsiTheme="majorHAnsi" w:cstheme="majorBidi"/>
          <w:b/>
          <w:bCs/>
          <w:color w:val="4F81BD" w:themeColor="accent1"/>
          <w:sz w:val="26"/>
          <w:szCs w:val="26"/>
          <w:lang w:val="pl-PL"/>
        </w:rPr>
      </w:pPr>
      <w:r>
        <w:rPr>
          <w:lang w:val="pl-PL"/>
        </w:rPr>
        <w:br w:type="page"/>
      </w:r>
    </w:p>
    <w:p w14:paraId="57247830" w14:textId="058A5FAF" w:rsidR="001C2C9E" w:rsidRPr="00146705" w:rsidRDefault="00000000">
      <w:pPr>
        <w:pStyle w:val="Nagwek2"/>
        <w:rPr>
          <w:lang w:val="pl-PL"/>
        </w:rPr>
      </w:pPr>
      <w:r w:rsidRPr="00146705">
        <w:rPr>
          <w:lang w:val="pl-PL"/>
        </w:rPr>
        <w:lastRenderedPageBreak/>
        <w:t>7.2. Diagnostyka rozkładów numerycznych</w:t>
      </w:r>
    </w:p>
    <w:p w14:paraId="5050FFC2" w14:textId="02B5CD7E" w:rsidR="00C90D24" w:rsidRDefault="00000000">
      <w:pPr>
        <w:rPr>
          <w:lang w:val="pl-PL"/>
        </w:rPr>
      </w:pPr>
      <w:r w:rsidRPr="00146705">
        <w:rPr>
          <w:lang w:val="pl-PL"/>
        </w:rPr>
        <w:t>Tabela percentyli (percentyle_numeryczne.csv) zawiera wartości od p00 do p99 dla ceny, przebiegu, roku, pojemności i mocy, a także procent braków danych. Pozwala ocenić skalę zmienności i jakość zbioru przed i po czyszczeniu — analogicznie do wstępnej analizy rozkładów w materiale referencyjnym.</w:t>
      </w:r>
    </w:p>
    <w:p w14:paraId="732D6CDD" w14:textId="0FFDD463" w:rsidR="00C90D24" w:rsidRDefault="00C90D24">
      <w:pPr>
        <w:rPr>
          <w:lang w:val="pl-PL"/>
        </w:rPr>
      </w:pPr>
      <w:r w:rsidRPr="00C90D24">
        <w:rPr>
          <w:lang w:val="pl-PL"/>
        </w:rPr>
        <w:drawing>
          <wp:inline distT="0" distB="0" distL="0" distR="0" wp14:anchorId="17C99E01" wp14:editId="3AE8A4F1">
            <wp:extent cx="5972810" cy="1706245"/>
            <wp:effectExtent l="0" t="0" r="8890" b="8255"/>
            <wp:docPr id="211206525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65259" name=""/>
                    <pic:cNvPicPr/>
                  </pic:nvPicPr>
                  <pic:blipFill>
                    <a:blip r:embed="rId10"/>
                    <a:stretch>
                      <a:fillRect/>
                    </a:stretch>
                  </pic:blipFill>
                  <pic:spPr>
                    <a:xfrm>
                      <a:off x="0" y="0"/>
                      <a:ext cx="5972810" cy="1706245"/>
                    </a:xfrm>
                    <a:prstGeom prst="rect">
                      <a:avLst/>
                    </a:prstGeom>
                  </pic:spPr>
                </pic:pic>
              </a:graphicData>
            </a:graphic>
          </wp:inline>
        </w:drawing>
      </w:r>
    </w:p>
    <w:p w14:paraId="1E26EEAF" w14:textId="6C81A42A" w:rsidR="00C90D24" w:rsidRDefault="00013DD9">
      <w:pPr>
        <w:rPr>
          <w:lang w:val="pl-PL"/>
        </w:rPr>
      </w:pPr>
      <w:r>
        <w:rPr>
          <w:lang w:val="pl-PL"/>
        </w:rPr>
        <w:t>W</w:t>
      </w:r>
      <w:r w:rsidR="00C90D24">
        <w:rPr>
          <w:lang w:val="pl-PL"/>
        </w:rPr>
        <w:t xml:space="preserve"> tabeli widać braki w takich danych jak</w:t>
      </w:r>
      <w:r w:rsidR="00EA482B">
        <w:rPr>
          <w:lang w:val="pl-PL"/>
        </w:rPr>
        <w:t xml:space="preserve"> </w:t>
      </w:r>
      <w:r w:rsidR="00C90D24">
        <w:rPr>
          <w:lang w:val="pl-PL"/>
        </w:rPr>
        <w:t>pojemność silnika czy moc, ale również błędy – np. pojemność silnika wpisana na 1292003 cm</w:t>
      </w:r>
      <w:r w:rsidR="00C90D24">
        <w:rPr>
          <w:vertAlign w:val="superscript"/>
          <w:lang w:val="pl-PL"/>
        </w:rPr>
        <w:t>3</w:t>
      </w:r>
      <w:r w:rsidR="00C90D24">
        <w:rPr>
          <w:lang w:val="pl-PL"/>
        </w:rPr>
        <w:t>, co tylko udowadnia jak ważny jest proces czyszczenie danych.</w:t>
      </w:r>
      <w:r w:rsidR="00EA482B">
        <w:rPr>
          <w:lang w:val="pl-PL"/>
        </w:rPr>
        <w:t xml:space="preserve"> Duża ilość maszyn z przebiegiem 1km wynika z faktu, że na portalu wystawiane są również motocykle nowe z salonu – nie należy ich usuwać, gdyż często mogą być to oferty-wyprzedaże z dużą zniżką.</w:t>
      </w:r>
    </w:p>
    <w:p w14:paraId="3233D020" w14:textId="1032FF73" w:rsidR="00C07686" w:rsidRPr="00146705" w:rsidRDefault="00C07686">
      <w:pPr>
        <w:rPr>
          <w:lang w:val="pl-PL"/>
        </w:rPr>
      </w:pPr>
    </w:p>
    <w:p w14:paraId="4D3B5572" w14:textId="77777777" w:rsidR="001C2C9E" w:rsidRPr="00146705" w:rsidRDefault="00000000">
      <w:pPr>
        <w:pStyle w:val="Nagwek2"/>
        <w:rPr>
          <w:lang w:val="pl-PL"/>
        </w:rPr>
      </w:pPr>
      <w:r w:rsidRPr="00146705">
        <w:rPr>
          <w:lang w:val="pl-PL"/>
        </w:rPr>
        <w:t>7.3. Rozkłady cen i przebiegów</w:t>
      </w:r>
    </w:p>
    <w:p w14:paraId="0C8E73A6" w14:textId="0C34ABBB" w:rsidR="00EA482B" w:rsidRPr="00EA482B" w:rsidRDefault="00000000" w:rsidP="00EA482B">
      <w:pPr>
        <w:rPr>
          <w:noProof/>
        </w:rPr>
      </w:pPr>
      <w:r w:rsidRPr="00146705">
        <w:rPr>
          <w:lang w:val="pl-PL"/>
        </w:rPr>
        <w:t xml:space="preserve">Generowane są histogramy dla całego rynku (rozklady_ceny_przebiegu.png) oraz </w:t>
      </w:r>
      <w:r w:rsidR="00C90D24" w:rsidRPr="00146705">
        <w:rPr>
          <w:lang w:val="pl-PL"/>
        </w:rPr>
        <w:t>wykresy pudełkowe (boxplot</w:t>
      </w:r>
      <w:r w:rsidR="00C90D24">
        <w:rPr>
          <w:lang w:val="pl-PL"/>
        </w:rPr>
        <w:t>)</w:t>
      </w:r>
      <w:r w:rsidRPr="00146705">
        <w:rPr>
          <w:lang w:val="pl-PL"/>
        </w:rPr>
        <w:t xml:space="preserve"> dla wybranych marek o największej liczbie ogłoszeń (rozklady_wedlug_marek.png). Umożliwia to porównanie np. mediany ceny Yamaha versus Honda w tym samym zbiorze.</w:t>
      </w:r>
      <w:r w:rsidR="00013DD9" w:rsidRPr="00013DD9">
        <w:rPr>
          <w:noProof/>
        </w:rPr>
        <w:t xml:space="preserve"> </w:t>
      </w:r>
      <w:r w:rsidR="00013DD9" w:rsidRPr="00013DD9">
        <w:rPr>
          <w:lang w:val="pl-PL"/>
        </w:rPr>
        <w:drawing>
          <wp:inline distT="0" distB="0" distL="0" distR="0" wp14:anchorId="68B44129" wp14:editId="639B3FBE">
            <wp:extent cx="5972810" cy="2239645"/>
            <wp:effectExtent l="0" t="0" r="8890" b="8255"/>
            <wp:docPr id="171211771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17719" name=""/>
                    <pic:cNvPicPr/>
                  </pic:nvPicPr>
                  <pic:blipFill>
                    <a:blip r:embed="rId11"/>
                    <a:stretch>
                      <a:fillRect/>
                    </a:stretch>
                  </pic:blipFill>
                  <pic:spPr>
                    <a:xfrm>
                      <a:off x="0" y="0"/>
                      <a:ext cx="5972810" cy="2239645"/>
                    </a:xfrm>
                    <a:prstGeom prst="rect">
                      <a:avLst/>
                    </a:prstGeom>
                  </pic:spPr>
                </pic:pic>
              </a:graphicData>
            </a:graphic>
          </wp:inline>
        </w:drawing>
      </w:r>
    </w:p>
    <w:p w14:paraId="6F11D8ED" w14:textId="61C64117" w:rsidR="00013DD9" w:rsidRDefault="00EA482B">
      <w:pPr>
        <w:rPr>
          <w:lang w:val="pl-PL"/>
        </w:rPr>
      </w:pPr>
      <w:r w:rsidRPr="00EA482B">
        <w:rPr>
          <w:lang w:val="pl-PL"/>
        </w:rPr>
        <w:t>Oba rozkłady charakteryzują się silną skośnością prawostronną, przez co średnia (czerwona linia) jest wyraźnie wyższa od mediany (ciemnoniebieska linia). O ile ceny skupiają się głównie w przedziale 5–25 tys. PLN z długim ogonem droższych maszyn, o tyle rozkład przebiegu jest zdominowany przez ogromny, nienaturalny skok w okolicach zera</w:t>
      </w:r>
      <w:r>
        <w:rPr>
          <w:lang w:val="pl-PL"/>
        </w:rPr>
        <w:t>,</w:t>
      </w:r>
      <w:r w:rsidRPr="00EA482B">
        <w:rPr>
          <w:lang w:val="pl-PL"/>
        </w:rPr>
        <w:t xml:space="preserve"> po którym następuje długie, płaskie wypłaszczenie</w:t>
      </w:r>
      <w:r>
        <w:rPr>
          <w:lang w:val="pl-PL"/>
        </w:rPr>
        <w:t xml:space="preserve"> – jest to spowodowane dużą ilością wcześniej już wspomnianych ogłoszeń maszyn nowych z salonu.</w:t>
      </w:r>
    </w:p>
    <w:p w14:paraId="370F331F" w14:textId="17603021" w:rsidR="00EA482B" w:rsidRDefault="00EA482B">
      <w:pPr>
        <w:rPr>
          <w:lang w:val="pl-PL"/>
        </w:rPr>
      </w:pPr>
      <w:r w:rsidRPr="00EA482B">
        <w:rPr>
          <w:lang w:val="pl-PL"/>
        </w:rPr>
        <w:lastRenderedPageBreak/>
        <w:drawing>
          <wp:inline distT="0" distB="0" distL="0" distR="0" wp14:anchorId="60231E4E" wp14:editId="4E9F0F22">
            <wp:extent cx="5972810" cy="2654300"/>
            <wp:effectExtent l="0" t="0" r="8890" b="0"/>
            <wp:docPr id="146278473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84730" name=""/>
                    <pic:cNvPicPr/>
                  </pic:nvPicPr>
                  <pic:blipFill>
                    <a:blip r:embed="rId12"/>
                    <a:stretch>
                      <a:fillRect/>
                    </a:stretch>
                  </pic:blipFill>
                  <pic:spPr>
                    <a:xfrm>
                      <a:off x="0" y="0"/>
                      <a:ext cx="5972810" cy="2654300"/>
                    </a:xfrm>
                    <a:prstGeom prst="rect">
                      <a:avLst/>
                    </a:prstGeom>
                  </pic:spPr>
                </pic:pic>
              </a:graphicData>
            </a:graphic>
          </wp:inline>
        </w:drawing>
      </w:r>
    </w:p>
    <w:p w14:paraId="742A5E17" w14:textId="1E9436EC" w:rsidR="00EA482B" w:rsidRDefault="00BB3C84">
      <w:r w:rsidRPr="00BB3C84">
        <w:t xml:space="preserve">Wykresy pudełkowe potwierdzają ogromne zróżnicowanie rynku w zależności od marki. W segmencie </w:t>
      </w:r>
      <w:r>
        <w:t>c</w:t>
      </w:r>
      <w:r w:rsidRPr="00BB3C84">
        <w:t>en wyraźnie widać podział na marki budżetowe (np. ASIX, Barton, Junak) o niskiej medianie i bardzo wąskich pudełkach (mały rozrzut cen) oraz marki premium (Harley-Davidson, BMW, Triumph), które charakteryzują się szerokimi pudełkami, wysoką medianą oraz długimi wąsami sięgającymi górnej granicy wykresu.</w:t>
      </w:r>
    </w:p>
    <w:p w14:paraId="5921DBB3" w14:textId="3DE6F2C6" w:rsidR="00BB3C84" w:rsidRPr="00146705" w:rsidRDefault="00BB3C84">
      <w:pPr>
        <w:rPr>
          <w:lang w:val="pl-PL"/>
        </w:rPr>
      </w:pPr>
      <w:r w:rsidRPr="00BB3C84">
        <w:t xml:space="preserve">W przypadku </w:t>
      </w:r>
      <w:r>
        <w:t>p</w:t>
      </w:r>
      <w:r w:rsidRPr="00BB3C84">
        <w:t xml:space="preserve">rzebiegu marki budżetowe niemal nie posiadają "pudełek" – ich ogłoszenia to w większości motocykle fabrycznie nowe lub demonstracyjne (stąd liczne punkty odstające, tzw. </w:t>
      </w:r>
      <w:r w:rsidRPr="00BB3C84">
        <w:rPr>
          <w:i/>
          <w:iCs/>
        </w:rPr>
        <w:t>outliery</w:t>
      </w:r>
      <w:r w:rsidRPr="00BB3C84">
        <w:t>). Dopiero japońskie i europejskie marki o ugruntowanej pozycji (np. Suzuki, Kawasaki, BMW) wykazują pełny i naturalny rozkład przebiegów, gdzie skrzynki rozciągają się od kilku do kilkudziesięciu tysięcy kilometrów.</w:t>
      </w:r>
    </w:p>
    <w:p w14:paraId="2F46175C" w14:textId="77777777" w:rsidR="00BB3C84" w:rsidRDefault="00BB3C84">
      <w:pPr>
        <w:rPr>
          <w:rFonts w:asciiTheme="majorHAnsi" w:eastAsiaTheme="majorEastAsia" w:hAnsiTheme="majorHAnsi" w:cstheme="majorBidi"/>
          <w:b/>
          <w:bCs/>
          <w:color w:val="4F81BD" w:themeColor="accent1"/>
          <w:sz w:val="26"/>
          <w:szCs w:val="26"/>
          <w:lang w:val="pl-PL"/>
        </w:rPr>
      </w:pPr>
      <w:r>
        <w:rPr>
          <w:lang w:val="pl-PL"/>
        </w:rPr>
        <w:br w:type="page"/>
      </w:r>
    </w:p>
    <w:p w14:paraId="4203A814" w14:textId="0F00DDB5" w:rsidR="001C2C9E" w:rsidRPr="00146705" w:rsidRDefault="00000000">
      <w:pPr>
        <w:pStyle w:val="Nagwek2"/>
        <w:rPr>
          <w:lang w:val="pl-PL"/>
        </w:rPr>
      </w:pPr>
      <w:r w:rsidRPr="00146705">
        <w:rPr>
          <w:lang w:val="pl-PL"/>
        </w:rPr>
        <w:lastRenderedPageBreak/>
        <w:t>7.4. Mapy cieplne roczników</w:t>
      </w:r>
    </w:p>
    <w:p w14:paraId="2153EC7F" w14:textId="77777777" w:rsidR="001C2C9E" w:rsidRDefault="00000000">
      <w:pPr>
        <w:rPr>
          <w:lang w:val="pl-PL"/>
        </w:rPr>
      </w:pPr>
      <w:r w:rsidRPr="00146705">
        <w:rPr>
          <w:lang w:val="pl-PL"/>
        </w:rPr>
        <w:t>Mapa marka × rok produkcji (mapa_marek_rocznikow.png) pokazuje liczbę ogłoszeń w poszczególnych komórkach — widać, które roczniki danej marki są najczęściej wystawiane na sprzedaż. Druga mapa dotyczy najpopularniejszych modeli (mapa_modeli_rocznikow.png) i pozwala zejść poziom głębiej niż sama marka.</w:t>
      </w:r>
    </w:p>
    <w:p w14:paraId="7407D6D6" w14:textId="4AC405D7" w:rsidR="00BB3C84" w:rsidRDefault="00BB3C84">
      <w:pPr>
        <w:rPr>
          <w:lang w:val="pl-PL"/>
        </w:rPr>
      </w:pPr>
      <w:r w:rsidRPr="00BB3C84">
        <w:rPr>
          <w:lang w:val="pl-PL"/>
        </w:rPr>
        <w:drawing>
          <wp:inline distT="0" distB="0" distL="0" distR="0" wp14:anchorId="5D20D981" wp14:editId="4B9EEFD6">
            <wp:extent cx="5972810" cy="2986405"/>
            <wp:effectExtent l="0" t="0" r="8890" b="4445"/>
            <wp:docPr id="187299847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98476" name=""/>
                    <pic:cNvPicPr/>
                  </pic:nvPicPr>
                  <pic:blipFill>
                    <a:blip r:embed="rId13"/>
                    <a:stretch>
                      <a:fillRect/>
                    </a:stretch>
                  </pic:blipFill>
                  <pic:spPr>
                    <a:xfrm>
                      <a:off x="0" y="0"/>
                      <a:ext cx="5972810" cy="2986405"/>
                    </a:xfrm>
                    <a:prstGeom prst="rect">
                      <a:avLst/>
                    </a:prstGeom>
                  </pic:spPr>
                </pic:pic>
              </a:graphicData>
            </a:graphic>
          </wp:inline>
        </w:drawing>
      </w:r>
    </w:p>
    <w:p w14:paraId="71E4A6D3" w14:textId="145E7B39" w:rsidR="008419ED" w:rsidRDefault="008419ED">
      <w:r w:rsidRPr="008419ED">
        <w:t xml:space="preserve">Wykres pokazuje koncentrację ogłoszeń w rocznikach 2025 i 2026 </w:t>
      </w:r>
      <w:r>
        <w:t>(</w:t>
      </w:r>
      <w:r w:rsidRPr="008419ED">
        <w:t>szczególnie widoczne u Yamahy, Hondy, CFMOTO i Bartona). Oznacza to silną reprezentację ofert salonowych i nowych motocykli w zebranym materiale. Z kolei szerokie, jasne pola od roku 1988 aż do 2024 pokazują, że pojedyncze roczniki z rynku wtórnego mają bardzo mały udział w całkowitej liczbie ogłoszeń, niezależnie od popularności marki.</w:t>
      </w:r>
    </w:p>
    <w:p w14:paraId="200DB271" w14:textId="4AD7DA75" w:rsidR="008419ED" w:rsidRDefault="008419ED">
      <w:r w:rsidRPr="008419ED">
        <w:lastRenderedPageBreak/>
        <w:drawing>
          <wp:inline distT="0" distB="0" distL="0" distR="0" wp14:anchorId="55E48B5A" wp14:editId="7ACA8DC6">
            <wp:extent cx="5972810" cy="3935095"/>
            <wp:effectExtent l="0" t="0" r="8890" b="8255"/>
            <wp:docPr id="40887741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77415" name=""/>
                    <pic:cNvPicPr/>
                  </pic:nvPicPr>
                  <pic:blipFill>
                    <a:blip r:embed="rId14"/>
                    <a:stretch>
                      <a:fillRect/>
                    </a:stretch>
                  </pic:blipFill>
                  <pic:spPr>
                    <a:xfrm>
                      <a:off x="0" y="0"/>
                      <a:ext cx="5972810" cy="3935095"/>
                    </a:xfrm>
                    <a:prstGeom prst="rect">
                      <a:avLst/>
                    </a:prstGeom>
                  </pic:spPr>
                </pic:pic>
              </a:graphicData>
            </a:graphic>
          </wp:inline>
        </w:drawing>
      </w:r>
    </w:p>
    <w:p w14:paraId="73EA1CDF" w14:textId="05ED6C3C" w:rsidR="008419ED" w:rsidRPr="00146705" w:rsidRDefault="008419ED">
      <w:pPr>
        <w:rPr>
          <w:lang w:val="pl-PL"/>
        </w:rPr>
      </w:pPr>
      <w:r w:rsidRPr="008419ED">
        <w:t xml:space="preserve">Analiza par marka/model pokazuje, że ogólny udział marki w rynku jest często zasługą jednej, hitowej serii modelowej. Rodziny takie jak </w:t>
      </w:r>
      <w:r w:rsidRPr="008419ED">
        <w:rPr>
          <w:b/>
          <w:bCs/>
        </w:rPr>
        <w:t>Yamaha / MT</w:t>
      </w:r>
      <w:r w:rsidRPr="008419ED">
        <w:t xml:space="preserve"> czy </w:t>
      </w:r>
      <w:r w:rsidRPr="008419ED">
        <w:rPr>
          <w:b/>
          <w:bCs/>
        </w:rPr>
        <w:t>Honda / CB</w:t>
      </w:r>
      <w:r w:rsidRPr="008419ED">
        <w:t xml:space="preserve"> dominują w nowoczesnych rocznikach, podczas gdy inne linie mają charakter niszowy i rozproszony. Wykres doskonale obrazuje też cykl życia produktów –</w:t>
      </w:r>
      <w:r>
        <w:t xml:space="preserve"> widać</w:t>
      </w:r>
      <w:r w:rsidRPr="008419ED">
        <w:t xml:space="preserve"> wygasłe serie klasyczne (np. Yamaha / Virago czy Drag Star)</w:t>
      </w:r>
      <w:r>
        <w:t xml:space="preserve"> oraz</w:t>
      </w:r>
      <w:r w:rsidRPr="008419ED">
        <w:t xml:space="preserve"> dynamicznie rosnące, współczesne bestsellery rynkowe.</w:t>
      </w:r>
    </w:p>
    <w:p w14:paraId="2CA9BC05" w14:textId="77777777" w:rsidR="008419ED" w:rsidRDefault="008419ED">
      <w:pPr>
        <w:rPr>
          <w:rFonts w:asciiTheme="majorHAnsi" w:eastAsiaTheme="majorEastAsia" w:hAnsiTheme="majorHAnsi" w:cstheme="majorBidi"/>
          <w:b/>
          <w:bCs/>
          <w:color w:val="4F81BD" w:themeColor="accent1"/>
          <w:sz w:val="26"/>
          <w:szCs w:val="26"/>
          <w:lang w:val="pl-PL"/>
        </w:rPr>
      </w:pPr>
      <w:r>
        <w:rPr>
          <w:lang w:val="pl-PL"/>
        </w:rPr>
        <w:br w:type="page"/>
      </w:r>
    </w:p>
    <w:p w14:paraId="2BA486D3" w14:textId="005DE1BD" w:rsidR="001C2C9E" w:rsidRPr="00146705" w:rsidRDefault="00000000">
      <w:pPr>
        <w:pStyle w:val="Nagwek2"/>
        <w:rPr>
          <w:lang w:val="pl-PL"/>
        </w:rPr>
      </w:pPr>
      <w:r w:rsidRPr="00146705">
        <w:rPr>
          <w:lang w:val="pl-PL"/>
        </w:rPr>
        <w:lastRenderedPageBreak/>
        <w:t>7.5. Regresja liniowa: cena a rok i przebieg</w:t>
      </w:r>
    </w:p>
    <w:p w14:paraId="79D64B29" w14:textId="77777777" w:rsidR="00146705" w:rsidRDefault="00146705">
      <w:r w:rsidRPr="00146705">
        <w:t>Dla całego rynku tworzone są wykresy rozrzutu z dopasowaną prostą regresji opisującą zależność ceny od roku produkcji oraz od przebiegu. Dodatkowo, w celu porównania nachylenia tych zależności między producentami, tworzone są wykresy panelowe (faceted) dla topowych marek.</w:t>
      </w:r>
    </w:p>
    <w:p w14:paraId="473E57F3" w14:textId="6DC35665" w:rsidR="001C2C9E" w:rsidRDefault="00000000">
      <w:pPr>
        <w:rPr>
          <w:lang w:val="pl-PL"/>
        </w:rPr>
      </w:pPr>
      <w:r w:rsidRPr="00146705">
        <w:rPr>
          <w:lang w:val="pl-PL"/>
        </w:rPr>
        <w:t>Osobno, dla każdej marki z wystarczającą liczbą rekordów (min. 8), liczone są współczynniki regresji: price_year_slope (utrata wartości w PLN na rok wieku) oraz wskaźnik eksploatacji usage_km_per_year (średni roczny przebieg wyliczony z relacji przebieg–rok). Wyniki zapisywane są w wspolczynniki_marek.csv i wizualizowane na wykresie utrata_wartosci_i_eksploatacja.png.</w:t>
      </w:r>
    </w:p>
    <w:p w14:paraId="162B5D21" w14:textId="245EDEC2" w:rsidR="008419ED" w:rsidRDefault="008419ED">
      <w:pPr>
        <w:rPr>
          <w:lang w:val="pl-PL"/>
        </w:rPr>
      </w:pPr>
      <w:r w:rsidRPr="008419ED">
        <w:rPr>
          <w:lang w:val="pl-PL"/>
        </w:rPr>
        <w:drawing>
          <wp:inline distT="0" distB="0" distL="0" distR="0" wp14:anchorId="66947A43" wp14:editId="2C2F0107">
            <wp:extent cx="5972810" cy="3583940"/>
            <wp:effectExtent l="0" t="0" r="8890" b="0"/>
            <wp:docPr id="169370218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02189" name=""/>
                    <pic:cNvPicPr/>
                  </pic:nvPicPr>
                  <pic:blipFill>
                    <a:blip r:embed="rId15"/>
                    <a:stretch>
                      <a:fillRect/>
                    </a:stretch>
                  </pic:blipFill>
                  <pic:spPr>
                    <a:xfrm>
                      <a:off x="0" y="0"/>
                      <a:ext cx="5972810" cy="3583940"/>
                    </a:xfrm>
                    <a:prstGeom prst="rect">
                      <a:avLst/>
                    </a:prstGeom>
                  </pic:spPr>
                </pic:pic>
              </a:graphicData>
            </a:graphic>
          </wp:inline>
        </w:drawing>
      </w:r>
    </w:p>
    <w:p w14:paraId="7851AF40" w14:textId="3F3301A4" w:rsidR="00DA212F" w:rsidRDefault="00DA212F">
      <w:r w:rsidRPr="00DA212F">
        <w:t>Czerwona linia trendu potwierdza, że nowsze roczniki są średnio droższe, jednak potężna wariancja danych wokół linii regresji pokazuje, że rok produkcji nie wyjaśnia całej zmienności cen. Fakt, że dla tych samych roczników współczesnych znajdujemy motocykle za 5 000 PLN, jak i za blisko 80 000 PLN, potwierdza konieczność uwzględnienia w modelu wyceny zmiennych kategorycznych, takich jak marka i konkretny model jednośladu.</w:t>
      </w:r>
    </w:p>
    <w:p w14:paraId="4F110FB9" w14:textId="0CE82FA1" w:rsidR="00DA212F" w:rsidRDefault="00DA212F">
      <w:r w:rsidRPr="00DA212F">
        <w:lastRenderedPageBreak/>
        <w:drawing>
          <wp:inline distT="0" distB="0" distL="0" distR="0" wp14:anchorId="4277E0D2" wp14:editId="1479644E">
            <wp:extent cx="5972810" cy="3583940"/>
            <wp:effectExtent l="0" t="0" r="0" b="1905"/>
            <wp:docPr id="82499982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99829" name=""/>
                    <pic:cNvPicPr/>
                  </pic:nvPicPr>
                  <pic:blipFill>
                    <a:blip r:embed="rId16"/>
                    <a:stretch>
                      <a:fillRect/>
                    </a:stretch>
                  </pic:blipFill>
                  <pic:spPr>
                    <a:xfrm>
                      <a:off x="0" y="0"/>
                      <a:ext cx="5972810" cy="3583940"/>
                    </a:xfrm>
                    <a:prstGeom prst="rect">
                      <a:avLst/>
                    </a:prstGeom>
                  </pic:spPr>
                </pic:pic>
              </a:graphicData>
            </a:graphic>
          </wp:inline>
        </w:drawing>
      </w:r>
    </w:p>
    <w:p w14:paraId="4D86F50C" w14:textId="107F2588" w:rsidR="00DA212F" w:rsidRDefault="00DA212F">
      <w:r w:rsidRPr="00DA212F">
        <w:t>Wykres obrazuje spadkowy trend cenowy wywołany rosnącym przebiegiem jednośladów. Widoczna po lewej stronie, niezwykle gęsta pionowa linia punktów na poziomie 0 km reprezentuje dominujący w zbiorze segment motocykli nowych i salonowych, których ceny rozciągają się w całym badanym zakresie. Rozproszenie punktów w dalszej części wykresu pokazuje, że wysoki przebieg skutecznie odcina „górną półkę” cenową – na rynku wtórnym maszyny z dużym stopniem eksploatacji (powyżej 60–80 tys. km) stają się znacznie bardziej jednorodne cenowo i rzadko utrzymują wysoką wartość.</w:t>
      </w:r>
    </w:p>
    <w:p w14:paraId="767EEA04" w14:textId="7C64329F" w:rsidR="00DA212F" w:rsidRDefault="00DA212F">
      <w:r w:rsidRPr="00DA212F">
        <w:lastRenderedPageBreak/>
        <w:drawing>
          <wp:inline distT="0" distB="0" distL="0" distR="0" wp14:anchorId="2AF6E670" wp14:editId="60AC6EEC">
            <wp:extent cx="5972810" cy="4479925"/>
            <wp:effectExtent l="0" t="0" r="8890" b="0"/>
            <wp:docPr id="87389490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94904" name=""/>
                    <pic:cNvPicPr/>
                  </pic:nvPicPr>
                  <pic:blipFill>
                    <a:blip r:embed="rId17"/>
                    <a:stretch>
                      <a:fillRect/>
                    </a:stretch>
                  </pic:blipFill>
                  <pic:spPr>
                    <a:xfrm>
                      <a:off x="0" y="0"/>
                      <a:ext cx="5972810" cy="4479925"/>
                    </a:xfrm>
                    <a:prstGeom prst="rect">
                      <a:avLst/>
                    </a:prstGeom>
                  </pic:spPr>
                </pic:pic>
              </a:graphicData>
            </a:graphic>
          </wp:inline>
        </w:drawing>
      </w:r>
    </w:p>
    <w:p w14:paraId="3442493B" w14:textId="77777777" w:rsidR="00DA212F" w:rsidRPr="00DA212F" w:rsidRDefault="00DA212F" w:rsidP="00DA212F">
      <w:pPr>
        <w:rPr>
          <w:lang w:val="pl-PL"/>
        </w:rPr>
      </w:pPr>
      <w:r w:rsidRPr="00DA212F">
        <w:rPr>
          <w:lang w:val="pl-PL"/>
        </w:rPr>
        <w:t>Rozbicie analizy na poszczególne marki ujawnia, że rok produkcji wpływa na cenę w skrajnie różny sposób w zależności od pozycjonowania producenta. Najbardziej strome linie regresji obserwujemy u marek premium, takich jak BMW, Triumph czy Harley-Davidson. Pokazuje to ogromną przepaść cenową między ich modelami nowymi a starszymi rocznikami.</w:t>
      </w:r>
    </w:p>
    <w:p w14:paraId="6E003166" w14:textId="42A38B3F" w:rsidR="00DA212F" w:rsidRDefault="00DA212F" w:rsidP="00DA212F">
      <w:pPr>
        <w:rPr>
          <w:lang w:val="pl-PL"/>
        </w:rPr>
      </w:pPr>
      <w:r w:rsidRPr="00DA212F">
        <w:rPr>
          <w:lang w:val="pl-PL"/>
        </w:rPr>
        <w:t xml:space="preserve">Zupełnie inną dynamikę widać u producentów budżetowych – np. dla marki ASIX linia regresji jest niemal idealnie płaska. Świadczy to o homogeniczności oferty (stała cena niezależnie od krótkiej historii roczników) oraz braku drogich modeli flagowych. Z kolei u marek japońskich (Honda, Yamaha, Suzuki) nachylenie jest stabilne i umiarkowane, co </w:t>
      </w:r>
      <w:r>
        <w:rPr>
          <w:lang w:val="pl-PL"/>
        </w:rPr>
        <w:t xml:space="preserve">znowu </w:t>
      </w:r>
      <w:r w:rsidRPr="00DA212F">
        <w:rPr>
          <w:lang w:val="pl-PL"/>
        </w:rPr>
        <w:t>potwierdza ich silną, ugruntowaną pozycję na rynku wtórnym i przewidywalną utratę wartości.</w:t>
      </w:r>
    </w:p>
    <w:p w14:paraId="04DC9F5D" w14:textId="67353891" w:rsidR="00DA212F" w:rsidRPr="00DA212F" w:rsidRDefault="00DA212F" w:rsidP="00DA212F">
      <w:pPr>
        <w:rPr>
          <w:lang w:val="pl-PL"/>
        </w:rPr>
      </w:pPr>
      <w:r w:rsidRPr="00DA212F">
        <w:rPr>
          <w:lang w:val="pl-PL"/>
        </w:rPr>
        <w:lastRenderedPageBreak/>
        <w:drawing>
          <wp:inline distT="0" distB="0" distL="0" distR="0" wp14:anchorId="4BD46F8E" wp14:editId="0E8FA15E">
            <wp:extent cx="5972810" cy="4479925"/>
            <wp:effectExtent l="0" t="0" r="8890" b="0"/>
            <wp:docPr id="107625308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53086" name=""/>
                    <pic:cNvPicPr/>
                  </pic:nvPicPr>
                  <pic:blipFill>
                    <a:blip r:embed="rId18"/>
                    <a:stretch>
                      <a:fillRect/>
                    </a:stretch>
                  </pic:blipFill>
                  <pic:spPr>
                    <a:xfrm>
                      <a:off x="0" y="0"/>
                      <a:ext cx="5972810" cy="4479925"/>
                    </a:xfrm>
                    <a:prstGeom prst="rect">
                      <a:avLst/>
                    </a:prstGeom>
                  </pic:spPr>
                </pic:pic>
              </a:graphicData>
            </a:graphic>
          </wp:inline>
        </w:drawing>
      </w:r>
    </w:p>
    <w:p w14:paraId="6BDEE142" w14:textId="4C6B8F82" w:rsidR="00DA212F" w:rsidRDefault="00DA212F">
      <w:r w:rsidRPr="00DA212F">
        <w:t xml:space="preserve">Wykresy potwierdzają, że dynamika spadku ceny wraz z przebiegiem jest cechą indywidualną dla każdej marki. Marki o ugruntowanej pozycji wtórnej (japońskie oraz europejskie premium) wykazują miarowy i długi trend spadkowy, rozciągający się aż do 80 000 km. Z kolei u marek typowo budżetowych wykresy reprezentują niemal wyłącznie pojazdy z minimalnym przebiegiem salonowym (pionowe ściany przy zerze), co skraca linię regresji. Wykres dla marki </w:t>
      </w:r>
      <w:r w:rsidRPr="00DA212F">
        <w:rPr>
          <w:b/>
          <w:bCs/>
        </w:rPr>
        <w:t>ASIX</w:t>
      </w:r>
      <w:r w:rsidRPr="00DA212F">
        <w:t xml:space="preserve"> dodatkowo uwypukla konieczność wcześniejszego wyczyszczenia danych z pojedynczych, ekstremalnych wartości odstających.</w:t>
      </w:r>
    </w:p>
    <w:p w14:paraId="5DAB19CB" w14:textId="77777777" w:rsidR="00DA212F" w:rsidRPr="00146705" w:rsidRDefault="00DA212F">
      <w:pPr>
        <w:rPr>
          <w:lang w:val="pl-PL"/>
        </w:rPr>
      </w:pPr>
    </w:p>
    <w:p w14:paraId="4F35FE34" w14:textId="77777777" w:rsidR="00FF029E" w:rsidRDefault="00FF029E">
      <w:pPr>
        <w:rPr>
          <w:rFonts w:asciiTheme="majorHAnsi" w:eastAsiaTheme="majorEastAsia" w:hAnsiTheme="majorHAnsi" w:cstheme="majorBidi"/>
          <w:b/>
          <w:bCs/>
          <w:color w:val="4F81BD" w:themeColor="accent1"/>
          <w:sz w:val="26"/>
          <w:szCs w:val="26"/>
          <w:lang w:val="pl-PL"/>
        </w:rPr>
      </w:pPr>
      <w:r>
        <w:rPr>
          <w:lang w:val="pl-PL"/>
        </w:rPr>
        <w:br w:type="page"/>
      </w:r>
    </w:p>
    <w:p w14:paraId="3DC0D2D4" w14:textId="34E84F46" w:rsidR="001C2C9E" w:rsidRPr="00146705" w:rsidRDefault="00000000">
      <w:pPr>
        <w:pStyle w:val="Nagwek2"/>
        <w:rPr>
          <w:lang w:val="pl-PL"/>
        </w:rPr>
      </w:pPr>
      <w:r w:rsidRPr="00146705">
        <w:rPr>
          <w:lang w:val="pl-PL"/>
        </w:rPr>
        <w:lastRenderedPageBreak/>
        <w:t>7.6. Macierz korelacji</w:t>
      </w:r>
    </w:p>
    <w:p w14:paraId="2964E8C8" w14:textId="77777777" w:rsidR="001C2C9E" w:rsidRDefault="00000000">
      <w:pPr>
        <w:rPr>
          <w:lang w:val="pl-PL"/>
        </w:rPr>
      </w:pPr>
      <w:r w:rsidRPr="00146705">
        <w:rPr>
          <w:lang w:val="pl-PL"/>
        </w:rPr>
        <w:t>Wykres korelacje_cech.png przedstawia korelacje Pearsona między zmiennymi numerycznymi. Służy do wykrycia silnych związków liniowych (np. czy nowsze roczniki są systematycznie droższe) i do oceny, które cechy warto łączyć w dalszych modelach.</w:t>
      </w:r>
    </w:p>
    <w:p w14:paraId="6930233B" w14:textId="39834F7F" w:rsidR="00FF029E" w:rsidRDefault="00FF029E">
      <w:pPr>
        <w:rPr>
          <w:lang w:val="pl-PL"/>
        </w:rPr>
      </w:pPr>
      <w:r w:rsidRPr="00FF029E">
        <w:rPr>
          <w:lang w:val="pl-PL"/>
        </w:rPr>
        <w:drawing>
          <wp:inline distT="0" distB="0" distL="0" distR="0" wp14:anchorId="7D8D968C" wp14:editId="427245B0">
            <wp:extent cx="5972810" cy="4778375"/>
            <wp:effectExtent l="0" t="0" r="8890" b="3175"/>
            <wp:docPr id="31398046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80469" name=""/>
                    <pic:cNvPicPr/>
                  </pic:nvPicPr>
                  <pic:blipFill>
                    <a:blip r:embed="rId19"/>
                    <a:stretch>
                      <a:fillRect/>
                    </a:stretch>
                  </pic:blipFill>
                  <pic:spPr>
                    <a:xfrm>
                      <a:off x="0" y="0"/>
                      <a:ext cx="5972810" cy="4778375"/>
                    </a:xfrm>
                    <a:prstGeom prst="rect">
                      <a:avLst/>
                    </a:prstGeom>
                  </pic:spPr>
                </pic:pic>
              </a:graphicData>
            </a:graphic>
          </wp:inline>
        </w:drawing>
      </w:r>
    </w:p>
    <w:p w14:paraId="5DC25E81" w14:textId="73ED8ADE" w:rsidR="00FF029E" w:rsidRPr="00146705" w:rsidRDefault="00FF029E">
      <w:pPr>
        <w:rPr>
          <w:lang w:val="pl-PL"/>
        </w:rPr>
      </w:pPr>
      <w:r w:rsidRPr="00FF029E">
        <w:t>Macierz korelacji potwierdza intuicyjne kierunki zależności, ale też obnaża problemy z jakością danych. Najsilniejszym związkiem w zbiorze jest wysoka korelacja ujemna między rokiem produkcji a przebiegiem (-0.71), co jest naturalnym efektem starzenia się pojazdów. Sama cena wykazuje umiarkowaną zależność dodatnią z rokiem (0.29) oraz słabą ujemną z przebiegiem (-0.16) — tak niskie wartości dowodzą, że żaden z tych parametrów w pojedynkę nie determinuje wartości motocykla.</w:t>
      </w:r>
    </w:p>
    <w:p w14:paraId="1509F5A8" w14:textId="77777777" w:rsidR="00FF029E" w:rsidRDefault="00FF029E">
      <w:pPr>
        <w:rPr>
          <w:rFonts w:asciiTheme="majorHAnsi" w:eastAsiaTheme="majorEastAsia" w:hAnsiTheme="majorHAnsi" w:cstheme="majorBidi"/>
          <w:b/>
          <w:bCs/>
          <w:color w:val="4F81BD" w:themeColor="accent1"/>
          <w:sz w:val="26"/>
          <w:szCs w:val="26"/>
          <w:lang w:val="pl-PL"/>
        </w:rPr>
      </w:pPr>
      <w:r>
        <w:rPr>
          <w:lang w:val="pl-PL"/>
        </w:rPr>
        <w:br w:type="page"/>
      </w:r>
    </w:p>
    <w:p w14:paraId="1F430B5D" w14:textId="6565FF8F" w:rsidR="001C2C9E" w:rsidRPr="00146705" w:rsidRDefault="00000000">
      <w:pPr>
        <w:pStyle w:val="Nagwek2"/>
        <w:rPr>
          <w:lang w:val="pl-PL"/>
        </w:rPr>
      </w:pPr>
      <w:r w:rsidRPr="00146705">
        <w:rPr>
          <w:lang w:val="pl-PL"/>
        </w:rPr>
        <w:lastRenderedPageBreak/>
        <w:t>7.7. Klasteryzacja marek (k-means)</w:t>
      </w:r>
    </w:p>
    <w:p w14:paraId="41FBA157" w14:textId="7AD9F6CE" w:rsidR="001043C8" w:rsidRDefault="00000000">
      <w:pPr>
        <w:rPr>
          <w:lang w:val="pl-PL"/>
        </w:rPr>
      </w:pPr>
      <w:r w:rsidRPr="00146705">
        <w:rPr>
          <w:lang w:val="pl-PL"/>
        </w:rPr>
        <w:t>Marki z wystarczającą liczbą obserwacji grupowane są algorytmem k-means w przestrzeni dwóch wskaźników: współczynnika utraty wartości i współczynnika eksploatacji (po standaryzacji StandardScaler). Domyślnie ustawione są 3 klastry (analysis.clustering_clusters w konfiguracji).</w:t>
      </w:r>
      <w:r w:rsidR="001043C8">
        <w:rPr>
          <w:lang w:val="pl-PL"/>
        </w:rPr>
        <w:t xml:space="preserve"> </w:t>
      </w:r>
      <w:r w:rsidRPr="00146705">
        <w:rPr>
          <w:lang w:val="pl-PL"/>
        </w:rPr>
        <w:t xml:space="preserve">Dzięki temu można wyróżnić segmenty rynku o podobnym profilu — np. marki premium z szybszą deprecjacją versus marki budżetowe z niższą eksploatacją. </w:t>
      </w:r>
      <w:r w:rsidR="001043C8">
        <w:rPr>
          <w:lang w:val="pl-PL"/>
        </w:rPr>
        <w:t xml:space="preserve">– wykres </w:t>
      </w:r>
      <w:r w:rsidR="001043C8" w:rsidRPr="001043C8">
        <w:rPr>
          <w:i/>
          <w:iCs/>
        </w:rPr>
        <w:t>utrata_wartosci_i_eksploatacja.png</w:t>
      </w:r>
    </w:p>
    <w:p w14:paraId="28458FAD" w14:textId="07E6F2C2" w:rsidR="001C2C9E" w:rsidRDefault="00000000">
      <w:pPr>
        <w:rPr>
          <w:lang w:val="pl-PL"/>
        </w:rPr>
      </w:pPr>
      <w:r w:rsidRPr="00146705">
        <w:rPr>
          <w:lang w:val="pl-PL"/>
        </w:rPr>
        <w:t>Dodatkowo klasteryzacja k-means stosowana jest na poziomie pojedynczych ogłoszeń (cechy syntetyczne cena/wiek i cena/przebieg) — wykres klastry_ogloszen.png.</w:t>
      </w:r>
    </w:p>
    <w:p w14:paraId="723E0F05" w14:textId="77777777" w:rsidR="001043C8" w:rsidRDefault="001043C8" w:rsidP="001043C8">
      <w:r w:rsidRPr="00DA212F">
        <w:lastRenderedPageBreak/>
        <w:drawing>
          <wp:inline distT="0" distB="0" distL="0" distR="0" wp14:anchorId="1C2C0F2A" wp14:editId="614E8045">
            <wp:extent cx="5972810" cy="6746875"/>
            <wp:effectExtent l="0" t="0" r="8890" b="0"/>
            <wp:docPr id="177888632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86325" name=""/>
                    <pic:cNvPicPr/>
                  </pic:nvPicPr>
                  <pic:blipFill>
                    <a:blip r:embed="rId20"/>
                    <a:stretch>
                      <a:fillRect/>
                    </a:stretch>
                  </pic:blipFill>
                  <pic:spPr>
                    <a:xfrm>
                      <a:off x="0" y="0"/>
                      <a:ext cx="5972810" cy="6746875"/>
                    </a:xfrm>
                    <a:prstGeom prst="rect">
                      <a:avLst/>
                    </a:prstGeom>
                  </pic:spPr>
                </pic:pic>
              </a:graphicData>
            </a:graphic>
          </wp:inline>
        </w:drawing>
      </w:r>
    </w:p>
    <w:p w14:paraId="51D3212F" w14:textId="77777777" w:rsidR="001043C8" w:rsidRDefault="001043C8" w:rsidP="001043C8">
      <w:r>
        <w:t>A</w:t>
      </w:r>
      <w:r w:rsidRPr="00FF029E">
        <w:t>naliza klastrowa pozwala podzielić rynek motocyklowy na czytelne profile użytkowe. Lewy wykres pokazuje tempo utraty wartości (od marek o najsilniejszej deprecjacji na górze, po stabilne cenowo na dole). Środkowy wykres definiuje charakter marki – od typowo weekendowych (na górze, blisko 0 km/rok) po konie robocze i motocykle wyprawowe (na dole, wysoki roczny przebieg). Połączenie tych cech na prawym wykresie pozwala wyodrębnić klastry o podobnej charakterystyce ekonomiczno-użytkowej, co jest kluczowe dla precyzyjnego działania modeli wyceniających.</w:t>
      </w:r>
    </w:p>
    <w:p w14:paraId="2BACF758" w14:textId="77777777" w:rsidR="001043C8" w:rsidRPr="00FF029E" w:rsidRDefault="001043C8" w:rsidP="001043C8">
      <w:pPr>
        <w:rPr>
          <w:lang w:val="pl-PL"/>
        </w:rPr>
      </w:pPr>
      <w:r w:rsidRPr="00FF029E">
        <w:rPr>
          <w:lang w:val="pl-PL"/>
        </w:rPr>
        <w:lastRenderedPageBreak/>
        <w:t>Klaster pomarańczowy reprezentuje salonowe nowości oraz pojazdy typowo weekendowe, charakteryzujące się rocznym przebiegiem bliskim zeru i brakiem widocznej utraty wartości. Trafiła tu większość marek budżetowych i chińskich, takich jak Barton czy Junak, których podaż na portalu jest zdominowana przez fabrycznie nowe egzemplarze z symbolicznym przebiegiem jednego kilometra, co uniemożliwia wyznaczenie dla nich naturalnej krzywej starzenia.</w:t>
      </w:r>
    </w:p>
    <w:p w14:paraId="2599BAB2" w14:textId="77777777" w:rsidR="001043C8" w:rsidRPr="00FF029E" w:rsidRDefault="001043C8" w:rsidP="001043C8">
      <w:pPr>
        <w:rPr>
          <w:lang w:val="pl-PL"/>
        </w:rPr>
      </w:pPr>
      <w:r w:rsidRPr="00FF029E">
        <w:rPr>
          <w:lang w:val="pl-PL"/>
        </w:rPr>
        <w:t>Klaster niebieski stanowi trzon klasycznego rynku wtórnego, skupiając maszyny użytkowe i wyprawowe o ugruntowanej pozycji, w tym japońską wielką czwórkę oraz BMW czy KTM. Jednoślady te wykazują regularną eksploatację na poziomie od półtora do czterech tysięcy kilometrów rocznie, której towarzyszy przewidywalny, stabilny spadek wartości rezydualnej w miarę upływu lat.</w:t>
      </w:r>
    </w:p>
    <w:p w14:paraId="159BFC55" w14:textId="77777777" w:rsidR="001043C8" w:rsidRPr="00FF029E" w:rsidRDefault="001043C8" w:rsidP="001043C8">
      <w:pPr>
        <w:rPr>
          <w:lang w:val="pl-PL"/>
        </w:rPr>
      </w:pPr>
      <w:r w:rsidRPr="00FF029E">
        <w:rPr>
          <w:lang w:val="pl-PL"/>
        </w:rPr>
        <w:t>Klaster zielony grupuje stabilną klasykę oraz segment niszowy, gdzie bardzo niskim przebiegom rocznym (poniżej tysiąca kilometrów) towarzyszy wysoka odporność na utratę wartości. To domena marek luksusowych i hobbystycznych, takich jak Harley-Davidson czy Triumph, które są użytkowane okazjonalnie i często traktowane przez właścicieli jako lokata kapitału.</w:t>
      </w:r>
    </w:p>
    <w:p w14:paraId="302E108F" w14:textId="3F23F9FA" w:rsidR="001043C8" w:rsidRPr="00146705" w:rsidRDefault="001043C8">
      <w:pPr>
        <w:rPr>
          <w:lang w:val="pl-PL"/>
        </w:rPr>
      </w:pPr>
      <w:r w:rsidRPr="001043C8">
        <w:rPr>
          <w:lang w:val="pl-PL"/>
        </w:rPr>
        <w:drawing>
          <wp:inline distT="0" distB="0" distL="0" distR="0" wp14:anchorId="6122ECFE" wp14:editId="64E073B8">
            <wp:extent cx="5972810" cy="3982085"/>
            <wp:effectExtent l="0" t="0" r="8890" b="0"/>
            <wp:docPr id="151898105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81057" name=""/>
                    <pic:cNvPicPr/>
                  </pic:nvPicPr>
                  <pic:blipFill>
                    <a:blip r:embed="rId21"/>
                    <a:stretch>
                      <a:fillRect/>
                    </a:stretch>
                  </pic:blipFill>
                  <pic:spPr>
                    <a:xfrm>
                      <a:off x="0" y="0"/>
                      <a:ext cx="5972810" cy="3982085"/>
                    </a:xfrm>
                    <a:prstGeom prst="rect">
                      <a:avLst/>
                    </a:prstGeom>
                  </pic:spPr>
                </pic:pic>
              </a:graphicData>
            </a:graphic>
          </wp:inline>
        </w:drawing>
      </w:r>
      <w:r>
        <w:rPr>
          <w:lang w:val="pl-PL"/>
        </w:rPr>
        <w:br/>
        <w:t>TO TRZEBA POPRAWIĆ</w:t>
      </w:r>
    </w:p>
    <w:p w14:paraId="0FA5AF20" w14:textId="77777777" w:rsidR="001C2C9E" w:rsidRPr="00146705" w:rsidRDefault="00000000">
      <w:pPr>
        <w:pStyle w:val="Nagwek2"/>
        <w:rPr>
          <w:lang w:val="pl-PL"/>
        </w:rPr>
      </w:pPr>
      <w:r w:rsidRPr="00146705">
        <w:rPr>
          <w:lang w:val="pl-PL"/>
        </w:rPr>
        <w:t>7.8. Wyszukiwanie okazji rynkowych</w:t>
      </w:r>
    </w:p>
    <w:p w14:paraId="623C18D8" w14:textId="77777777" w:rsidR="001C2C9E" w:rsidRPr="00146705" w:rsidRDefault="00000000">
      <w:pPr>
        <w:rPr>
          <w:lang w:val="pl-PL"/>
        </w:rPr>
      </w:pPr>
      <w:r w:rsidRPr="00146705">
        <w:rPr>
          <w:lang w:val="pl-PL"/>
        </w:rPr>
        <w:t>Moduł BargainFinder porównuje każde ogłoszenie z grupą peerów: ta sama marka, model i rok produkcji. Średnia cena i średni przebieg grupy liczone są metodą leave-one-out (bieżące ogłoszenie nie wchodzi do średniej, co zapobiega sztucznemu zaniżaniu benchmarku przez samo siebie).</w:t>
      </w:r>
    </w:p>
    <w:p w14:paraId="3691F57B" w14:textId="77777777" w:rsidR="001C2C9E" w:rsidRDefault="00000000">
      <w:pPr>
        <w:rPr>
          <w:lang w:val="pl-PL"/>
        </w:rPr>
      </w:pPr>
      <w:r w:rsidRPr="00146705">
        <w:rPr>
          <w:lang w:val="pl-PL"/>
        </w:rPr>
        <w:lastRenderedPageBreak/>
        <w:t>Ogłoszenie uznawane jest za potencjalną okazję, gdy cena i przebieg są co najmniej o 15% niższe od średniej grupy (analysis.bargain_threshold). Wymagane jest też minimum trzech podobnych ofert w grupie. Ranking okazji oparty jest na deal_score (suma odchyleń procentowych ceny i przebiegu od benchmarku). Lista zapisywana jest do okazje_rynkowe.csv, a wykres okazje_rynkowe.png pokazuje kandydatów na tle rynku.</w:t>
      </w:r>
    </w:p>
    <w:p w14:paraId="5BA32A1C" w14:textId="3441D843" w:rsidR="001043C8" w:rsidRPr="00146705" w:rsidRDefault="001043C8">
      <w:pPr>
        <w:rPr>
          <w:lang w:val="pl-PL"/>
        </w:rPr>
      </w:pPr>
      <w:r w:rsidRPr="001043C8">
        <w:rPr>
          <w:lang w:val="pl-PL"/>
        </w:rPr>
        <w:drawing>
          <wp:inline distT="0" distB="0" distL="0" distR="0" wp14:anchorId="32E6A682" wp14:editId="4CDE6241">
            <wp:extent cx="5972810" cy="4344035"/>
            <wp:effectExtent l="0" t="0" r="8890" b="0"/>
            <wp:docPr id="161642612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26122" name=""/>
                    <pic:cNvPicPr/>
                  </pic:nvPicPr>
                  <pic:blipFill>
                    <a:blip r:embed="rId22"/>
                    <a:stretch>
                      <a:fillRect/>
                    </a:stretch>
                  </pic:blipFill>
                  <pic:spPr>
                    <a:xfrm>
                      <a:off x="0" y="0"/>
                      <a:ext cx="5972810" cy="4344035"/>
                    </a:xfrm>
                    <a:prstGeom prst="rect">
                      <a:avLst/>
                    </a:prstGeom>
                  </pic:spPr>
                </pic:pic>
              </a:graphicData>
            </a:graphic>
          </wp:inline>
        </w:drawing>
      </w:r>
      <w:r>
        <w:rPr>
          <w:lang w:val="pl-PL"/>
        </w:rPr>
        <w:br/>
        <w:t>TO TEŻ TRZEBA POPRAWIĆ</w:t>
      </w:r>
    </w:p>
    <w:p w14:paraId="18832F73" w14:textId="77777777" w:rsidR="001C2C9E" w:rsidRPr="00146705" w:rsidRDefault="00000000">
      <w:pPr>
        <w:pStyle w:val="Nagwek1"/>
        <w:rPr>
          <w:lang w:val="pl-PL"/>
        </w:rPr>
      </w:pPr>
      <w:r w:rsidRPr="00146705">
        <w:rPr>
          <w:lang w:val="pl-PL"/>
        </w:rPr>
        <w:t>8. Wyniki i sposób interpretacji</w:t>
      </w:r>
    </w:p>
    <w:p w14:paraId="7BC0185B" w14:textId="77777777" w:rsidR="001C2C9E" w:rsidRPr="00146705" w:rsidRDefault="00000000">
      <w:pPr>
        <w:rPr>
          <w:lang w:val="pl-PL"/>
        </w:rPr>
      </w:pPr>
      <w:r w:rsidRPr="00146705">
        <w:rPr>
          <w:lang w:val="pl-PL"/>
        </w:rPr>
        <w:t>Po uruchomieniu potoku w katalogu results pojawiają się wykresy PNG oraz pliki CSV z polskimi nagłówkami kolumn (np. Marka, Rok produkcji, Cena względem średniej (%)). Ułatwia to bezpośrednie wykorzystanie wyników w sprawozdaniu lub prezentacji.</w:t>
      </w:r>
    </w:p>
    <w:p w14:paraId="13734323" w14:textId="77777777" w:rsidR="001C2C9E" w:rsidRPr="00146705" w:rsidRDefault="00000000">
      <w:pPr>
        <w:rPr>
          <w:lang w:val="pl-PL"/>
        </w:rPr>
      </w:pPr>
      <w:r w:rsidRPr="00146705">
        <w:rPr>
          <w:lang w:val="pl-PL"/>
        </w:rPr>
        <w:t>Interpretacja powinna zawsze uwzględniać ograniczenia danych ogłoszeniowych: cena to cena ofertowa, nie transakcyjna; przebieg zależy od uczciwości sprzedającego; zbiór odzwierciedla tylko aktywne ogłoszenia w momencie scrapingu.</w:t>
      </w:r>
    </w:p>
    <w:p w14:paraId="47E354BB" w14:textId="77777777" w:rsidR="001C2C9E" w:rsidRPr="00146705" w:rsidRDefault="00000000">
      <w:pPr>
        <w:pStyle w:val="Nagwek1"/>
        <w:rPr>
          <w:lang w:val="pl-PL"/>
        </w:rPr>
      </w:pPr>
      <w:r w:rsidRPr="00146705">
        <w:rPr>
          <w:lang w:val="pl-PL"/>
        </w:rPr>
        <w:lastRenderedPageBreak/>
        <w:t>9. Uruchomienie projektu</w:t>
      </w:r>
    </w:p>
    <w:p w14:paraId="77365A8E" w14:textId="77777777" w:rsidR="001C2C9E" w:rsidRPr="00146705" w:rsidRDefault="00000000">
      <w:pPr>
        <w:pStyle w:val="Listapunktowana"/>
        <w:rPr>
          <w:lang w:val="pl-PL"/>
        </w:rPr>
      </w:pPr>
      <w:r w:rsidRPr="00146705">
        <w:rPr>
          <w:lang w:val="pl-PL"/>
        </w:rPr>
        <w:t>Instalacja zależności: uv sync oraz uv run playwright install</w:t>
      </w:r>
    </w:p>
    <w:p w14:paraId="7B3CE481" w14:textId="77777777" w:rsidR="001C2C9E" w:rsidRPr="00146705" w:rsidRDefault="00000000">
      <w:pPr>
        <w:pStyle w:val="Listapunktowana"/>
        <w:rPr>
          <w:lang w:val="pl-PL"/>
        </w:rPr>
      </w:pPr>
      <w:r w:rsidRPr="00146705">
        <w:rPr>
          <w:lang w:val="pl-PL"/>
        </w:rPr>
        <w:t>Konfiguracja: edycja config/settings.yaml (URL, liczba stron, próg okazji, tryb danych)</w:t>
      </w:r>
    </w:p>
    <w:p w14:paraId="6A1730DB" w14:textId="77777777" w:rsidR="001C2C9E" w:rsidRPr="00146705" w:rsidRDefault="00000000">
      <w:pPr>
        <w:pStyle w:val="Listapunktowana"/>
        <w:rPr>
          <w:lang w:val="pl-PL"/>
        </w:rPr>
      </w:pPr>
      <w:r w:rsidRPr="00146705">
        <w:rPr>
          <w:lang w:val="pl-PL"/>
        </w:rPr>
        <w:t>Uruchomienie pełnego potoku: uv run main.py</w:t>
      </w:r>
    </w:p>
    <w:p w14:paraId="16BA357A" w14:textId="77777777" w:rsidR="001C2C9E" w:rsidRPr="00146705" w:rsidRDefault="00000000">
      <w:pPr>
        <w:pStyle w:val="Listapunktowana"/>
        <w:rPr>
          <w:lang w:val="pl-PL"/>
        </w:rPr>
      </w:pPr>
      <w:r w:rsidRPr="00146705">
        <w:rPr>
          <w:lang w:val="pl-PL"/>
        </w:rPr>
        <w:t>Testy jednostkowe (bez integracji ze scraperem): uv run pytest -m "not integration"</w:t>
      </w:r>
    </w:p>
    <w:p w14:paraId="00A23CBA" w14:textId="77777777" w:rsidR="001C2C9E" w:rsidRPr="00146705" w:rsidRDefault="00000000">
      <w:pPr>
        <w:pStyle w:val="Listapunktowana"/>
        <w:rPr>
          <w:lang w:val="pl-PL"/>
        </w:rPr>
      </w:pPr>
      <w:r w:rsidRPr="00146705">
        <w:rPr>
          <w:lang w:val="pl-PL"/>
        </w:rPr>
        <w:t>Ponowne wygenerowanie opisu: uv run --with python-docx python scripts/generate_opis_projektu_docx.py</w:t>
      </w:r>
    </w:p>
    <w:p w14:paraId="6B004FE9" w14:textId="77777777" w:rsidR="001C2C9E" w:rsidRPr="00146705" w:rsidRDefault="00000000">
      <w:pPr>
        <w:pStyle w:val="Nagwek1"/>
        <w:rPr>
          <w:lang w:val="pl-PL"/>
        </w:rPr>
      </w:pPr>
      <w:r w:rsidRPr="00146705">
        <w:rPr>
          <w:lang w:val="pl-PL"/>
        </w:rPr>
        <w:t>10. Technologie</w:t>
      </w:r>
    </w:p>
    <w:p w14:paraId="06067B29" w14:textId="77777777" w:rsidR="001C2C9E" w:rsidRPr="00146705" w:rsidRDefault="00000000">
      <w:pPr>
        <w:pStyle w:val="Listapunktowana"/>
        <w:rPr>
          <w:lang w:val="pl-PL"/>
        </w:rPr>
      </w:pPr>
      <w:r w:rsidRPr="00146705">
        <w:rPr>
          <w:lang w:val="pl-PL"/>
        </w:rPr>
        <w:t>Python 3.11+</w:t>
      </w:r>
    </w:p>
    <w:p w14:paraId="41AF86EC" w14:textId="77777777" w:rsidR="001C2C9E" w:rsidRPr="00146705" w:rsidRDefault="00000000">
      <w:pPr>
        <w:pStyle w:val="Listapunktowana"/>
        <w:rPr>
          <w:lang w:val="pl-PL"/>
        </w:rPr>
      </w:pPr>
      <w:r w:rsidRPr="00146705">
        <w:rPr>
          <w:lang w:val="pl-PL"/>
        </w:rPr>
        <w:t>uv — zarządzanie zależnościami</w:t>
      </w:r>
    </w:p>
    <w:p w14:paraId="05D7D9F7" w14:textId="77777777" w:rsidR="001C2C9E" w:rsidRPr="00146705" w:rsidRDefault="00000000">
      <w:pPr>
        <w:pStyle w:val="Listapunktowana"/>
        <w:rPr>
          <w:lang w:val="pl-PL"/>
        </w:rPr>
      </w:pPr>
      <w:r w:rsidRPr="00146705">
        <w:rPr>
          <w:lang w:val="pl-PL"/>
        </w:rPr>
        <w:t>Playwright — automatyzacja przeglądarki</w:t>
      </w:r>
    </w:p>
    <w:p w14:paraId="44D17E1F" w14:textId="77777777" w:rsidR="001C2C9E" w:rsidRPr="00146705" w:rsidRDefault="00000000">
      <w:pPr>
        <w:pStyle w:val="Listapunktowana"/>
        <w:rPr>
          <w:lang w:val="pl-PL"/>
        </w:rPr>
      </w:pPr>
      <w:r w:rsidRPr="00146705">
        <w:rPr>
          <w:lang w:val="pl-PL"/>
        </w:rPr>
        <w:t>Pandas, NumPy — przetwarzanie tabelaryczne</w:t>
      </w:r>
    </w:p>
    <w:p w14:paraId="33E0373D" w14:textId="77777777" w:rsidR="001C2C9E" w:rsidRPr="00146705" w:rsidRDefault="00000000">
      <w:pPr>
        <w:pStyle w:val="Listapunktowana"/>
        <w:rPr>
          <w:lang w:val="pl-PL"/>
        </w:rPr>
      </w:pPr>
      <w:r w:rsidRPr="00146705">
        <w:rPr>
          <w:lang w:val="pl-PL"/>
        </w:rPr>
        <w:t>scikit-learn — regresja liniowa, k-means, standaryzacja</w:t>
      </w:r>
    </w:p>
    <w:p w14:paraId="3BB4000B" w14:textId="77777777" w:rsidR="001C2C9E" w:rsidRPr="00146705" w:rsidRDefault="00000000">
      <w:pPr>
        <w:pStyle w:val="Listapunktowana"/>
        <w:rPr>
          <w:lang w:val="pl-PL"/>
        </w:rPr>
      </w:pPr>
      <w:r w:rsidRPr="00146705">
        <w:rPr>
          <w:lang w:val="pl-PL"/>
        </w:rPr>
        <w:t>Matplotlib, Seaborn — wizualizacje</w:t>
      </w:r>
    </w:p>
    <w:p w14:paraId="03727A85" w14:textId="77777777" w:rsidR="001C2C9E" w:rsidRPr="00146705" w:rsidRDefault="00000000">
      <w:pPr>
        <w:pStyle w:val="Listapunktowana"/>
        <w:rPr>
          <w:lang w:val="pl-PL"/>
        </w:rPr>
      </w:pPr>
      <w:r w:rsidRPr="00146705">
        <w:rPr>
          <w:lang w:val="pl-PL"/>
        </w:rPr>
        <w:t>pytest — testy modułów cleaning, analysis i potoku danych</w:t>
      </w:r>
    </w:p>
    <w:p w14:paraId="59D2EF98" w14:textId="77777777" w:rsidR="001C2C9E" w:rsidRPr="00146705" w:rsidRDefault="00000000">
      <w:pPr>
        <w:pStyle w:val="Nagwek1"/>
        <w:rPr>
          <w:lang w:val="pl-PL"/>
        </w:rPr>
      </w:pPr>
      <w:r w:rsidRPr="00146705">
        <w:rPr>
          <w:lang w:val="pl-PL"/>
        </w:rPr>
        <w:t>11. Wnioski</w:t>
      </w:r>
    </w:p>
    <w:p w14:paraId="0C3E8BAA" w14:textId="77777777" w:rsidR="001C2C9E" w:rsidRPr="00146705" w:rsidRDefault="00000000">
      <w:pPr>
        <w:rPr>
          <w:lang w:val="pl-PL"/>
        </w:rPr>
      </w:pPr>
      <w:r w:rsidRPr="00146705">
        <w:rPr>
          <w:lang w:val="pl-PL"/>
        </w:rPr>
        <w:t>Zrealizowany system spełnia wymagania projektu z eksploracji danych: automatycznie pozyskuje dane z Internetu, porządkuje je i przeprowadza analizę wielopoziomową inspirowaną sprawdzonym schematem z rynku samochodów osobowych.</w:t>
      </w:r>
    </w:p>
    <w:p w14:paraId="4954E7C4" w14:textId="57C12858" w:rsidR="001C2C9E" w:rsidRPr="00146705" w:rsidRDefault="00000000">
      <w:pPr>
        <w:rPr>
          <w:lang w:val="pl-PL"/>
        </w:rPr>
      </w:pPr>
      <w:r w:rsidRPr="00146705">
        <w:rPr>
          <w:lang w:val="pl-PL"/>
        </w:rPr>
        <w:t>Połączenie statystyk opisowych, regresji per marka, segmentacji k-means oraz porównań peer-to-peer daje zarówno obraz całego rynku motocykli, jak i narzędzie do wstępnej selekcji atrakcyjnych ogłoszeń. Dalszym kierunkiem rozwoju mogłoby być uwzględnienie lokalizacji, stanu technicznego lub historii cen z wielu pobrań w czasie.</w:t>
      </w:r>
    </w:p>
    <w:sectPr w:rsidR="001C2C9E" w:rsidRPr="00146705" w:rsidSect="00034616">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C0199" w14:textId="77777777" w:rsidR="00F34AEF" w:rsidRDefault="00F34AEF" w:rsidP="00AD3602">
      <w:pPr>
        <w:spacing w:after="0" w:line="240" w:lineRule="auto"/>
      </w:pPr>
      <w:r>
        <w:separator/>
      </w:r>
    </w:p>
  </w:endnote>
  <w:endnote w:type="continuationSeparator" w:id="0">
    <w:p w14:paraId="3E970978" w14:textId="77777777" w:rsidR="00F34AEF" w:rsidRDefault="00F34AEF" w:rsidP="00AD3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7D6E8" w14:textId="77777777" w:rsidR="00AD3602" w:rsidRDefault="00AD3602">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F4D46" w14:textId="77777777" w:rsidR="00F34AEF" w:rsidRDefault="00F34AEF" w:rsidP="00AD3602">
      <w:pPr>
        <w:spacing w:after="0" w:line="240" w:lineRule="auto"/>
      </w:pPr>
      <w:r>
        <w:separator/>
      </w:r>
    </w:p>
  </w:footnote>
  <w:footnote w:type="continuationSeparator" w:id="0">
    <w:p w14:paraId="1B9C8198" w14:textId="77777777" w:rsidR="00F34AEF" w:rsidRDefault="00F34AEF" w:rsidP="00AD36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346404058">
    <w:abstractNumId w:val="8"/>
  </w:num>
  <w:num w:numId="2" w16cid:durableId="2115977259">
    <w:abstractNumId w:val="6"/>
  </w:num>
  <w:num w:numId="3" w16cid:durableId="963927738">
    <w:abstractNumId w:val="5"/>
  </w:num>
  <w:num w:numId="4" w16cid:durableId="870580411">
    <w:abstractNumId w:val="4"/>
  </w:num>
  <w:num w:numId="5" w16cid:durableId="177668285">
    <w:abstractNumId w:val="7"/>
  </w:num>
  <w:num w:numId="6" w16cid:durableId="739329948">
    <w:abstractNumId w:val="3"/>
  </w:num>
  <w:num w:numId="7" w16cid:durableId="2075270933">
    <w:abstractNumId w:val="2"/>
  </w:num>
  <w:num w:numId="8" w16cid:durableId="817772027">
    <w:abstractNumId w:val="1"/>
  </w:num>
  <w:num w:numId="9" w16cid:durableId="1602570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DD9"/>
    <w:rsid w:val="00034616"/>
    <w:rsid w:val="0006063C"/>
    <w:rsid w:val="001043C8"/>
    <w:rsid w:val="00146705"/>
    <w:rsid w:val="0015074B"/>
    <w:rsid w:val="00150E15"/>
    <w:rsid w:val="001C2C9E"/>
    <w:rsid w:val="0029639D"/>
    <w:rsid w:val="00326F90"/>
    <w:rsid w:val="004214E5"/>
    <w:rsid w:val="00672375"/>
    <w:rsid w:val="00694E86"/>
    <w:rsid w:val="007503ED"/>
    <w:rsid w:val="008419ED"/>
    <w:rsid w:val="00A21056"/>
    <w:rsid w:val="00AA1D8D"/>
    <w:rsid w:val="00AD3602"/>
    <w:rsid w:val="00B47730"/>
    <w:rsid w:val="00BB3C84"/>
    <w:rsid w:val="00C07686"/>
    <w:rsid w:val="00C465AB"/>
    <w:rsid w:val="00C90D24"/>
    <w:rsid w:val="00CB0664"/>
    <w:rsid w:val="00CD325C"/>
    <w:rsid w:val="00D012AC"/>
    <w:rsid w:val="00DA212F"/>
    <w:rsid w:val="00DA4490"/>
    <w:rsid w:val="00EA482B"/>
    <w:rsid w:val="00F34AEF"/>
    <w:rsid w:val="00FC693F"/>
    <w:rsid w:val="00FD3E45"/>
    <w:rsid w:val="00FF02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AA1A69"/>
  <w14:defaultImageDpi w14:val="330"/>
  <w15:docId w15:val="{AE1D0F5C-6085-4859-9335-E0DC8996C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19</Pages>
  <Words>2583</Words>
  <Characters>15501</Characters>
  <Application>Microsoft Office Word</Application>
  <DocSecurity>0</DocSecurity>
  <Lines>129</Lines>
  <Paragraphs>36</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Kamil Wierzbicki (279392)</cp:lastModifiedBy>
  <cp:revision>5</cp:revision>
  <dcterms:created xsi:type="dcterms:W3CDTF">2013-12-23T23:15:00Z</dcterms:created>
  <dcterms:modified xsi:type="dcterms:W3CDTF">2026-05-23T10:11:00Z</dcterms:modified>
  <cp:category/>
</cp:coreProperties>
</file>