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0F6E63"/>
          <w:sz w:val="64"/>
          <w:szCs w:val="64"/>
        </w:rPr>
        <w:t xml:space="preserve">PolyMarker Analytics</w:t>
      </w:r>
    </w:p>
    <w:p>
      <w:pPr>
        <w:spacing w:after="240"/>
      </w:pPr>
      <w:r>
        <w:rPr>
          <w:color w:val="1F2A2E"/>
          <w:sz w:val="40"/>
          <w:szCs w:val="40"/>
        </w:rPr>
        <w:t xml:space="preserve">Complete Project Guide</w:t>
      </w:r>
    </w:p>
    <w:p>
      <w:pPr>
        <w:pBdr>
          <w:bottom w:val="single" w:color="0F6E63" w:sz="12" w:space="4"/>
        </w:pBdr>
        <w:spacing w:after="360"/>
      </w:pPr>
    </w:p>
    <w:p>
      <w:pPr>
        <w:spacing w:after="120" w:line="276"/>
      </w:pPr>
      <w:r>
        <w:rPr>
          <w:color w:val="5B6B70"/>
          <w:sz w:val="26"/>
          <w:szCs w:val="26"/>
        </w:rPr>
        <w:t xml:space="preserve">A scalable big-data architecture for multi-biomarker clustering, symptom correlation and functional-range discovery in unstructured health records.</w:t>
      </w:r>
    </w:p>
    <w:p>
      <w:pPr>
        <w:spacing w:before="600"/>
      </w:pPr>
    </w:p>
    <w:p>
      <w:pPr>
        <w:spacing w:after="120" w:line="276"/>
      </w:pPr>
      <w:r>
        <w:rPr>
          <w:b/>
          <w:bCs/>
        </w:rPr>
        <w:t xml:space="preserve">Prepared for:</w:t>
      </w:r>
      <w:r>
        <w:t xml:space="preserve"> Riya Pataskar</w:t>
      </w:r>
    </w:p>
    <w:p>
      <w:pPr>
        <w:spacing w:after="120" w:line="276"/>
      </w:pPr>
      <w:r>
        <w:rPr>
          <w:b/>
          <w:bCs/>
        </w:rPr>
        <w:t xml:space="preserve">Repository:</w:t>
      </w:r>
      <w:r>
        <w:t xml:space="preserve"> github.com/SonicVortex408/careflow (branch </w:t>
      </w:r>
      <w:r>
        <w:rPr>
          <w:rFonts w:ascii="Consolas" w:cs="Consolas" w:eastAsia="Consolas" w:hAnsi="Consolas"/>
          <w:color w:val="7A3E00"/>
          <w:sz w:val="19"/>
          <w:szCs w:val="19"/>
        </w:rPr>
        <w:t xml:space="preserve">main</w:t>
      </w:r>
      <w:r>
        <w:t xml:space="preserve">)</w:t>
      </w:r>
    </w:p>
    <w:p>
      <w:pPr>
        <w:spacing w:after="120" w:line="276"/>
      </w:pPr>
      <w:r>
        <w:rPr>
          <w:b/>
          <w:bCs/>
        </w:rPr>
        <w:t xml:space="preserve">Live deployment:</w:t>
      </w:r>
      <w:r>
        <w:t xml:space="preserve"> Vercel (frontend) · Modal (backend, AI service, jobs) · Supabase (database, file storage)</w:t>
      </w:r>
    </w:p>
    <w:p>
      <w:pPr>
        <w:spacing w:after="120" w:line="276"/>
      </w:pPr>
      <w:r>
        <w:rPr>
          <w:b/>
          <w:bCs/>
        </w:rPr>
        <w:t xml:space="preserve">Date:</w:t>
      </w:r>
      <w:r>
        <w:t xml:space="preserve"> 30 September 2026</w:t>
      </w:r>
    </w:p>
    <w:p>
      <w:pPr>
        <w:spacing w:before="1400"/>
      </w:pPr>
    </w:p>
    <w:p>
      <w:pPr>
        <w:pBdr>
          <w:left w:val="single" w:color="0F6E63" w:sz="18" w:space="8"/>
        </w:pBdr>
        <w:shd w:fill="FDF3E1" w:color="auto" w:val="clear"/>
        <w:spacing w:after="160" w:before="80" w:line="276"/>
        <w:ind w:left="144" w:right="144"/>
      </w:pPr>
      <w:r>
        <w:rPr>
          <w:b/>
          <w:bCs/>
          <w:color w:val="0F6E63"/>
        </w:rPr>
        <w:t xml:space="preserve">Important: </w:t>
      </w:r>
      <w:r>
        <w:t xml:space="preserve">All population-level data in this project is synthetic. Every cluster, functional range, percentile and risk score is derived from synthetic data, for research/demo purposes, and is not clinical guidance. PolyMarker does not diagnose.</w:t>
      </w:r>
    </w:p>
    <w:p>
      <w:pPr>
        <w:pageBreakBefore/>
        <w:spacing w:after="200"/>
      </w:pPr>
      <w:r>
        <w:rPr>
          <w:b/>
          <w:bCs/>
          <w:color w:val="0F6E63"/>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B6B70"/>
          <w:sz w:val="18"/>
          <w:szCs w:val="18"/>
        </w:rPr>
        <w:t xml:space="preserve">If the contents list appears empty, right-click it in Word and choose </w:t>
      </w:r>
      <w:r>
        <w:rPr>
          <w:b/>
          <w:bCs/>
          <w:i/>
          <w:iCs/>
          <w:color w:val="5B6B70"/>
          <w:sz w:val="18"/>
          <w:szCs w:val="18"/>
        </w:rPr>
        <w:t xml:space="preserve">Update Field</w:t>
      </w:r>
      <w:r>
        <w:rPr>
          <w:i/>
          <w:iCs/>
          <w:color w:val="5B6B70"/>
          <w:sz w:val="18"/>
          <w:szCs w:val="18"/>
        </w:rPr>
        <w:t xml:space="preserve"> (LibreOffice: Tools → Update → Update All).</w:t>
      </w:r>
    </w:p>
    <w:p>
      <w:pPr>
        <w:pStyle w:val="Heading1"/>
        <w:pageBreakBefore/>
      </w:pPr>
      <w:r>
        <w:t xml:space="preserve">1. What PolyMarker is</w:t>
      </w:r>
    </w:p>
    <w:p>
      <w:pPr>
        <w:spacing w:after="120" w:line="276"/>
      </w:pPr>
      <w:r>
        <w:t xml:space="preserve">PolyMarker Analytics (formerly careFlow / LabLens) is a web application that turns thyroid and micronutrient lab reports into plain-language insight that a clinician has reviewed. A patient uploads a lab report (PDF, scan, photo or text file), records how they have been feeling, and, once a clinician has checked and signed off the automated interpretation, sees their results explained: where each value sits against the lab's range and a data-derived "functional" band, how their pattern compares with a (synthetic) population, which symptoms their pattern is associated with, and what to ask at their next appointment.</w:t>
      </w:r>
    </w:p>
    <w:p>
      <w:pPr>
        <w:spacing w:after="120" w:line="276"/>
      </w:pPr>
      <w:r>
        <w:t xml:space="preserve">It is also a big-data engineering project. Behind the web app sits an offline analytics engine that generates and processes a 50,000-patient synthetic data lake with Spark or DuckDB. It clusters patients, discovers functional ranges, trains calibrated symptom-risk models with explanations, and publishes versioned model files that the live service uses.</w:t>
      </w:r>
    </w:p>
    <w:p>
      <w:pPr>
        <w:pStyle w:val="Heading2"/>
      </w:pPr>
      <w:r>
        <w:t xml:space="preserve">1.1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Area</w:t>
            </w:r>
          </w:p>
        </w:tc>
        <w:tc>
          <w:tcPr>
            <w:tcW w:type="dxa" w:w="682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What is covered</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Biomarkers (9)</w:t>
            </w:r>
          </w:p>
        </w:tc>
        <w:tc>
          <w:tcPr>
            <w:tcW w:type="dxa" w:w="68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TSH, Free T3, Free T4, Anti-TPO (thyroid antibodies), Vitamin D (25-OH), Vitamin B12, Ferritin (iron stores), Magnesium, Zinc</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Symptoms / PROMs (3)</w:t>
            </w:r>
          </w:p>
        </w:tc>
        <w:tc>
          <w:tcPr>
            <w:tcW w:type="dxa" w:w="68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Tiredness (fatigue severity 1–10), brain-fog frequency (never … always), hair loss (none … severe)</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Users (3 roles)</w:t>
            </w:r>
          </w:p>
        </w:tc>
        <w:tc>
          <w:tcPr>
            <w:tcW w:type="dxa" w:w="68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 Clinician, Admin</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Formats read</w:t>
            </w:r>
          </w:p>
        </w:tc>
        <w:tc>
          <w:tcPr>
            <w:tcW w:type="dxa" w:w="68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Text PDFs, scanned/image PDFs, PNG/JPG photos, plain text; 5 lab label styles; conventional and SI units</w:t>
            </w:r>
          </w:p>
        </w:tc>
      </w:tr>
    </w:tbl>
    <w:p>
      <w:pPr>
        <w:pStyle w:val="Heading2"/>
      </w:pPr>
      <w:r>
        <w:t xml:space="preserve">1.2 What it is not</w:t>
      </w:r>
    </w:p>
    <w:p>
      <w:pPr>
        <w:pStyle w:val="ListParagraph"/>
        <w:numPr>
          <w:ilvl w:val="0"/>
          <w:numId w:val="2"/>
        </w:numPr>
        <w:spacing w:after="60" w:line="264"/>
      </w:pPr>
      <w:r>
        <w:t xml:space="preserve">It is </w:t>
      </w:r>
      <w:r>
        <w:rPr>
          <w:b/>
          <w:bCs/>
        </w:rPr>
        <w:t xml:space="preserve">not a diagnostic device</w:t>
      </w:r>
      <w:r>
        <w:t xml:space="preserve">. It never names a diagnosis, never gives a dose and never tells anyone to start or stop a medicine. These rules are enforced in code, not only in prompts.</w:t>
      </w:r>
    </w:p>
    <w:p>
      <w:pPr>
        <w:pStyle w:val="ListParagraph"/>
        <w:numPr>
          <w:ilvl w:val="0"/>
          <w:numId w:val="2"/>
        </w:numPr>
        <w:spacing w:after="60" w:line="264"/>
      </w:pPr>
      <w:r>
        <w:t xml:space="preserve">It has </w:t>
      </w:r>
      <w:r>
        <w:rPr>
          <w:b/>
          <w:bCs/>
        </w:rPr>
        <w:t xml:space="preserve">not been validated on real patients</w:t>
      </w:r>
      <w:r>
        <w:t xml:space="preserve">. All population statistics come from synthetic data (see Section 18, Limitations).</w:t>
      </w:r>
    </w:p>
    <w:p>
      <w:pPr>
        <w:pStyle w:val="ListParagraph"/>
        <w:numPr>
          <w:ilvl w:val="0"/>
          <w:numId w:val="2"/>
        </w:numPr>
        <w:spacing w:after="60" w:line="264"/>
      </w:pPr>
      <w:r>
        <w:t xml:space="preserve">No automated interpretation reaches a patient until a </w:t>
      </w:r>
      <w:r>
        <w:rPr>
          <w:b/>
          <w:bCs/>
        </w:rPr>
        <w:t xml:space="preserve">clinician approves it</w:t>
      </w:r>
      <w:r>
        <w:t xml:space="preserve">.</w:t>
      </w:r>
    </w:p>
    <w:p>
      <w:pPr>
        <w:pStyle w:val="Heading2"/>
      </w:pPr>
      <w:r>
        <w:t xml:space="preserve">1.3 The four design principles</w:t>
      </w:r>
    </w:p>
    <w:p>
      <w:pPr>
        <w:pStyle w:val="ListParagraph"/>
        <w:numPr>
          <w:ilvl w:val="0"/>
          <w:numId w:val="3"/>
        </w:numPr>
        <w:spacing w:after="60" w:line="264"/>
      </w:pPr>
      <w:r>
        <w:rPr>
          <w:b/>
          <w:bCs/>
        </w:rPr>
        <w:t xml:space="preserve">Clinician in the loop.</w:t>
      </w:r>
      <w:r>
        <w:t xml:space="preserve"> Every interpretation is stored as "pending clinician review"; the patient sees nothing until a clinician approves, edits or rejects it.</w:t>
      </w:r>
    </w:p>
    <w:p>
      <w:pPr>
        <w:pStyle w:val="ListParagraph"/>
        <w:numPr>
          <w:ilvl w:val="0"/>
          <w:numId w:val="3"/>
        </w:numPr>
        <w:spacing w:after="60" w:line="264"/>
      </w:pPr>
      <w:r>
        <w:rPr>
          <w:b/>
          <w:bCs/>
        </w:rPr>
        <w:t xml:space="preserve">The AI is never the last step.</w:t>
      </w:r>
      <w:r>
        <w:t xml:space="preserve"> Anything an AI model writes passes deterministic safety checks (guardrails). Failing drafts are regenerated, then replaced with a safe template.</w:t>
      </w:r>
    </w:p>
    <w:p>
      <w:pPr>
        <w:pStyle w:val="ListParagraph"/>
        <w:numPr>
          <w:ilvl w:val="0"/>
          <w:numId w:val="3"/>
        </w:numPr>
        <w:spacing w:after="60" w:line="264"/>
      </w:pPr>
      <w:r>
        <w:rPr>
          <w:b/>
          <w:bCs/>
        </w:rPr>
        <w:t xml:space="preserve">Evidence is traceable.</w:t>
      </w:r>
      <w:r>
        <w:t xml:space="preserve"> Every link in the knowledge graph carries its source and evidence level; unverified links are shown as unverified.</w:t>
      </w:r>
    </w:p>
    <w:p>
      <w:pPr>
        <w:pStyle w:val="ListParagraph"/>
        <w:numPr>
          <w:ilvl w:val="0"/>
          <w:numId w:val="3"/>
        </w:numPr>
        <w:spacing w:after="60" w:line="264"/>
      </w:pPr>
      <w:r>
        <w:rPr>
          <w:b/>
          <w:bCs/>
        </w:rPr>
        <w:t xml:space="preserve">Honest labelling.</w:t>
      </w:r>
      <w:r>
        <w:t xml:space="preserve"> Anything derived from synthetic data says so in code, API responses and the user interface.</w:t>
      </w:r>
    </w:p>
    <w:p>
      <w:pPr>
        <w:pStyle w:val="Heading1"/>
        <w:pageBreakBefore/>
      </w:pPr>
      <w:r>
        <w:t xml:space="preserve">2. How it works: the journey of one lab report</w:t>
      </w:r>
    </w:p>
    <w:p>
      <w:pPr>
        <w:spacing w:after="120" w:line="276"/>
      </w:pPr>
      <w:r>
        <w:t xml:space="preserve">This is what happens, step by step, when a patient uploads a report on the live site.</w:t>
      </w:r>
    </w:p>
    <w:p>
      <w:pPr>
        <w:pStyle w:val="ListParagraph"/>
        <w:numPr>
          <w:ilvl w:val="0"/>
          <w:numId w:val="4"/>
        </w:numPr>
        <w:spacing w:after="60" w:line="264"/>
      </w:pPr>
      <w:r>
        <w:rPr>
          <w:b/>
          <w:bCs/>
        </w:rPr>
        <w:t xml:space="preserve">Symptom check-in (optional but recommended).</w:t>
      </w:r>
      <w:r>
        <w:t xml:space="preserve"> The patient rates tiredness 1–10 and picks brain-fog and hair-loss levels. The latest check-in is attached to every upload.</w:t>
      </w:r>
    </w:p>
    <w:p>
      <w:pPr>
        <w:pStyle w:val="ListParagraph"/>
        <w:numPr>
          <w:ilvl w:val="0"/>
          <w:numId w:val="4"/>
        </w:numPr>
        <w:spacing w:after="60" w:line="264"/>
      </w:pPr>
      <w:r>
        <w:rPr>
          <w:b/>
          <w:bCs/>
        </w:rPr>
        <w:t xml:space="preserve">Upload.</w:t>
      </w:r>
      <w:r>
        <w:t xml:space="preserve"> The browser sends the file to the backend (</w:t>
      </w:r>
      <w:r>
        <w:rPr>
          <w:rFonts w:ascii="Consolas" w:cs="Consolas" w:eastAsia="Consolas" w:hAnsi="Consolas"/>
          <w:color w:val="7A3E00"/>
          <w:sz w:val="19"/>
          <w:szCs w:val="19"/>
        </w:rPr>
        <w:t xml:space="preserve">POST /api/reports</w:t>
      </w:r>
      <w:r>
        <w:t xml:space="preserve">). The backend checks the file type (PDF, TXT, PNG, JPG; max 10 MB), stores the original in a private Supabase Storage bucket, and creates a report row in Postgres with status </w:t>
      </w:r>
      <w:r>
        <w:rPr>
          <w:b/>
          <w:bCs/>
        </w:rPr>
        <w:t xml:space="preserve">processing</w:t>
      </w:r>
      <w:r>
        <w:t xml:space="preserve"> and an audit entry "uploaded".</w:t>
      </w:r>
    </w:p>
    <w:p>
      <w:pPr>
        <w:pStyle w:val="ListParagraph"/>
        <w:numPr>
          <w:ilvl w:val="0"/>
          <w:numId w:val="4"/>
        </w:numPr>
        <w:spacing w:after="60" w:line="264"/>
      </w:pPr>
      <w:r>
        <w:rPr>
          <w:b/>
          <w:bCs/>
        </w:rPr>
        <w:t xml:space="preserve">Job queued.</w:t>
      </w:r>
      <w:r>
        <w:t xml:space="preserve"> The backend forwards the file to the AI service with a shared secret key. The AI service answers immediately with a job id (the patient is not kept waiting) and starts a background job on Modal.</w:t>
      </w:r>
    </w:p>
    <w:p>
      <w:pPr>
        <w:pStyle w:val="ListParagraph"/>
        <w:numPr>
          <w:ilvl w:val="0"/>
          <w:numId w:val="4"/>
        </w:numPr>
        <w:spacing w:after="60" w:line="264"/>
      </w:pPr>
      <w:r>
        <w:rPr>
          <w:b/>
          <w:bCs/>
        </w:rPr>
        <w:t xml:space="preserve">Reading the document (OCR).</w:t>
      </w:r>
      <w:r>
        <w:t xml:space="preserve"> If the PDF has a text layer it is read directly. If it is a scan or photo, Tesseract OCR reads it and a column detector rebuilds the table rows. Each value gets a confidence score.</w:t>
      </w:r>
    </w:p>
    <w:p>
      <w:pPr>
        <w:pStyle w:val="ListParagraph"/>
        <w:numPr>
          <w:ilvl w:val="0"/>
          <w:numId w:val="4"/>
        </w:numPr>
        <w:spacing w:after="60" w:line="264"/>
      </w:pPr>
      <w:r>
        <w:rPr>
          <w:b/>
          <w:bCs/>
        </w:rPr>
        <w:t xml:space="preserve">Parsing and normalizing.</w:t>
      </w:r>
      <w:r>
        <w:t xml:space="preserve"> A layout-tolerant parser finds each test name, value, unit and flag. Names are matched to the 9 markers (LOINC codes) even with typos or different lab wording; units are converted to SI (e.g. vitamin D ng/mL → nmol/L). Patient names are never extracted.</w:t>
      </w:r>
    </w:p>
    <w:p>
      <w:pPr>
        <w:pStyle w:val="ListParagraph"/>
        <w:numPr>
          <w:ilvl w:val="0"/>
          <w:numId w:val="4"/>
        </w:numPr>
        <w:spacing w:after="60" w:line="264"/>
      </w:pPr>
      <w:r>
        <w:rPr>
          <w:b/>
          <w:bCs/>
        </w:rPr>
        <w:t xml:space="preserve">Data-quality checks.</w:t>
      </w:r>
      <w:r>
        <w:t xml:space="preserve"> Plausibility limits, decimal-point misreads, z-score and IQR outliers, duplicates and missing units are flagged for the clinician.</w:t>
      </w:r>
    </w:p>
    <w:p>
      <w:pPr>
        <w:pStyle w:val="ListParagraph"/>
        <w:numPr>
          <w:ilvl w:val="0"/>
          <w:numId w:val="4"/>
        </w:numPr>
        <w:spacing w:after="60" w:line="264"/>
      </w:pPr>
      <w:r>
        <w:rPr>
          <w:b/>
          <w:bCs/>
        </w:rPr>
        <w:t xml:space="preserve">Analytics.</w:t>
      </w:r>
      <w:r>
        <w:t xml:space="preserve"> Using the published model files: where each value sits against the lab range and the functional band, population percentile, cluster profile, and calibrated symptom-risk scores with SHAP "drivers".</w:t>
      </w:r>
    </w:p>
    <w:p>
      <w:pPr>
        <w:pStyle w:val="ListParagraph"/>
        <w:numPr>
          <w:ilvl w:val="0"/>
          <w:numId w:val="4"/>
        </w:numPr>
        <w:spacing w:after="60" w:line="264"/>
      </w:pPr>
      <w:r>
        <w:rPr>
          <w:b/>
          <w:bCs/>
        </w:rPr>
        <w:t xml:space="preserve">Evidence.</w:t>
      </w:r>
      <w:r>
        <w:t xml:space="preserve"> The knowledge graph (Neo4j, or its identical in-memory copy) supplies evidence chains such as "low ferritin → associated with → fatigue", each with source and evidence level.</w:t>
      </w:r>
    </w:p>
    <w:p>
      <w:pPr>
        <w:pStyle w:val="ListParagraph"/>
        <w:numPr>
          <w:ilvl w:val="0"/>
          <w:numId w:val="4"/>
        </w:numPr>
        <w:spacing w:after="60" w:line="264"/>
      </w:pPr>
      <w:r>
        <w:rPr>
          <w:b/>
          <w:bCs/>
        </w:rPr>
        <w:t xml:space="preserve">Summary and guardrails.</w:t>
      </w:r>
      <w:r>
        <w:t xml:space="preserve"> A plain-language summary is written (by an LLM if a key is configured, otherwise by a deterministic template) and then checked: no diagnosis, no prescribing or dosing, reading grade ≤ 8, disclaimer present, no leaked ids or injected instructions. Escalation rules set the priority (routine, priority, urgent).</w:t>
      </w:r>
    </w:p>
    <w:p>
      <w:pPr>
        <w:pStyle w:val="ListParagraph"/>
        <w:numPr>
          <w:ilvl w:val="0"/>
          <w:numId w:val="4"/>
        </w:numPr>
        <w:spacing w:after="60" w:line="264"/>
      </w:pPr>
      <w:r>
        <w:rPr>
          <w:b/>
          <w:bCs/>
        </w:rPr>
        <w:t xml:space="preserve">Waiting for review.</w:t>
      </w:r>
      <w:r>
        <w:t xml:space="preserve"> The backend polls the job; when it completes the report becomes </w:t>
      </w:r>
      <w:r>
        <w:rPr>
          <w:b/>
          <w:bCs/>
        </w:rPr>
        <w:t xml:space="preserve">pending_clinician_review</w:t>
      </w:r>
      <w:r>
        <w:t xml:space="preserve">. The patient sees only a status message.</w:t>
      </w:r>
    </w:p>
    <w:p>
      <w:pPr>
        <w:pStyle w:val="ListParagraph"/>
        <w:numPr>
          <w:ilvl w:val="0"/>
          <w:numId w:val="4"/>
        </w:numPr>
        <w:spacing w:after="60" w:line="264"/>
      </w:pPr>
      <w:r>
        <w:rPr>
          <w:b/>
          <w:bCs/>
        </w:rPr>
        <w:t xml:space="preserve">Clinician review.</w:t>
      </w:r>
      <w:r>
        <w:t xml:space="preserve"> The clinician sees the extracted values with confidence, quality warnings, escalation reasons, the summary and the audit trail, then approves, edits and approves, or rejects (a reason is required).</w:t>
      </w:r>
    </w:p>
    <w:p>
      <w:pPr>
        <w:pStyle w:val="ListParagraph"/>
        <w:numPr>
          <w:ilvl w:val="0"/>
          <w:numId w:val="4"/>
        </w:numPr>
        <w:spacing w:after="60" w:line="264"/>
      </w:pPr>
      <w:r>
        <w:rPr>
          <w:b/>
          <w:bCs/>
        </w:rPr>
        <w:t xml:space="preserve">Patient view.</w:t>
      </w:r>
      <w:r>
        <w:t xml:space="preserve"> After approval the patient's dashboard shows gauges, a radar chart, a cohort map, symptom likelihood with drivers, evidence and appointment questions. The AI assistant can now use the approved results as context.</w:t>
      </w:r>
    </w:p>
    <w:p>
      <w:pPr>
        <w:pBdr>
          <w:left w:val="single" w:color="0F6E63" w:sz="18" w:space="8"/>
        </w:pBdr>
        <w:shd w:fill="E8F3F1" w:color="auto" w:val="clear"/>
        <w:spacing w:after="160" w:before="80" w:line="276"/>
        <w:ind w:left="144" w:right="144"/>
      </w:pPr>
      <w:r>
        <w:rPr>
          <w:b/>
          <w:bCs/>
          <w:color w:val="0F6E63"/>
        </w:rPr>
        <w:t xml:space="preserve">Note: </w:t>
      </w:r>
      <w:r>
        <w:t xml:space="preserve">Report statuses: processing → pending_clinician_review → approved | rejected. A report whose job fails or is lost becomes failed. Each transition is written to the report's audit trail, and each is applied at most once even if several requests arrive at the same moment.</w:t>
      </w:r>
    </w:p>
    <w:p>
      <w:pPr>
        <w:pStyle w:val="Heading1"/>
        <w:pageBreakBefore/>
      </w:pPr>
      <w:r>
        <w:t xml:space="preserve">3. Architecture</w:t>
      </w:r>
    </w:p>
    <w:p>
      <w:pPr>
        <w:spacing w:after="120" w:line="276"/>
      </w:pPr>
      <w:r>
        <w:t xml:space="preserve">PolyMarker is a monorepo of six projects plus deployment and documentation. In production they run on three free-tier platforms.</w:t>
      </w:r>
    </w:p>
    <w:p>
      <w:pPr>
        <w:shd w:fill="F3F5F6" w:color="auto" w:val="clear"/>
        <w:spacing w:after="0" w:line="240"/>
        <w:ind w:left="144" w:right="144"/>
      </w:pPr>
      <w:r>
        <w:rPr>
          <w:rFonts w:ascii="Consolas" w:cs="Consolas" w:eastAsia="Consolas" w:hAnsi="Consolas"/>
          <w:color w:val="1F2A2E"/>
          <w:sz w:val="18"/>
          <w:szCs w:val="18"/>
        </w:rPr>
        <w:t xml:space="preserve">Browser ──HTTPS──► Frontend (React, on Vercel)</w:t>
      </w:r>
    </w:p>
    <w:p>
      <w:pPr>
        <w:shd w:fill="F3F5F6" w:color="auto" w:val="clear"/>
        <w:spacing w:after="0" w:line="240"/>
        <w:ind w:left="144" w:right="144"/>
      </w:pPr>
      <w:r>
        <w:rPr>
          <w:rFonts w:ascii="Consolas" w:cs="Consolas" w:eastAsia="Consolas" w:hAnsi="Consolas"/>
          <w:color w:val="1F2A2E"/>
          <w:sz w:val="18"/>
          <w:szCs w:val="18"/>
        </w:rPr>
        <w:t xml:space="preserve">                      │  VITE_API_BASE_URL</w:t>
      </w:r>
    </w:p>
    <w:p>
      <w:pPr>
        <w:shd w:fill="F3F5F6" w:color="auto" w:val="clear"/>
        <w:spacing w:after="0" w:line="240"/>
        <w:ind w:left="144" w:right="144"/>
      </w:pPr>
      <w:r>
        <w:rPr>
          <w:rFonts w:ascii="Consolas" w:cs="Consolas" w:eastAsia="Consolas" w:hAnsi="Consolas"/>
          <w:color w:val="1F2A2E"/>
          <w:sz w:val="18"/>
          <w:szCs w:val="18"/>
        </w:rPr>
        <w:t xml:space="preserve">                      ▼</w:t>
      </w:r>
    </w:p>
    <w:p>
      <w:pPr>
        <w:shd w:fill="F3F5F6" w:color="auto" w:val="clear"/>
        <w:spacing w:after="0" w:line="240"/>
        <w:ind w:left="144" w:right="144"/>
      </w:pPr>
      <w:r>
        <w:rPr>
          <w:rFonts w:ascii="Consolas" w:cs="Consolas" w:eastAsia="Consolas" w:hAnsi="Consolas"/>
          <w:color w:val="1F2A2E"/>
          <w:sz w:val="18"/>
          <w:szCs w:val="18"/>
        </w:rPr>
        <w:t xml:space="preserve">              Backend API gateway (Express, on Modal)  ──► Supabase Postgres (users, reports, …)</w:t>
      </w:r>
    </w:p>
    <w:p>
      <w:pPr>
        <w:shd w:fill="F3F5F6" w:color="auto" w:val="clear"/>
        <w:spacing w:after="0" w:line="240"/>
        <w:ind w:left="144" w:right="144"/>
      </w:pPr>
      <w:r>
        <w:rPr>
          <w:rFonts w:ascii="Consolas" w:cs="Consolas" w:eastAsia="Consolas" w:hAnsi="Consolas"/>
          <w:color w:val="1F2A2E"/>
          <w:sz w:val="18"/>
          <w:szCs w:val="18"/>
        </w:rPr>
        <w:t xml:space="preserve">                      │  X-Internal-Key                ──► Supabase Storage (uploaded files)</w:t>
      </w:r>
    </w:p>
    <w:p>
      <w:pPr>
        <w:shd w:fill="F3F5F6" w:color="auto" w:val="clear"/>
        <w:spacing w:after="0" w:line="240"/>
        <w:ind w:left="144" w:right="144"/>
      </w:pPr>
      <w:r>
        <w:rPr>
          <w:rFonts w:ascii="Consolas" w:cs="Consolas" w:eastAsia="Consolas" w:hAnsi="Consolas"/>
          <w:color w:val="1F2A2E"/>
          <w:sz w:val="18"/>
          <w:szCs w:val="18"/>
        </w:rPr>
        <w:t xml:space="preserve">                      ▼</w:t>
      </w:r>
    </w:p>
    <w:p>
      <w:pPr>
        <w:shd w:fill="F3F5F6" w:color="auto" w:val="clear"/>
        <w:spacing w:after="0" w:line="240"/>
        <w:ind w:left="144" w:right="144"/>
      </w:pPr>
      <w:r>
        <w:rPr>
          <w:rFonts w:ascii="Consolas" w:cs="Consolas" w:eastAsia="Consolas" w:hAnsi="Consolas"/>
          <w:color w:val="1F2A2E"/>
          <w:sz w:val="18"/>
          <w:szCs w:val="18"/>
        </w:rPr>
        <w:t xml:space="preserve">              AI service (FastAPI + LangGraph, on Modal) ──spawn──► run_job (OCR + interpretation)</w:t>
      </w:r>
    </w:p>
    <w:p>
      <w:pPr>
        <w:shd w:fill="F3F5F6" w:color="auto" w:val="clear"/>
        <w:spacing w:after="0" w:line="240"/>
        <w:ind w:left="144" w:right="144"/>
      </w:pPr>
      <w:r>
        <w:rPr>
          <w:rFonts w:ascii="Consolas" w:cs="Consolas" w:eastAsia="Consolas" w:hAnsi="Consolas"/>
          <w:color w:val="1F2A2E"/>
          <w:sz w:val="18"/>
          <w:szCs w:val="18"/>
        </w:rPr>
        <w:t xml:space="preserve">                      │                                   └─ job state in a modal.Dict</w:t>
      </w:r>
    </w:p>
    <w:p>
      <w:pPr>
        <w:shd w:fill="F3F5F6" w:color="auto" w:val="clear"/>
        <w:spacing w:after="0" w:line="240"/>
        <w:ind w:left="144" w:right="144"/>
      </w:pPr>
      <w:r>
        <w:rPr>
          <w:rFonts w:ascii="Consolas" w:cs="Consolas" w:eastAsia="Consolas" w:hAnsi="Consolas"/>
          <w:color w:val="1F2A2E"/>
          <w:sz w:val="18"/>
          <w:szCs w:val="18"/>
        </w:rPr>
        <w:t xml:space="preserve">                      ├── graph_service  (knowledge graph: Neo4j or in-memory)</w:t>
      </w:r>
    </w:p>
    <w:p>
      <w:pPr>
        <w:shd w:fill="F3F5F6" w:color="auto" w:val="clear"/>
        <w:spacing w:after="0" w:line="240"/>
        <w:ind w:left="144" w:right="144"/>
      </w:pPr>
      <w:r>
        <w:rPr>
          <w:rFonts w:ascii="Consolas" w:cs="Consolas" w:eastAsia="Consolas" w:hAnsi="Consolas"/>
          <w:color w:val="1F2A2E"/>
          <w:sz w:val="18"/>
          <w:szCs w:val="18"/>
        </w:rPr>
        <w:t xml:space="preserve">                      └── models/        (versioned artifacts) ◄── bda_engine (offline Spark / DuckDB)</w:t>
      </w:r>
    </w:p>
    <w:p>
      <w:pPr>
        <w:shd w:fill="F3F5F6" w:color="auto" w:val="clear"/>
        <w:spacing w:after="160" w:line="240"/>
        <w:ind w:left="144" w:right="144"/>
      </w:pPr>
      <w:r>
        <w:rPr>
          <w:rFonts w:ascii="Consolas" w:cs="Consolas" w:eastAsia="Consolas" w:hAnsi="Consolas"/>
          <w:color w:val="1F2A2E"/>
          <w:sz w:val="18"/>
          <w:szCs w:val="18"/>
        </w:rPr>
        <w:t xml:space="preserve">common/  shared library: biomarker catalog, parser, OCR, normalizer, quality checks</w:t>
      </w:r>
    </w:p>
    <w:p>
      <w:pPr>
        <w:pStyle w:val="Heading2"/>
      </w:pPr>
      <w:r>
        <w:t xml:space="preserve">3.1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2707"/>
        <w:gridCol w:w="4414"/>
      </w:tblGrid>
      <w:tr>
        <w:trPr>
          <w:tblHeader/>
        </w:trPr>
        <w:tc>
          <w:tcPr>
            <w:tcW w:type="dxa" w:w="19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Component</w:t>
            </w:r>
          </w:p>
        </w:tc>
        <w:tc>
          <w:tcPr>
            <w:tcW w:type="dxa" w:w="27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Technology</w:t>
            </w:r>
          </w:p>
        </w:tc>
        <w:tc>
          <w:tcPr>
            <w:tcW w:type="dxa" w:w="441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Responsibility</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frontend/</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React 18, Vite, Tailwind, Recharts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All screens for the three roles; talks only to the backend</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Node.js 22, Express 5, node-postgres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Sign-in and roles (JWT), reports, review workflow, symptoms, conversations, file storage; proxy to the AI service</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Python 3.11, FastAPI, LangGraph, Celery/Modal</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 jobs, interpretation, inference, GraphRAG assistant, guardrails</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common/</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Python library (no heavy deps)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Biomarker catalog, parser, OCR, normalizer, quality checks, feature building, shared by all Python projects</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graph_service/</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Python, Neo4j driver</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Knowledge-graph schema, seed data, loader, connector with in-memory fallback</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bda_engine/</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Python, PySpark or DuckDB, scikit-learn, XGBoost, SHAP</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Offline: synthetic data lake, ETL, features, clustering, functional bands, risk models, artifact export</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models/</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JSON + XGBoost .ubj files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Versioned artifacts (1.0.0, seed 42) with a manifest, loaded by the AI service</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evaluation/</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Python scripts, figures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Metrics for OCR, ETL, clustering, risk, bands, guardrails, assistant, retrieval</w:t>
            </w:r>
          </w:p>
        </w:tc>
      </w:tr>
      <w:tr>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deploy/modal_app.py</w:t>
            </w:r>
          </w:p>
        </w:tc>
        <w:tc>
          <w:tcPr>
            <w:tcW w:type="dxa" w:w="27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Modal</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Production deployment of backend, AI service and jobs</w:t>
            </w:r>
          </w:p>
        </w:tc>
      </w:tr>
    </w:tbl>
    <w:p>
      <w:pPr>
        <w:pStyle w:val="Heading2"/>
      </w:pPr>
      <w:r>
        <w:t xml:space="preserve">3.2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4814"/>
      </w:tblGrid>
      <w:tr>
        <w:trPr>
          <w:tblHeader/>
        </w:trPr>
        <w:tc>
          <w:tcPr>
            <w:tcW w:type="dxa" w:w="421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Decision</w:t>
            </w:r>
          </w:p>
        </w:tc>
        <w:tc>
          <w:tcPr>
            <w:tcW w:type="dxa" w:w="481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Why</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Postgres (Supabase) is the operational database; Parquet is the analytics lake</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Free hosted Postgres + storage; clean separation of live data from the big-data lake</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Ids are 24-hex strings</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AI service validates ids in this format before using them in any file path (prevents path traversal), and the guardrails redact them from text</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Separate Python projects (uv) for bda_engine and graph_service</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Keeps heavy Spark/XGBoost-training dependencies out of the live AI service image</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Spark and DuckDB run the same SQL</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Spark shows the horizontal-scaling path; DuckDB is faster at this size and used for development and CI</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Tesseract by default; PaddleOCR and LayoutLMv3 behind flags</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Tesseract installs cleanly; the others pull very large packages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Versioned model files + manifest, no MLflow</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One fewer service to run; the loading path would not change if MLflow were added</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Guardrails are deterministic and run last</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Safety must not depend on the LLM behaving</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Retrieval filters enforced in code</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Internal and draft knowledge-base pages can never be returned, whatever the prompt says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LLM provider chosen by environment variable and created lazily</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service starts and works without any AI key</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Single frontend API client reading VITE_API_BASE_URL</w:t>
            </w:r>
          </w:p>
        </w:tc>
        <w:tc>
          <w:tcPr>
            <w:tcW w:type="dxa" w:w="48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 hard-coded server addresses; CI fails if one is reintroduced</w:t>
            </w:r>
          </w:p>
        </w:tc>
      </w:tr>
    </w:tbl>
    <w:p>
      <w:pPr>
        <w:pStyle w:val="Heading1"/>
        <w:pageBreakBefore/>
      </w:pPr>
      <w:r>
        <w:t xml:space="preserve">4. The three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005"/>
        <w:gridCol w:w="3810"/>
        <w:gridCol w:w="2008"/>
      </w:tblGrid>
      <w:tr>
        <w:trPr>
          <w:tblHeader/>
        </w:trPr>
        <w:tc>
          <w:tcPr>
            <w:tcW w:type="dxa" w:w="12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Role</w:t>
            </w:r>
          </w:p>
        </w:tc>
        <w:tc>
          <w:tcPr>
            <w:tcW w:type="dxa" w:w="20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How the account is created</w:t>
            </w:r>
          </w:p>
        </w:tc>
        <w:tc>
          <w:tcPr>
            <w:tcW w:type="dxa" w:w="38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What they can do</w:t>
            </w:r>
          </w:p>
        </w:tc>
        <w:tc>
          <w:tcPr>
            <w:tcW w:type="dxa" w:w="2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What they cannot do</w:t>
            </w:r>
          </w:p>
        </w:tc>
      </w:tr>
      <w:tr>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w:t>
            </w:r>
          </w:p>
        </w:tc>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Self-registration on the site</w:t>
            </w:r>
          </w:p>
        </w:tc>
        <w:tc>
          <w:tcPr>
            <w:tcW w:type="dxa" w:w="38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 check-in; upload reports; see status; see approved results (My results, My reports); AI assistant; edit profile (sex, birth year, name); delete own reports</w:t>
            </w:r>
          </w:p>
        </w:tc>
        <w:tc>
          <w:tcPr>
            <w:tcW w:type="dxa" w:w="2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See anything before a clinician approves; see other patients' data; open review, analytics or admin pages</w:t>
            </w:r>
          </w:p>
        </w:tc>
      </w:tr>
      <w:tr>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Clinician</w:t>
            </w:r>
          </w:p>
        </w:tc>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Created by an admin, or by the seed command</w:t>
            </w:r>
          </w:p>
        </w:tc>
        <w:tc>
          <w:tcPr>
            <w:tcW w:type="dxa" w:w="38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Review queue (sorted urgent → priority → routine); Escalations; open a report with values, confidence, quality warnings, escalation reasons, audit trail; approve, edit &amp; approve, or reject (with reason); cohort analytics; AI assistant</w:t>
            </w:r>
          </w:p>
        </w:tc>
        <w:tc>
          <w:tcPr>
            <w:tcW w:type="dxa" w:w="2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Upload reports; manage clinicians</w:t>
            </w:r>
          </w:p>
        </w:tc>
      </w:tr>
      <w:tr>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Admin</w:t>
            </w:r>
          </w:p>
        </w:tc>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Seed command only (no public sign-up)</w:t>
            </w:r>
          </w:p>
        </w:tc>
        <w:tc>
          <w:tcPr>
            <w:tcW w:type="dxa" w:w="38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Create and list clinicians; review queue; cohort analytics</w:t>
            </w:r>
          </w:p>
        </w:tc>
        <w:tc>
          <w:tcPr>
            <w:tcW w:type="dxa" w:w="2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Admins are a separate account type: a clinician password does not work on the Admin tab</w:t>
            </w:r>
          </w:p>
        </w:tc>
      </w:tr>
    </w:tbl>
    <w:p>
      <w:pPr>
        <w:spacing w:after="120" w:line="276"/>
      </w:pPr>
      <w:r>
        <w:t xml:space="preserve">The login page has three tabs (Patient, Clinician, Admin). The database, not the sign-in token, decides a user's role on every request.</w:t>
      </w:r>
    </w:p>
    <w:p>
      <w:pPr>
        <w:spacing w:after="60" w:before="120"/>
        <w:jc w:val="center"/>
      </w:pPr>
      <w:r>
        <w:drawing>
          <wp:inline distT="0" distB="0" distL="0" distR="0">
            <wp:extent cx="5667375" cy="3752850"/>
            <wp:effectExtent t="0" r="0" b="0" l="0"/>
            <wp:docPr id="1" name="review-queue.png" descr="Clinician review queue, sorted by escalation level" title="Clinician review queue, sorted by escalation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752850"/>
                    </a:xfrm>
                    <a:prstGeom prst="rect">
                      <a:avLst/>
                    </a:prstGeom>
                  </pic:spPr>
                </pic:pic>
              </a:graphicData>
            </a:graphic>
          </wp:inline>
        </w:drawing>
      </w:r>
    </w:p>
    <w:p>
      <w:pPr>
        <w:spacing w:after="200"/>
        <w:jc w:val="center"/>
      </w:pPr>
      <w:r>
        <w:rPr>
          <w:i/>
          <w:iCs/>
          <w:color w:val="5B6B70"/>
          <w:sz w:val="18"/>
          <w:szCs w:val="18"/>
        </w:rPr>
        <w:t xml:space="preserve">Clinician review queue, sorted by escalation level</w:t>
      </w:r>
    </w:p>
    <w:p>
      <w:pPr>
        <w:pStyle w:val="Heading1"/>
        <w:pageBreakBefore/>
      </w:pPr>
      <w:r>
        <w:t xml:space="preserve">5. Repository tour: every folder explained</w:t>
      </w:r>
    </w:p>
    <w:p>
      <w:pPr>
        <w:spacing w:after="120" w:line="276"/>
      </w:pPr>
      <w:r>
        <w:t xml:space="preserve">This section walks through everything you get when you download the repository (</w:t>
      </w:r>
      <w:r>
        <w:rPr>
          <w:rFonts w:ascii="Consolas" w:cs="Consolas" w:eastAsia="Consolas" w:hAnsi="Consolas"/>
          <w:color w:val="7A3E00"/>
          <w:sz w:val="19"/>
          <w:szCs w:val="19"/>
        </w:rPr>
        <w:t xml:space="preserve">Code → Download ZIP</w:t>
      </w:r>
      <w:r>
        <w:t xml:space="preserve"> on GitHub, or </w:t>
      </w:r>
      <w:r>
        <w:rPr>
          <w:rFonts w:ascii="Consolas" w:cs="Consolas" w:eastAsia="Consolas" w:hAnsi="Consolas"/>
          <w:color w:val="7A3E00"/>
          <w:sz w:val="19"/>
          <w:szCs w:val="19"/>
        </w:rPr>
        <w:t xml:space="preserve">git clone</w:t>
      </w:r>
      <w:r>
        <w:t xml:space="preserve">).</w:t>
      </w:r>
    </w:p>
    <w:p>
      <w:pPr>
        <w:pStyle w:val="Heading2"/>
      </w:pPr>
      <w:r>
        <w:t xml:space="preserve">5.1 Top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tblHeader/>
        </w:trPr>
        <w:tc>
          <w:tcPr>
            <w:tcW w:type="dxa" w:w="2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6419"/>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What it is</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README.md</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Project overview, quick start, 4-V big-data framing, 14-week plan status, test counts, safety model</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docker-compose.yml</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Runs the whole stack locally: Postgres, Redis Stack, Neo4j, AI service, Celery worker, backend, frontend, plus optional </w:t>
            </w:r>
            <w:r>
              <w:rPr>
                <w:rFonts w:ascii="Consolas" w:cs="Consolas" w:eastAsia="Consolas" w:hAnsi="Consolas"/>
                <w:color w:val="7A3E00"/>
                <w:sz w:val="19"/>
                <w:szCs w:val="19"/>
              </w:rPr>
              <w:t xml:space="preserve">bda</w:t>
            </w:r>
            <w:r>
              <w:rPr>
                <w:sz w:val="19"/>
                <w:szCs w:val="19"/>
              </w:rPr>
              <w:t xml:space="preserve"> (ml profile) and </w:t>
            </w:r>
            <w:r>
              <w:rPr>
                <w:rFonts w:ascii="Consolas" w:cs="Consolas" w:eastAsia="Consolas" w:hAnsi="Consolas"/>
                <w:color w:val="7A3E00"/>
                <w:sz w:val="19"/>
                <w:szCs w:val="19"/>
              </w:rPr>
              <w:t xml:space="preserve">graph-seed</w:t>
            </w:r>
            <w:r>
              <w:rPr>
                <w:sz w:val="19"/>
                <w:szCs w:val="19"/>
              </w:rPr>
              <w:t xml:space="preserve"> / </w:t>
            </w:r>
            <w:r>
              <w:rPr>
                <w:rFonts w:ascii="Consolas" w:cs="Consolas" w:eastAsia="Consolas" w:hAnsi="Consolas"/>
                <w:color w:val="7A3E00"/>
                <w:sz w:val="19"/>
                <w:szCs w:val="19"/>
              </w:rPr>
              <w:t xml:space="preserve">seed</w:t>
            </w:r>
            <w:r>
              <w:rPr>
                <w:sz w:val="19"/>
                <w:szCs w:val="19"/>
              </w:rPr>
              <w:t xml:space="preserve"> one-offs</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.env.example</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Template for local secrets (JWT secret, internal key, demo passwords, optional Groq key)</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.github/workflows/ci.yml</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Continuous integration: 8 jobs run on every push and pull request (Section 15)</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deploy/modal_app.py</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Production deployment on Modal (Section 13)</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.dockerignore, .gitignore</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Keep virtual environments, caches, data and secrets out of images and git</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docs/</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Architecture, deployment guide, research mapping, presentation outline, audits, screenshots, this guide</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testing/</w:t>
            </w:r>
          </w:p>
        </w:tc>
        <w:tc>
          <w:tcPr>
            <w:tcW w:type="dxa" w:w="641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Manual test plan for the three roles and 9 sample lab reports (Section 15.3)</w:t>
            </w:r>
          </w:p>
        </w:tc>
      </w:tr>
    </w:tbl>
    <w:p>
      <w:pPr>
        <w:pStyle w:val="Heading2"/>
      </w:pPr>
      <w:r>
        <w:t xml:space="preserve">5.2 common/: the shared library (polymarker_common)</w:t>
      </w:r>
    </w:p>
    <w:p>
      <w:pPr>
        <w:spacing w:after="120" w:line="276"/>
      </w:pPr>
      <w:r>
        <w:t xml:space="preserve">Used by the AI service, the analytics engine and the graph service so that a report is read identically everywhere.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662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data/biomarkers.json</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catalog: for each of the 9 markers its LOINC code, display names, aliases (lab wordings and typos), units and conversion factors, lab reference range, plausible limits and escalation thresholds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catalog.py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Loads the catalog; escalation rule objects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normalizer.py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Maps a raw label to a marker (exact, alias, fuzzy) with a confidence; converts units to SI; cleans unit spellings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parser.py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Layout-tolerant parser for 4+ table layouts; handles flags between value and unit, decimal commas, detection limits; extracts age/sex/date/lab but never names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Text-layer extraction (pypdf), rasterising (pypdfium2) and Tesseract OCR with column detection; PaddleOCR and LayoutLMv3 hooks behind flags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quality.py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Data-quality checks: plausibility, decimal misread, z-score / IQR outliers, duplicates, completeness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features.py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Feature building shared by training and live inference (ratios, interactions, missingness flags)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proms.py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 (PROM) schema and normalisation</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pipeline.py</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One call from file → structured extraction (used by the Spark batch OCR and the live service)</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tests/</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45 tests: parser, normalizer, OCR pipeline, quality</w:t>
            </w:r>
          </w:p>
        </w:tc>
      </w:tr>
    </w:tbl>
    <w:p>
      <w:pPr>
        <w:pStyle w:val="Heading2"/>
      </w:pPr>
      <w:r>
        <w:t xml:space="preserve">5.3 bda_engine/: the offline big-data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tblHeader/>
        </w:trPr>
        <w:tc>
          <w:tcPr>
            <w:tcW w:type="dxa" w:w="28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File / folder</w:t>
            </w:r>
          </w:p>
        </w:tc>
        <w:tc>
          <w:tcPr>
            <w:tcW w:type="dxa" w:w="62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scripts/generate_synthetic_data.py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Generates 50,000 synthetic patients, 67,266 reports and 500,908 result rows across 5 labs with different labels, units and formats; injects typos, missing units, decimal misreads and duplicates; renders 500 PDFs in 4 layouts (35% as noisy scans); hides the true generator thresholds in a hold-out file that training never reads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schemas/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Lake schema (raw → bronze → silver → gold) and the canonical report JSON schema</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etl/engine.py, etl/lake.py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same SQL on PySpark or DuckDB (ETL_ENGINE=spark|duckdb): bronze (typed raw), silver (normalised, de-duplicated, quality-flagged), gold (one feature row per patient)</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etl/ocr_batch.py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Distributed OCR of the PDF set with Spark mapPartitions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features/build.py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Joint feature vectors: FT3/FT4 ratio, ferritin-to-TSH, TSH×FT4, deficit count, missingness flags, imputation</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models/clustering.py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K-Means (k chosen by silhouette), Gaussian mixture (BIC), DBSCAN (density outliers)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models/functional_ranges.py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Spline-logistic functional-band discovery with bootstrap confidence intervals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models/risk.py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XGBoost per symptom + isotonic calibration + TreeSHAP explanations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models/export.py, pipeline.py</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Writes versioned artifacts and manifest to models/; </w:t>
            </w:r>
            <w:r>
              <w:rPr>
                <w:rFonts w:ascii="Consolas" w:cs="Consolas" w:eastAsia="Consolas" w:hAnsi="Consolas"/>
                <w:color w:val="7A3E00"/>
                <w:sz w:val="19"/>
                <w:szCs w:val="19"/>
              </w:rPr>
              <w:t xml:space="preserve">uv run bda all</w:t>
            </w:r>
            <w:r>
              <w:rPr>
                <w:sz w:val="19"/>
                <w:szCs w:val="19"/>
              </w:rPr>
              <w:t xml:space="preserve"> runs everything</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tests/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13 tests including Spark-vs-DuckDB identical output</w:t>
            </w:r>
          </w:p>
        </w:tc>
      </w:tr>
    </w:tbl>
    <w:p>
      <w:pPr>
        <w:pStyle w:val="Heading2"/>
      </w:pPr>
      <w:r>
        <w:t xml:space="preserve">5.4 models/: the published model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541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Contents</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manifest.json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Version 1.0.0, seed 42, list of artifacts with hashes</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population_stats_*.json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Percentiles per marker (for "where you sit in the cohort")</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functional_bands_*.json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Discovered functional bands per marker, with confidence intervals</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cluster_model_*.json, cohort_projection_*.json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Cluster centres and profiles; 2-D projection for the cohort map</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risk_fatigue / risk_brain_fog / risk_hair_loss_*.ubj</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Trained XGBoost models</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risk_meta_*.json, feature_spec_*.json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Calibration maps, feature order, model metadata</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correlations_*.json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Marker ↔ symptom and marker ↔ marker correlations (loaded into the graph as synthetic-derived)</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training_report_*.json</w:t>
            </w:r>
          </w:p>
        </w:tc>
        <w:tc>
          <w:tcPr>
            <w:tcW w:type="dxa" w:w="541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Metrics recorded at training time</w:t>
            </w:r>
          </w:p>
        </w:tc>
      </w:tr>
    </w:tbl>
    <w:p>
      <w:pPr>
        <w:pStyle w:val="Heading2"/>
      </w:pPr>
      <w:r>
        <w:t xml:space="preserve">5.5 graph_service/: the knowledge graph</w:t>
      </w:r>
    </w:p>
    <w:p>
      <w:pPr>
        <w:spacing w:after="120" w:line="276"/>
      </w:pPr>
      <w:r>
        <w:t xml:space="preserve">Neo4j schema (</w:t>
      </w:r>
      <w:r>
        <w:rPr>
          <w:rFonts w:ascii="Consolas" w:cs="Consolas" w:eastAsia="Consolas" w:hAnsi="Consolas"/>
          <w:color w:val="7A3E00"/>
          <w:sz w:val="19"/>
          <w:szCs w:val="19"/>
        </w:rPr>
        <w:t xml:space="preserve">schema.cypher</w:t>
      </w:r>
      <w:r>
        <w:t xml:space="preserve">), generated seed (</w:t>
      </w:r>
      <w:r>
        <w:rPr>
          <w:rFonts w:ascii="Consolas" w:cs="Consolas" w:eastAsia="Consolas" w:hAnsi="Consolas"/>
          <w:color w:val="7A3E00"/>
          <w:sz w:val="19"/>
          <w:szCs w:val="19"/>
        </w:rPr>
        <w:t xml:space="preserve">seed.cypher</w:t>
      </w:r>
      <w:r>
        <w:t xml:space="preserve">, </w:t>
      </w:r>
      <w:r>
        <w:rPr>
          <w:rFonts w:ascii="Consolas" w:cs="Consolas" w:eastAsia="Consolas" w:hAnsi="Consolas"/>
          <w:color w:val="7A3E00"/>
          <w:sz w:val="19"/>
          <w:szCs w:val="19"/>
        </w:rPr>
        <w:t xml:space="preserve">seed_data.py</w:t>
      </w:r>
      <w:r>
        <w:t xml:space="preserve">) and a loader that also imports the synthetic-derived bands and correlations. Nodes include Biomarker, LOINC, FunctionalRange, Condition and Symptom; every relationship has </w:t>
      </w:r>
      <w:r>
        <w:rPr>
          <w:rFonts w:ascii="Consolas" w:cs="Consolas" w:eastAsia="Consolas" w:hAnsi="Consolas"/>
          <w:color w:val="7A3E00"/>
          <w:sz w:val="19"/>
          <w:szCs w:val="19"/>
        </w:rPr>
        <w:t xml:space="preserve">source</w:t>
      </w:r>
      <w:r>
        <w:t xml:space="preserve"> and </w:t>
      </w:r>
      <w:r>
        <w:rPr>
          <w:rFonts w:ascii="Consolas" w:cs="Consolas" w:eastAsia="Consolas" w:hAnsi="Consolas"/>
          <w:color w:val="7A3E00"/>
          <w:sz w:val="19"/>
          <w:szCs w:val="19"/>
        </w:rPr>
        <w:t xml:space="preserve">evidence_level</w:t>
      </w:r>
      <w:r>
        <w:t xml:space="preserve">. The connector falls back to an in-memory copy of the same graph when Neo4j is not configured, so evidence chains are identical either way (a test asserts this). 10 tests.</w:t>
      </w:r>
    </w:p>
    <w:p>
      <w:pPr>
        <w:pStyle w:val="Heading2"/>
      </w:pPr>
      <w:r>
        <w:t xml:space="preserve">5.6 ai-service/: the AI and processing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60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app/main.py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FastAPI application factory</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app/api/ocr.py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rFonts w:ascii="Consolas" w:cs="Consolas" w:eastAsia="Consolas" w:hAnsi="Consolas"/>
                <w:color w:val="7A3E00"/>
                <w:sz w:val="19"/>
                <w:szCs w:val="19"/>
              </w:rPr>
              <w:t xml:space="preserve">POST /api/ocr</w:t>
            </w:r>
            <w:r>
              <w:rPr>
                <w:sz w:val="19"/>
                <w:szCs w:val="19"/>
              </w:rPr>
              <w:t xml:space="preserve"> (upload → job id), </w:t>
            </w:r>
            <w:r>
              <w:rPr>
                <w:rFonts w:ascii="Consolas" w:cs="Consolas" w:eastAsia="Consolas" w:hAnsi="Consolas"/>
                <w:color w:val="7A3E00"/>
                <w:sz w:val="19"/>
                <w:szCs w:val="19"/>
              </w:rPr>
              <w:t xml:space="preserve">GET /api/ocr/jobs/{id}</w:t>
            </w:r>
            <w:r>
              <w:rPr>
                <w:sz w:val="19"/>
                <w:szCs w:val="19"/>
              </w:rPr>
              <w:t xml:space="preserve"> (status/result), </w:t>
            </w:r>
            <w:r>
              <w:rPr>
                <w:rFonts w:ascii="Consolas" w:cs="Consolas" w:eastAsia="Consolas" w:hAnsi="Consolas"/>
                <w:color w:val="7A3E00"/>
                <w:sz w:val="19"/>
                <w:szCs w:val="19"/>
              </w:rPr>
              <w:t xml:space="preserve">POST /api/interpret</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app/api/inference.py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Cohort, bands, catalog, model info, and on-demand inference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app/api/chat.py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Assistant endpoint used by the backend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app/api/documents.py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Indexing of patient documents for the assistant</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app/api/health.py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rFonts w:ascii="Consolas" w:cs="Consolas" w:eastAsia="Consolas" w:hAnsi="Consolas"/>
                <w:color w:val="7A3E00"/>
                <w:sz w:val="19"/>
                <w:szCs w:val="19"/>
              </w:rPr>
              <w:t xml:space="preserve">/health</w:t>
            </w:r>
            <w:r>
              <w:rPr>
                <w:sz w:val="19"/>
                <w:szCs w:val="19"/>
              </w:rPr>
              <w:t xml:space="preserve"> and </w:t>
            </w:r>
            <w:r>
              <w:rPr>
                <w:rFonts w:ascii="Consolas" w:cs="Consolas" w:eastAsia="Consolas" w:hAnsi="Consolas"/>
                <w:color w:val="7A3E00"/>
                <w:sz w:val="19"/>
                <w:szCs w:val="19"/>
              </w:rPr>
              <w:t xml:space="preserve">/ready</w:t>
            </w:r>
            <w:r>
              <w:rPr>
                <w:sz w:val="19"/>
                <w:szCs w:val="19"/>
              </w:rPr>
              <w:t xml:space="preserve"> (reports job backend and graph backend status)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app/services/interpretation.py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end-to-end pipeline for one report (Section 2, steps 4–9)</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app/services/inference.py, model_registry.py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Loads models/ and computes bands, percentiles, cluster, risk and SHAP drivers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app/services/guardrails.py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Deterministic safety checks and escalation rules (Section 9)</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app/services/summary.py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Template and LLM summaries with regeneration</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app/services/evidence.py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Knowledge-graph evidence chains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app/services/jobs.py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Job backends: </w:t>
            </w:r>
            <w:r>
              <w:rPr>
                <w:rFonts w:ascii="Consolas" w:cs="Consolas" w:eastAsia="Consolas" w:hAnsi="Consolas"/>
                <w:color w:val="7A3E00"/>
                <w:sz w:val="19"/>
                <w:szCs w:val="19"/>
              </w:rPr>
              <w:t xml:space="preserve">celery</w:t>
            </w:r>
            <w:r>
              <w:rPr>
                <w:sz w:val="19"/>
                <w:szCs w:val="19"/>
              </w:rPr>
              <w:t xml:space="preserve"> (Redis), </w:t>
            </w:r>
            <w:r>
              <w:rPr>
                <w:rFonts w:ascii="Consolas" w:cs="Consolas" w:eastAsia="Consolas" w:hAnsi="Consolas"/>
                <w:color w:val="7A3E00"/>
                <w:sz w:val="19"/>
                <w:szCs w:val="19"/>
              </w:rPr>
              <w:t xml:space="preserve">modal</w:t>
            </w:r>
            <w:r>
              <w:rPr>
                <w:sz w:val="19"/>
                <w:szCs w:val="19"/>
              </w:rPr>
              <w:t xml:space="preserve"> (production), </w:t>
            </w:r>
            <w:r>
              <w:rPr>
                <w:rFonts w:ascii="Consolas" w:cs="Consolas" w:eastAsia="Consolas" w:hAnsi="Consolas"/>
                <w:color w:val="7A3E00"/>
                <w:sz w:val="19"/>
                <w:szCs w:val="19"/>
              </w:rPr>
              <w:t xml:space="preserve">local</w:t>
            </w:r>
            <w:r>
              <w:rPr>
                <w:sz w:val="19"/>
                <w:szCs w:val="19"/>
              </w:rPr>
              <w:t xml:space="preserve"> (development/tests)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app/agent/</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LangGraph GraphRAG assistant: nodes, tools, prompts, state, checkpointer</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app/retrieval/</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Knowledge-base retrieval (lexical, optional vector), per-patient index</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app/core/</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Settings, lazy LLM construction, security (id validation, safe paths, internal key)</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app/worker/</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Celery app and task implementations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knowledge_base/</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13 reviewed patient-education pages (one per marker, symptoms, functional ranges, when to seek care) plus 2 internal/draft pages that retrieval must never return</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tests/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43 tests (+3 live integration tests against real Redis, Celery and Neo4j)</w:t>
            </w:r>
          </w:p>
        </w:tc>
      </w:tr>
    </w:tbl>
    <w:p>
      <w:pPr>
        <w:pStyle w:val="Heading2"/>
      </w:pPr>
      <w:r>
        <w:t xml:space="preserve">5.7 backend/: the API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60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src/app.js, server.js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Express app (helmet, CORS, JSON limits, rate limiting) and start-up (connect, migrate, check storage bucket, listen)</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src/config/env.js, db.js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Environment settings; Postgres pool with TLS modes, transactions, migrations under an advisory lock, id generator</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src/db/schema.sql</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7 tables with constraints and indexes; row level security enabled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src/models/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Small SQL repositories: User, Admin, Report, SymptomEntry, Conversation, Message, Document</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src/controllers/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Auth, admin, user, report, review, symptom, conversation, AI chat, document, insight</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src/routes/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URL routing per area (Section 12)</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src/middleware/</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Auth (JWT → account + role), role checks, upload limits/types, error handling</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src/services/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 client, report workflow (sync + serialisation), storage (Supabase Storage or local disk)</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src/scripts/migrate.js, seed.js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Apply schema + create bucket; create admin/clinician/patient accounts from SEED_* settings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test/</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18 tests against a real Postgres (fake AI service and fake Supabase Storage)</w:t>
            </w:r>
          </w:p>
        </w:tc>
      </w:tr>
    </w:tbl>
    <w:p>
      <w:pPr>
        <w:pStyle w:val="Heading2"/>
      </w:pPr>
      <w:r>
        <w:t xml:space="preserve">5.8 frontend/: the web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9"/>
        <w:gridCol w:w="5617"/>
      </w:tblGrid>
      <w:tr>
        <w:trPr>
          <w:tblHeader/>
        </w:trPr>
        <w:tc>
          <w:tcPr>
            <w:tcW w:type="dxa" w:w="3409"/>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561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src/services/apiClient.js</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only place that talks to the server; reads VITE_API_BASE_URL</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src/pages/Login.jsx, Register.jsx</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Three-tab sign-in; patient registration</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src/pages/patient/</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PatientDashboard (My results), LabUpload, SymptomIntake, MyReports, Profile</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src/pages/clinician/</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ReviewQueue (also Escalations), ReviewDetail, CohortAnalytics</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src/pages/admin/Clinicians.jsx</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Create and list clinicians</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src/pages/AIAssistant.jsx + components/assistant/</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Chat with conversation list and New chat</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src/components/biomarkers/</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BiomarkerGauge, BiomarkerRadar, CohortScatter, RiskPanel, EvidenceList, InterpretationView</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src/components/layout, shared/</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Header, role-based sidebar, badges, cards, dialogs, brand</w:t>
            </w:r>
          </w:p>
        </w:tc>
      </w:tr>
      <w:tr>
        <w:tc>
          <w:tcPr>
            <w:tcW w:type="dxa" w:w="34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src/__tests__/</w:t>
            </w:r>
          </w:p>
        </w:tc>
        <w:tc>
          <w:tcPr>
            <w:tcW w:type="dxa" w:w="56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 tests (API client, biomarker helpers, components)</w:t>
            </w:r>
          </w:p>
        </w:tc>
      </w:tr>
    </w:tbl>
    <w:p>
      <w:pPr>
        <w:pStyle w:val="Heading2"/>
      </w:pPr>
      <w:r>
        <w:t xml:space="preserve">5.9 evaluation/</w:t>
      </w:r>
    </w:p>
    <w:p>
      <w:pPr>
        <w:spacing w:after="120" w:line="276"/>
      </w:pPr>
      <w:r>
        <w:rPr>
          <w:rFonts w:ascii="Consolas" w:cs="Consolas" w:eastAsia="Consolas" w:hAnsi="Consolas"/>
          <w:color w:val="7A3E00"/>
          <w:sz w:val="19"/>
          <w:szCs w:val="19"/>
        </w:rPr>
        <w:t xml:space="preserve">run_bda_eval.py</w:t>
      </w:r>
      <w:r>
        <w:t xml:space="preserve"> (OCR, ETL, clustering, risk, bands) and </w:t>
      </w:r>
      <w:r>
        <w:rPr>
          <w:rFonts w:ascii="Consolas" w:cs="Consolas" w:eastAsia="Consolas" w:hAnsi="Consolas"/>
          <w:color w:val="7A3E00"/>
          <w:sz w:val="19"/>
          <w:szCs w:val="19"/>
        </w:rPr>
        <w:t xml:space="preserve">run_ai_eval.py</w:t>
      </w:r>
      <w:r>
        <w:t xml:space="preserve"> (guardrails, summaries, assistant, retrieval) regenerate </w:t>
      </w:r>
      <w:r>
        <w:rPr>
          <w:rFonts w:ascii="Consolas" w:cs="Consolas" w:eastAsia="Consolas" w:hAnsi="Consolas"/>
          <w:color w:val="7A3E00"/>
          <w:sz w:val="19"/>
          <w:szCs w:val="19"/>
        </w:rPr>
        <w:t xml:space="preserve">results/*.json</w:t>
      </w:r>
      <w:r>
        <w:t xml:space="preserve"> and </w:t>
      </w:r>
      <w:r>
        <w:rPr>
          <w:rFonts w:ascii="Consolas" w:cs="Consolas" w:eastAsia="Consolas" w:hAnsi="Consolas"/>
          <w:color w:val="7A3E00"/>
          <w:sz w:val="19"/>
          <w:szCs w:val="19"/>
        </w:rPr>
        <w:t xml:space="preserve">figures/*.png</w:t>
      </w:r>
      <w:r>
        <w:t xml:space="preserve">. </w:t>
      </w:r>
      <w:r>
        <w:rPr>
          <w:rFonts w:ascii="Consolas" w:cs="Consolas" w:eastAsia="Consolas" w:hAnsi="Consolas"/>
          <w:color w:val="7A3E00"/>
          <w:sz w:val="19"/>
          <w:szCs w:val="19"/>
        </w:rPr>
        <w:t xml:space="preserve">REPORT.md</w:t>
      </w:r>
      <w:r>
        <w:t xml:space="preserve"> explains every number; </w:t>
      </w:r>
      <w:r>
        <w:rPr>
          <w:rFonts w:ascii="Consolas" w:cs="Consolas" w:eastAsia="Consolas" w:hAnsi="Consolas"/>
          <w:color w:val="7A3E00"/>
          <w:sz w:val="19"/>
          <w:szCs w:val="19"/>
        </w:rPr>
        <w:t xml:space="preserve">cases/</w:t>
      </w:r>
      <w:r>
        <w:t xml:space="preserve"> holds the red-team, assistant and retrieval test cases.</w:t>
      </w:r>
    </w:p>
    <w:p>
      <w:pPr>
        <w:pStyle w:val="Heading2"/>
      </w:pPr>
      <w:r>
        <w:t xml:space="preserve">5.10 docs/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tblHeader/>
        </w:trPr>
        <w:tc>
          <w:tcPr>
            <w:tcW w:type="dxa" w:w="3209"/>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581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Contents</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ARCHITECTURE.md</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Target architecture, diagrams, design decisions, environment variables, risks</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DEPLOYMENT.md</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Supabase → Modal → Vercel deployment steps</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RESEARCH_MAPPING.md</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How each of the 15 papers in the plan maps to code (Appendix A)</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PRESENTATION.md</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Slide-by-slide outline for the final presentation</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CURRENT_STATE.md, DOMAIN_MISMATCH.md</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The Step 0 audit of the original careFlow code and the "approve and adapt" dispositions (historical)</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images/</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Screenshots from a live end-to-end run</w:t>
            </w:r>
          </w:p>
        </w:tc>
      </w:tr>
      <w:tr>
        <w:tc>
          <w:tcPr>
            <w:tcW w:type="dxa" w:w="32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PolyMarker_Project_Guide.docx</w:t>
            </w:r>
          </w:p>
        </w:tc>
        <w:tc>
          <w:tcPr>
            <w:tcW w:type="dxa" w:w="58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This document</w:t>
            </w:r>
          </w:p>
        </w:tc>
      </w:tr>
    </w:tbl>
    <w:p>
      <w:pPr>
        <w:pStyle w:val="Heading1"/>
        <w:pageBreakBefore/>
      </w:pPr>
      <w:r>
        <w:t xml:space="preserve">6. The synthetic data lake</w:t>
      </w:r>
    </w:p>
    <w:p>
      <w:pPr>
        <w:spacing w:after="120" w:line="276"/>
      </w:pPr>
      <w:r>
        <w:t xml:space="preserve">Real health records cannot be shared, so the project generates a realistic synthetic population with known hidden rules. This makes it possible to measure whether the pipeline recovers structure that is really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tblHeader/>
        </w:trPr>
        <w:tc>
          <w:tcPr>
            <w:tcW w:type="dxa" w:w="28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62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Amount</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50,000 (40,049 with ≥ 7 markers and complete symptoms used for modelling)</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Lab reports / result rows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67,266 reports · 500,908 rows from 5 labs (4 CSV, 1 JSONL)</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PDFs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500 in 4 layouts; 168 rendered as scanned images with blur and skew</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Injected noise</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4,862 label typos · 4,977 missing units · 1,430 decimal-point misreads · 2,371 duplicate rows</w:t>
            </w:r>
          </w:p>
        </w:tc>
      </w:tr>
      <w:tr>
        <w:tc>
          <w:tcPr>
            <w:tcW w:type="dxa" w:w="28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Hidden phenotypes</w:t>
            </w:r>
          </w:p>
        </w:tc>
        <w:tc>
          <w:tcPr>
            <w:tcW w:type="dxa" w:w="62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Replete, subclinical autoimmune thyroid, vitamin deficient, multi-micronutrient, mineral low, iron deficient, overt thyroid</w:t>
            </w:r>
          </w:p>
        </w:tc>
      </w:tr>
    </w:tbl>
    <w:p>
      <w:pPr>
        <w:pStyle w:val="Heading2"/>
      </w:pPr>
      <w:r>
        <w:t xml:space="preserve">6.1 The four Vs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7622"/>
      </w:tblGrid>
      <w:tr>
        <w:trPr>
          <w:tblHeader/>
        </w:trPr>
        <w:tc>
          <w:tcPr>
            <w:tcW w:type="dxa" w:w="14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V</w:t>
            </w:r>
          </w:p>
        </w:tc>
        <w:tc>
          <w:tcPr>
            <w:tcW w:type="dxa" w:w="762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Where it shows up</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Volume</w:t>
            </w:r>
          </w:p>
        </w:tc>
        <w:tc>
          <w:tcPr>
            <w:tcW w:type="dxa" w:w="762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50k patients, 0.5 M rows, 500 PDFs; partitioned Parquet lake; Spark ETL with an identical DuckDB path</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Variety</w:t>
            </w:r>
          </w:p>
        </w:tc>
        <w:tc>
          <w:tcPr>
            <w:tcW w:type="dxa" w:w="762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 labs with different labels, units (conventional vs SI) and formats; decimal commas; detection limits; unstructured PDFs in 4 layouts; free-text symptom answers; a property graph</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Velocity</w:t>
            </w:r>
          </w:p>
        </w:tc>
        <w:tc>
          <w:tcPr>
            <w:tcW w:type="dxa" w:w="762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Asynchronous job queue with status polling; about 0.4 s OCR per document; about 13 ms interpretation per report; Spark batch OCR</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Value</w:t>
            </w:r>
          </w:p>
        </w:tc>
        <w:tc>
          <w:tcPr>
            <w:tcW w:type="dxa" w:w="762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Functional bands narrower than lab ranges, cluster profiles, calibrated symptom risk with SHAP drivers, evidence chains, clinician-reviewed summaries</w:t>
            </w:r>
          </w:p>
        </w:tc>
      </w:tr>
    </w:tbl>
    <w:p>
      <w:pPr>
        <w:pStyle w:val="Heading2"/>
      </w:pPr>
      <w:r>
        <w:t xml:space="preserve">6.2 ETL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1604"/>
        <w:gridCol w:w="1604"/>
        <w:gridCol w:w="1604"/>
        <w:gridCol w:w="1607"/>
      </w:tblGrid>
      <w:tr>
        <w:trPr>
          <w:tblHeader/>
        </w:trPr>
        <w:tc>
          <w:tcPr>
            <w:tcW w:type="dxa" w:w="2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Engine</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bronze</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silver</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gold</w:t>
            </w:r>
          </w:p>
        </w:tc>
        <w:tc>
          <w:tcPr>
            <w:tcW w:type="dxa" w:w="1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total</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DuckDB (1 node)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1.9 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5.2 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0.9 s</w:t>
            </w:r>
          </w:p>
        </w:tc>
        <w:tc>
          <w:tcPr>
            <w:tcW w:type="dxa" w:w="1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7.9 s</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PySpark local[4]</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15.0 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43.0 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9.8 s</w:t>
            </w:r>
          </w:p>
        </w:tc>
        <w:tc>
          <w:tcPr>
            <w:tcW w:type="dxa" w:w="1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67.8 s</w:t>
            </w:r>
          </w:p>
        </w:tc>
      </w:tr>
    </w:tbl>
    <w:p>
      <w:pPr>
        <w:spacing w:after="120" w:line="276"/>
      </w:pPr>
      <w:r>
        <w:t xml:space="preserve">At half a million rows Spark is about 8× slower because JVM start-up and shuffles dominate; it is kept because the same job runs unchanged on a cluster. Both engines produce identical tables (tested row for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805"/>
        <w:gridCol w:w="4213"/>
      </w:tblGrid>
      <w:tr>
        <w:trPr>
          <w:tblHeader/>
        </w:trPr>
        <w:tc>
          <w:tcPr>
            <w:tcW w:type="dxa" w:w="3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Injected problem</w:t>
            </w:r>
          </w:p>
        </w:tc>
        <w:tc>
          <w:tcPr>
            <w:tcW w:type="dxa" w:w="18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Injected</w:t>
            </w:r>
          </w:p>
        </w:tc>
        <w:tc>
          <w:tcPr>
            <w:tcW w:type="dxa" w:w="421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Detected / handled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Duplicate rows</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2,371</w:t>
            </w:r>
          </w:p>
        </w:tc>
        <w:tc>
          <w:tcPr>
            <w:tcW w:type="dxa" w:w="42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2,371 removed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Missing units</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4,977</w:t>
            </w:r>
          </w:p>
        </w:tc>
        <w:tc>
          <w:tcPr>
            <w:tcW w:type="dxa" w:w="42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4,997 inferred (+20 unknown-unit rows)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Decimal misreads (×10)</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1,430</w:t>
            </w:r>
          </w:p>
        </w:tc>
        <w:tc>
          <w:tcPr>
            <w:tcW w:type="dxa" w:w="42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1,451 flagged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Label typos</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4,862</w:t>
            </w:r>
          </w:p>
        </w:tc>
        <w:tc>
          <w:tcPr>
            <w:tcW w:type="dxa" w:w="42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4,666 mapped by fuzzy matching (96.0%)</w:t>
            </w:r>
          </w:p>
        </w:tc>
      </w:tr>
    </w:tbl>
    <w:p>
      <w:pPr>
        <w:pStyle w:val="Heading1"/>
        <w:pageBreakBefore/>
      </w:pPr>
      <w:r>
        <w:t xml:space="preserve">7. Reading reports: OCR, parsing and normalization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902"/>
        <w:gridCol w:w="1504"/>
        <w:gridCol w:w="1303"/>
        <w:gridCol w:w="1504"/>
        <w:gridCol w:w="1607"/>
      </w:tblGrid>
      <w:tr>
        <w:trPr>
          <w:tblHeader/>
        </w:trPr>
        <w:tc>
          <w:tcPr>
            <w:tcW w:type="dxa" w:w="22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Subset</w:t>
            </w:r>
          </w:p>
        </w:tc>
        <w:tc>
          <w:tcPr>
            <w:tcW w:type="dxa" w:w="90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Docs</w:t>
            </w:r>
          </w:p>
        </w:tc>
        <w:tc>
          <w:tcPr>
            <w:tcW w:type="dxa" w:w="15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Character error</w:t>
            </w:r>
          </w:p>
        </w:tc>
        <w:tc>
          <w:tcPr>
            <w:tcW w:type="dxa" w:w="13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Word error</w:t>
            </w:r>
          </w:p>
        </w:tc>
        <w:tc>
          <w:tcPr>
            <w:tcW w:type="dxa" w:w="15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Field recall</w:t>
            </w:r>
          </w:p>
        </w:tc>
        <w:tc>
          <w:tcPr>
            <w:tcW w:type="dxa" w:w="1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Value accuracy</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All</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500</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0.18%</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0.79%</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99.0%</w:t>
            </w:r>
          </w:p>
        </w:tc>
        <w:tc>
          <w:tcPr>
            <w:tcW w:type="dxa" w:w="1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97.7%</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Text-layer PDFs</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332</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0.00%</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0.00%</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100%</w:t>
            </w:r>
          </w:p>
        </w:tc>
        <w:tc>
          <w:tcPr>
            <w:tcW w:type="dxa" w:w="1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100%</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Scanned (Tesseract)</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168</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0.55%</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2.35%</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97.1%</w:t>
            </w:r>
          </w:p>
        </w:tc>
        <w:tc>
          <w:tcPr>
            <w:tcW w:type="dxa" w:w="1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93.1%</w:t>
            </w:r>
          </w:p>
        </w:tc>
      </w:tr>
    </w:tbl>
    <w:p>
      <w:pPr>
        <w:pStyle w:val="ListParagraph"/>
        <w:numPr>
          <w:ilvl w:val="0"/>
          <w:numId w:val="2"/>
        </w:numPr>
        <w:spacing w:after="60" w:line="264"/>
      </w:pPr>
      <w:r>
        <w:t xml:space="preserve">By layout, value accuracy is 99.7% (colon-inline), 99.2% (pipe table), 96.2% (columns) and 95.6% (boxed grid).</w:t>
      </w:r>
    </w:p>
    <w:p>
      <w:pPr>
        <w:pStyle w:val="ListParagraph"/>
        <w:numPr>
          <w:ilvl w:val="0"/>
          <w:numId w:val="2"/>
        </w:numPr>
        <w:spacing w:after="60" w:line="264"/>
      </w:pPr>
      <w:r>
        <w:t xml:space="preserve">Metadata accuracy is 99.8% for sex, 100% for age and lab, and 99.4% for date. Patient names never appear in the output (0/500).</w:t>
      </w:r>
    </w:p>
    <w:p>
      <w:pPr>
        <w:pStyle w:val="ListParagraph"/>
        <w:numPr>
          <w:ilvl w:val="0"/>
          <w:numId w:val="2"/>
        </w:numPr>
        <w:spacing w:after="60" w:line="264"/>
      </w:pPr>
      <w:r>
        <w:t xml:space="preserve">78% of wrongly read scanned values carry a low-confidence flag and are highlighted for the clinician. The other 22% are wrong with high confidence, which is why clinician sign-off, not OCR confidence, is the safety control.</w:t>
      </w:r>
    </w:p>
    <w:p>
      <w:pPr>
        <w:pStyle w:val="Heading2"/>
      </w:pPr>
      <w:r>
        <w:t xml:space="preserve">7.1 Units and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1504"/>
        <w:gridCol w:w="1905"/>
        <w:gridCol w:w="1404"/>
        <w:gridCol w:w="2809"/>
      </w:tblGrid>
      <w:tr>
        <w:trPr>
          <w:tblHeader/>
        </w:trPr>
        <w:tc>
          <w:tcPr>
            <w:tcW w:type="dxa" w:w="14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Marker</w:t>
            </w:r>
          </w:p>
        </w:tc>
        <w:tc>
          <w:tcPr>
            <w:tcW w:type="dxa" w:w="15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Stored unit (SI)</w:t>
            </w:r>
          </w:p>
        </w:tc>
        <w:tc>
          <w:tcPr>
            <w:tcW w:type="dxa" w:w="19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Example conversion</w:t>
            </w:r>
          </w:p>
        </w:tc>
        <w:tc>
          <w:tcPr>
            <w:tcW w:type="dxa" w:w="14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Lab range used</w:t>
            </w:r>
          </w:p>
        </w:tc>
        <w:tc>
          <w:tcPr>
            <w:tcW w:type="dxa" w:w="2809"/>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Escalation thresholds</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TSH</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mIU/L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uIU/mL = mIU/L</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0.4–4.0</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&lt;0.1 or &gt;10 priority; &gt;50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Free T4</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ng/dL × 12.87</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10–23</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&lt;5 or &gt;50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Free T3</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pg/mL × 1.536</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3.1–6.8</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&gt;20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Anti-TPO</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IU/mL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0–35</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&gt;500 priority</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Vitamin D</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ng/mL × 2.496</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50–125</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&lt;30 priority; &gt;375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Vitamin B12</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pg/mL × 0.738</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148–664</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&lt;111 priority</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Ferritin</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ug/L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ng/mL = ug/L</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15–300</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&lt;10 priority; &gt;1000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Magnesium</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mg/dL × 0.411</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0.7–1.0</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&lt;0.5 or &gt;1.5 urgent</w:t>
            </w:r>
          </w:p>
        </w:tc>
      </w:tr>
      <w:tr>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Zinc</w:t>
            </w:r>
          </w:p>
        </w:tc>
        <w:tc>
          <w:tcPr>
            <w:tcW w:type="dxa" w:w="15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umol/L</w:t>
            </w:r>
          </w:p>
        </w:tc>
        <w:tc>
          <w:tcPr>
            <w:tcW w:type="dxa" w:w="19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ug/dL × 0.153</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9.2–18.4</w:t>
            </w:r>
          </w:p>
        </w:tc>
        <w:tc>
          <w:tcPr>
            <w:tcW w:type="dxa" w:w="28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&lt;7.6 priority</w:t>
            </w:r>
          </w:p>
        </w:tc>
      </w:tr>
    </w:tbl>
    <w:p>
      <w:pPr>
        <w:pStyle w:val="Heading1"/>
        <w:pageBreakBefore/>
      </w:pPr>
      <w:r>
        <w:t xml:space="preserve">8. Machine learning and analytics</w:t>
      </w:r>
    </w:p>
    <w:p>
      <w:pPr>
        <w:pStyle w:val="Heading2"/>
      </w:pPr>
      <w:r>
        <w:t xml:space="preserve">8.1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1203"/>
        <w:gridCol w:w="1303"/>
        <w:gridCol w:w="1604"/>
        <w:gridCol w:w="2309"/>
      </w:tblGrid>
      <w:tr>
        <w:trPr>
          <w:tblHeader/>
        </w:trPr>
        <w:tc>
          <w:tcPr>
            <w:tcW w:type="dxa" w:w="2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Model</w:t>
            </w:r>
          </w:p>
        </w:tc>
        <w:tc>
          <w:tcPr>
            <w:tcW w:type="dxa" w:w="12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Groups</w:t>
            </w:r>
          </w:p>
        </w:tc>
        <w:tc>
          <w:tcPr>
            <w:tcW w:type="dxa" w:w="13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Silhouette</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Davies–Bouldin</w:t>
            </w:r>
          </w:p>
        </w:tc>
        <w:tc>
          <w:tcPr>
            <w:tcW w:type="dxa" w:w="2309"/>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Agreement with hidden phenotype (ARI)</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K-Means (k by silhouette)</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0.135</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1.56</w:t>
            </w:r>
          </w:p>
        </w:tc>
        <w:tc>
          <w:tcPr>
            <w:tcW w:type="dxa" w:w="23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0.258</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Gaussian mixture (BIC)</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8</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−0.018</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11.9</w:t>
            </w:r>
          </w:p>
        </w:tc>
        <w:tc>
          <w:tcPr>
            <w:tcW w:type="dxa" w:w="23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0.117</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DBSCAN</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 + noise</w:t>
            </w:r>
          </w:p>
        </w:tc>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t>
            </w:r>
          </w:p>
        </w:tc>
        <w:tc>
          <w:tcPr>
            <w:tcW w:type="dxa" w:w="2309"/>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t>
            </w:r>
          </w:p>
        </w:tc>
      </w:tr>
    </w:tbl>
    <w:p>
      <w:pPr>
        <w:spacing w:after="120" w:line="276"/>
      </w:pPr>
      <w:r>
        <w:t xml:space="preserve">Lab values overlap, so clusters are best read as profiles ("Low ferritin", "High anti-TPO", "Low free T4, high TSH" …) rather than disease groups. DBSCAN's 3.7% density outliers are clinically distinct: 56% report strong tiredness (vs 17%), making outlier detection a useful triage signal.</w:t>
      </w:r>
    </w:p>
    <w:p>
      <w:pPr>
        <w:spacing w:after="60" w:before="120"/>
        <w:jc w:val="center"/>
      </w:pPr>
      <w:r>
        <w:drawing>
          <wp:inline distT="0" distB="0" distL="0" distR="0">
            <wp:extent cx="5486400" cy="3076575"/>
            <wp:effectExtent t="0" r="0" b="0" l="0"/>
            <wp:docPr id="2" name="cluster_profiles.png" descr="Cluster profiles (derived from synthetic data)" title="Cluster profiles (derived from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76575"/>
                    </a:xfrm>
                    <a:prstGeom prst="rect">
                      <a:avLst/>
                    </a:prstGeom>
                  </pic:spPr>
                </pic:pic>
              </a:graphicData>
            </a:graphic>
          </wp:inline>
        </w:drawing>
      </w:r>
    </w:p>
    <w:p>
      <w:pPr>
        <w:spacing w:after="200"/>
        <w:jc w:val="center"/>
      </w:pPr>
      <w:r>
        <w:rPr>
          <w:i/>
          <w:iCs/>
          <w:color w:val="5B6B70"/>
          <w:sz w:val="18"/>
          <w:szCs w:val="18"/>
        </w:rPr>
        <w:t xml:space="preserve">Cluster profiles (derived from synthetic data)</w:t>
      </w:r>
    </w:p>
    <w:p>
      <w:pPr>
        <w:pStyle w:val="Heading2"/>
      </w:pPr>
      <w:r>
        <w:t xml:space="preserve">8.2 Symptom-risk models with explanations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1203"/>
        <w:gridCol w:w="1002"/>
        <w:gridCol w:w="1002"/>
        <w:gridCol w:w="1704"/>
        <w:gridCol w:w="1508"/>
      </w:tblGrid>
      <w:tr>
        <w:trPr>
          <w:tblHeader/>
        </w:trPr>
        <w:tc>
          <w:tcPr>
            <w:tcW w:type="dxa" w:w="2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Target</w:t>
            </w:r>
          </w:p>
        </w:tc>
        <w:tc>
          <w:tcPr>
            <w:tcW w:type="dxa" w:w="12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Prevalence</w:t>
            </w:r>
          </w:p>
        </w:tc>
        <w:tc>
          <w:tcPr>
            <w:tcW w:type="dxa" w:w="100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AUROC</w:t>
            </w:r>
          </w:p>
        </w:tc>
        <w:tc>
          <w:tcPr>
            <w:tcW w:type="dxa" w:w="100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AUPRC</w:t>
            </w:r>
          </w:p>
        </w:tc>
        <w:tc>
          <w:tcPr>
            <w:tcW w:type="dxa" w:w="17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Calibration error (ECE)</w:t>
            </w:r>
          </w:p>
        </w:tc>
        <w:tc>
          <w:tcPr>
            <w:tcW w:type="dxa" w:w="15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Linear baseline AUROC</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Strong tiredness (≥ 7/10)</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18.5%</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0.81</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0.59</w:t>
            </w:r>
          </w:p>
        </w:tc>
        <w:tc>
          <w:tcPr>
            <w:tcW w:type="dxa" w:w="17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0.012</w:t>
            </w:r>
          </w:p>
        </w:tc>
        <w:tc>
          <w:tcPr>
            <w:tcW w:type="dxa" w:w="15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0.78</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Frequent brain fog</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24.1%</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0.69</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0.48</w:t>
            </w:r>
          </w:p>
        </w:tc>
        <w:tc>
          <w:tcPr>
            <w:tcW w:type="dxa" w:w="17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0.012</w:t>
            </w:r>
          </w:p>
        </w:tc>
        <w:tc>
          <w:tcPr>
            <w:tcW w:type="dxa" w:w="15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0.67</w:t>
            </w:r>
          </w:p>
        </w:tc>
      </w:tr>
      <w:tr>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Noticeable hair loss</w:t>
            </w:r>
          </w:p>
        </w:tc>
        <w:tc>
          <w:tcPr>
            <w:tcW w:type="dxa" w:w="12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22.1%</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0.74</w:t>
            </w:r>
          </w:p>
        </w:tc>
        <w:tc>
          <w:tcPr>
            <w:tcW w:type="dxa" w:w="10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0.52</w:t>
            </w:r>
          </w:p>
        </w:tc>
        <w:tc>
          <w:tcPr>
            <w:tcW w:type="dxa" w:w="17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0.016</w:t>
            </w:r>
          </w:p>
        </w:tc>
        <w:tc>
          <w:tcPr>
            <w:tcW w:type="dxa" w:w="15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0.72</w:t>
            </w:r>
          </w:p>
        </w:tc>
      </w:tr>
    </w:tbl>
    <w:p>
      <w:pPr>
        <w:spacing w:after="120" w:line="276"/>
      </w:pPr>
      <w:r>
        <w:t xml:space="preserve">XGBoost per symptom, calibrated with isotonic regression and tested on a separate 15% split (6,008 patients). SHAP shows each patient's drivers (e.g. tiredness → ferritin, TSH, B12), and the live service computes the same values.</w:t>
      </w:r>
    </w:p>
    <w:p>
      <w:pPr>
        <w:spacing w:after="60" w:before="120"/>
        <w:jc w:val="center"/>
      </w:pPr>
      <w:r>
        <w:drawing>
          <wp:inline distT="0" distB="0" distL="0" distR="0">
            <wp:extent cx="3295650" cy="2819400"/>
            <wp:effectExtent t="0" r="0" b="0" l="0"/>
            <wp:docPr id="3" name="roc_curves.png" descr="ROC curves for the three symptom models" title="ROC curves for the three sympto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2819400"/>
                    </a:xfrm>
                    <a:prstGeom prst="rect">
                      <a:avLst/>
                    </a:prstGeom>
                  </pic:spPr>
                </pic:pic>
              </a:graphicData>
            </a:graphic>
          </wp:inline>
        </w:drawing>
      </w:r>
    </w:p>
    <w:p>
      <w:pPr>
        <w:spacing w:after="200"/>
        <w:jc w:val="center"/>
      </w:pPr>
      <w:r>
        <w:rPr>
          <w:i/>
          <w:iCs/>
          <w:color w:val="5B6B70"/>
          <w:sz w:val="18"/>
          <w:szCs w:val="18"/>
        </w:rPr>
        <w:t xml:space="preserve">ROC curves for the three symptom models</w:t>
      </w:r>
    </w:p>
    <w:p>
      <w:pPr>
        <w:spacing w:after="60" w:before="120"/>
        <w:jc w:val="center"/>
      </w:pPr>
      <w:r>
        <w:drawing>
          <wp:inline distT="0" distB="0" distL="0" distR="0">
            <wp:extent cx="5486400" cy="3524250"/>
            <wp:effectExtent t="0" r="0" b="0" l="0"/>
            <wp:docPr id="4" name="shap_fatigue_beeswarm.png" descr="SHAP drivers of the tiredness model" title="SHAP drivers of the tiredn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24250"/>
                    </a:xfrm>
                    <a:prstGeom prst="rect">
                      <a:avLst/>
                    </a:prstGeom>
                  </pic:spPr>
                </pic:pic>
              </a:graphicData>
            </a:graphic>
          </wp:inline>
        </w:drawing>
      </w:r>
    </w:p>
    <w:p>
      <w:pPr>
        <w:spacing w:after="200"/>
        <w:jc w:val="center"/>
      </w:pPr>
      <w:r>
        <w:rPr>
          <w:i/>
          <w:iCs/>
          <w:color w:val="5B6B70"/>
          <w:sz w:val="18"/>
          <w:szCs w:val="18"/>
        </w:rPr>
        <w:t xml:space="preserve">SHAP drivers of the tiredness model</w:t>
      </w:r>
    </w:p>
    <w:p>
      <w:pPr>
        <w:pStyle w:val="Heading2"/>
      </w:pPr>
      <w:r>
        <w:t xml:space="preserve">8.3 Functional-range discovery</w:t>
      </w:r>
    </w:p>
    <w:p>
      <w:pPr>
        <w:spacing w:after="120" w:line="276"/>
      </w:pPr>
      <w:r>
        <w:t xml:space="preserve">A functional band is the range where modelled symptom risk stays near its minimum, typically narrower than the lab range. The discovered edges are compared with the hidden generator thresholds that training never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1404"/>
        <w:gridCol w:w="1805"/>
        <w:gridCol w:w="1805"/>
        <w:gridCol w:w="2007"/>
      </w:tblGrid>
      <w:tr>
        <w:trPr>
          <w:tblHeader/>
        </w:trPr>
        <w:tc>
          <w:tcPr>
            <w:tcW w:type="dxa" w:w="20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Marker</w:t>
            </w:r>
          </w:p>
        </w:tc>
        <w:tc>
          <w:tcPr>
            <w:tcW w:type="dxa" w:w="14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Edge</w:t>
            </w:r>
          </w:p>
        </w:tc>
        <w:tc>
          <w:tcPr>
            <w:tcW w:type="dxa" w:w="18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Hidden truth</w:t>
            </w:r>
          </w:p>
        </w:tc>
        <w:tc>
          <w:tcPr>
            <w:tcW w:type="dxa" w:w="18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Discovered</w:t>
            </w:r>
          </w:p>
        </w:tc>
        <w:tc>
          <w:tcPr>
            <w:tcW w:type="dxa" w:w="20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Lab range edge</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TSH</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upper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2.5</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2.39</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4.0</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Free T4</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lower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12.0</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13.5</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10.0</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Ferritin</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lower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45</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55.4</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15</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Vitamin D</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lower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60</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44.2</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50</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Vitamin B12</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lower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260</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226</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148</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Magnesium</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lower</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0.78</w:t>
            </w:r>
          </w:p>
        </w:tc>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0.72</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0.70</w:t>
            </w:r>
          </w:p>
        </w:tc>
      </w:tr>
    </w:tbl>
    <w:p>
      <w:pPr>
        <w:spacing w:after="120" w:line="276"/>
      </w:pPr>
      <w:r>
        <w:t xml:space="preserve">Median relative error is 12.6%, and 5 of 6 bands are narrower than the lab range. The bootstrap interval contains the true value for only 1 of 6 markers, because the method's error is systematic rather than random.</w:t>
      </w:r>
    </w:p>
    <w:p>
      <w:pPr>
        <w:spacing w:after="60" w:before="120"/>
        <w:jc w:val="center"/>
      </w:pPr>
      <w:r>
        <w:drawing>
          <wp:inline distT="0" distB="0" distL="0" distR="0">
            <wp:extent cx="5667375" cy="3276600"/>
            <wp:effectExtent t="0" r="0" b="0" l="0"/>
            <wp:docPr id="5" name="functional_bands_vs_truth.png" descr="Discovered functional bands vs hidden truth vs lab ranges" title="Discovered functional bands vs hidden truth vs lab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276600"/>
                    </a:xfrm>
                    <a:prstGeom prst="rect">
                      <a:avLst/>
                    </a:prstGeom>
                  </pic:spPr>
                </pic:pic>
              </a:graphicData>
            </a:graphic>
          </wp:inline>
        </w:drawing>
      </w:r>
    </w:p>
    <w:p>
      <w:pPr>
        <w:spacing w:after="200"/>
        <w:jc w:val="center"/>
      </w:pPr>
      <w:r>
        <w:rPr>
          <w:i/>
          <w:iCs/>
          <w:color w:val="5B6B70"/>
          <w:sz w:val="18"/>
          <w:szCs w:val="18"/>
        </w:rPr>
        <w:t xml:space="preserve">Discovered functional bands vs hidden truth vs lab ranges</w:t>
      </w:r>
    </w:p>
    <w:p>
      <w:pPr>
        <w:pBdr>
          <w:left w:val="single" w:color="0F6E63" w:sz="18" w:space="8"/>
        </w:pBdr>
        <w:shd w:fill="FDF3E1" w:color="auto" w:val="clear"/>
        <w:spacing w:after="160" w:before="80" w:line="276"/>
        <w:ind w:left="144" w:right="144"/>
      </w:pPr>
      <w:r>
        <w:rPr>
          <w:b/>
          <w:bCs/>
          <w:color w:val="0F6E63"/>
        </w:rPr>
        <w:t xml:space="preserve">Caution: </w:t>
      </w:r>
      <w:r>
        <w:t xml:space="preserve">Circularity (validity threat R2): symptoms were generated from marker values, so recovering the thresholds proves the method finds structure that exists. It is not evidence that such thresholds exist in real people.</w:t>
      </w:r>
    </w:p>
    <w:p>
      <w:pPr>
        <w:pStyle w:val="Heading1"/>
        <w:pageBreakBefore/>
      </w:pPr>
      <w:r>
        <w:t xml:space="preserve">9. The AI assistant and safety guardrails</w:t>
      </w:r>
    </w:p>
    <w:p>
      <w:pPr>
        <w:pStyle w:val="Heading2"/>
      </w:pPr>
      <w:r>
        <w:t xml:space="preserve">9.1 How the assistant answers</w:t>
      </w:r>
    </w:p>
    <w:p>
      <w:pPr>
        <w:spacing w:after="120" w:line="276"/>
      </w:pPr>
      <w:r>
        <w:t xml:space="preserve">The assistant is a LangGraph GraphRAG agent. For each question it gathers:</w:t>
      </w:r>
    </w:p>
    <w:p>
      <w:pPr>
        <w:pStyle w:val="ListParagraph"/>
        <w:numPr>
          <w:ilvl w:val="0"/>
          <w:numId w:val="2"/>
        </w:numPr>
        <w:spacing w:after="60" w:line="264"/>
      </w:pPr>
      <w:r>
        <w:t xml:space="preserve">the patient's clinician-approved results (never unapproved ones)</w:t>
      </w:r>
    </w:p>
    <w:p>
      <w:pPr>
        <w:pStyle w:val="ListParagraph"/>
        <w:numPr>
          <w:ilvl w:val="0"/>
          <w:numId w:val="2"/>
        </w:numPr>
        <w:spacing w:after="60" w:line="264"/>
      </w:pPr>
      <w:r>
        <w:t xml:space="preserve">knowledge-graph evidence chains</w:t>
      </w:r>
    </w:p>
    <w:p>
      <w:pPr>
        <w:pStyle w:val="ListParagraph"/>
        <w:numPr>
          <w:ilvl w:val="0"/>
          <w:numId w:val="2"/>
        </w:numPr>
        <w:spacing w:after="60" w:line="264"/>
      </w:pPr>
      <w:r>
        <w:t xml:space="preserve">cohort insights</w:t>
      </w:r>
    </w:p>
    <w:p>
      <w:pPr>
        <w:pStyle w:val="ListParagraph"/>
        <w:numPr>
          <w:ilvl w:val="0"/>
          <w:numId w:val="2"/>
        </w:numPr>
        <w:spacing w:after="60" w:line="264"/>
      </w:pPr>
      <w:r>
        <w:t xml:space="preserve">passages from the reviewed knowledge base, with filters enforced in code</w:t>
      </w:r>
    </w:p>
    <w:p>
      <w:pPr>
        <w:spacing w:after="120" w:line="276"/>
      </w:pPr>
      <w:r>
        <w:t xml:space="preserve">With an LLM key (Groq or Google) it drafts an answer from these; without one it composes the answer from the reviewed pages. Either way the guardrails run last.</w:t>
      </w:r>
    </w:p>
    <w:p>
      <w:pPr>
        <w:pStyle w:val="Heading2"/>
      </w:pPr>
      <w:r>
        <w:t xml:space="preserve">9.2 Guardrails (deterministic, always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Check</w:t>
            </w:r>
          </w:p>
        </w:tc>
        <w:tc>
          <w:tcPr>
            <w:tcW w:type="dxa" w:w="60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What it prevents</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Diagnostic language</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"You have Hashimoto's", "this means you are hypothyroid"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Prescriptive / dosage language</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"Take 50,000 IU", "stop your levothyroxine", "increase your dose"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Cure / guarantee claims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"This will cure your fatigue"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Readability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Text above Flesch–Kincaid grade 8 is regenerated or simplified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Disclaimer</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Every patient-facing text ends with the information-only disclaimer</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Privacy</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Internal ids, filenames and system-prompt mentions are removed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Prompt injection</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Instructions hidden in reports or questions are treated as data</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Regeneration</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 failing LLM draft is regenerated (max 2 times), then replaced by the safe template</w:t>
            </w:r>
          </w:p>
        </w:tc>
      </w:tr>
    </w:tbl>
    <w:p>
      <w:pPr>
        <w:pStyle w:val="Heading2"/>
      </w:pPr>
      <w:r>
        <w:t xml:space="preserve">9.3 Escalation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4713"/>
        <w:gridCol w:w="3010"/>
      </w:tblGrid>
      <w:tr>
        <w:trPr>
          <w:tblHeader/>
        </w:trPr>
        <w:tc>
          <w:tcPr>
            <w:tcW w:type="dxa" w:w="130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Level</w:t>
            </w:r>
          </w:p>
        </w:tc>
        <w:tc>
          <w:tcPr>
            <w:tcW w:type="dxa" w:w="471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Triggered by</w:t>
            </w:r>
          </w:p>
        </w:tc>
        <w:tc>
          <w:tcPr>
            <w:tcW w:type="dxa" w:w="30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Effect</w:t>
            </w:r>
          </w:p>
        </w:tc>
      </w:tr>
      <w:tr>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routine</w:t>
            </w:r>
          </w:p>
        </w:tc>
        <w:tc>
          <w:tcPr>
            <w:tcW w:type="dxa" w:w="47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Nothing concerning</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Normal place in the review queue</w:t>
            </w:r>
          </w:p>
        </w:tc>
      </w:tr>
      <w:tr>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priority</w:t>
            </w:r>
          </w:p>
        </w:tc>
        <w:tc>
          <w:tcPr>
            <w:tcW w:type="dxa" w:w="47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Marker thresholds (e.g. TSH &gt; 10, ferritin &lt; 10); tiredness ≥ 9; constant brain fog with severe hair loss; an untrustworthy value</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Higher in the queue; listed under Escalations</w:t>
            </w:r>
          </w:p>
        </w:tc>
      </w:tr>
      <w:tr>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urgent</w:t>
            </w:r>
          </w:p>
        </w:tc>
        <w:tc>
          <w:tcPr>
            <w:tcW w:type="dxa" w:w="47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Critical values (e.g. TSH &gt; 50, free T4 &lt; 5, magnesium &lt; 0.5)</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Top of the queue; the patient is advised to contact their clinician today</w:t>
            </w:r>
          </w:p>
        </w:tc>
      </w:tr>
      <w:tr>
        <w:tc>
          <w:tcPr>
            <w:tcW w:type="dxa" w:w="130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emergency</w:t>
            </w:r>
          </w:p>
        </w:tc>
        <w:tc>
          <w:tcPr>
            <w:tcW w:type="dxa" w:w="47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Red-flag words in the chat (chest pain, trouble breathing, fainting, self-harm, severe bleeding, palpitations, stroke signs)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Answer starts by telling the patient to call their local emergency number now</w:t>
            </w:r>
          </w:p>
        </w:tc>
      </w:tr>
    </w:tbl>
    <w:p>
      <w:pPr>
        <w:pStyle w:val="Heading2"/>
      </w:pPr>
      <w:r>
        <w:t xml:space="preserve">9.4 Measured safety</w:t>
      </w:r>
    </w:p>
    <w:p>
      <w:pPr>
        <w:pStyle w:val="ListParagraph"/>
        <w:numPr>
          <w:ilvl w:val="0"/>
          <w:numId w:val="2"/>
        </w:numPr>
        <w:spacing w:after="60" w:line="264"/>
      </w:pPr>
      <w:r>
        <w:t xml:space="preserve">On the red-team set, 30 of 30 unsafe sentences were caught, with 0 of 25 false alarms.</w:t>
      </w:r>
    </w:p>
    <w:p>
      <w:pPr>
        <w:pStyle w:val="ListParagraph"/>
        <w:numPr>
          <w:ilvl w:val="0"/>
          <w:numId w:val="2"/>
        </w:numPr>
        <w:spacing w:after="60" w:line="264"/>
      </w:pPr>
      <w:r>
        <w:t xml:space="preserve">Across 500 template summaries, all were at or below reading grade 8 (mean 4.95), and none contained a number that was not in the input.</w:t>
      </w:r>
    </w:p>
    <w:p>
      <w:pPr>
        <w:pStyle w:val="ListParagraph"/>
        <w:numPr>
          <w:ilvl w:val="0"/>
          <w:numId w:val="2"/>
        </w:numPr>
        <w:spacing w:after="60" w:line="264"/>
      </w:pPr>
      <w:r>
        <w:t xml:space="preserve">The assistant passed 10 of 10 test cases, and knowledge-base retrieval was correct first time for 13 of 13 queries, with 0 leaks of internal pages.</w:t>
      </w:r>
    </w:p>
    <w:p>
      <w:pPr>
        <w:spacing w:after="60" w:before="120"/>
        <w:jc w:val="center"/>
      </w:pPr>
      <w:r>
        <w:drawing>
          <wp:inline distT="0" distB="0" distL="0" distR="0">
            <wp:extent cx="5486400" cy="3629025"/>
            <wp:effectExtent t="0" r="0" b="0" l="0"/>
            <wp:docPr id="6" name="assistant.png" descr="AI assistant with grounded answer and disclaimer" title="AI assistant with grounded answer and discla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29025"/>
                    </a:xfrm>
                    <a:prstGeom prst="rect">
                      <a:avLst/>
                    </a:prstGeom>
                  </pic:spPr>
                </pic:pic>
              </a:graphicData>
            </a:graphic>
          </wp:inline>
        </w:drawing>
      </w:r>
    </w:p>
    <w:p>
      <w:pPr>
        <w:spacing w:after="200"/>
        <w:jc w:val="center"/>
      </w:pPr>
      <w:r>
        <w:rPr>
          <w:i/>
          <w:iCs/>
          <w:color w:val="5B6B70"/>
          <w:sz w:val="18"/>
          <w:szCs w:val="18"/>
        </w:rPr>
        <w:t xml:space="preserve">AI assistant with grounded answer and disclaimer</w:t>
      </w:r>
    </w:p>
    <w:p>
      <w:pPr>
        <w:pStyle w:val="Heading1"/>
        <w:pageBreakBefore/>
      </w:pPr>
      <w:r>
        <w:t xml:space="preserve">10. Clinician review workflow</w:t>
      </w:r>
    </w:p>
    <w:p>
      <w:pPr>
        <w:spacing w:after="120" w:line="276"/>
      </w:pPr>
      <w:r>
        <w:t xml:space="preserve">The review portal shows, for each report:</w:t>
      </w:r>
    </w:p>
    <w:p>
      <w:pPr>
        <w:pStyle w:val="ListParagraph"/>
        <w:numPr>
          <w:ilvl w:val="0"/>
          <w:numId w:val="2"/>
        </w:numPr>
        <w:spacing w:after="60" w:line="264"/>
      </w:pPr>
      <w:r>
        <w:t xml:space="preserve">patient details and the attached symptom check-in</w:t>
      </w:r>
    </w:p>
    <w:p>
      <w:pPr>
        <w:pStyle w:val="ListParagraph"/>
        <w:numPr>
          <w:ilvl w:val="0"/>
          <w:numId w:val="2"/>
        </w:numPr>
        <w:spacing w:after="60" w:line="264"/>
      </w:pPr>
      <w:r>
        <w:t xml:space="preserve">OCR method and confidence</w:t>
      </w:r>
    </w:p>
    <w:p>
      <w:pPr>
        <w:pStyle w:val="ListParagraph"/>
        <w:numPr>
          <w:ilvl w:val="0"/>
          <w:numId w:val="2"/>
        </w:numPr>
        <w:spacing w:after="60" w:line="264"/>
      </w:pPr>
      <w:r>
        <w:t xml:space="preserve">a table of extracted values: raw value, normalised SI value, LOINC code and confidence</w:t>
      </w:r>
    </w:p>
    <w:p>
      <w:pPr>
        <w:pStyle w:val="ListParagraph"/>
        <w:numPr>
          <w:ilvl w:val="0"/>
          <w:numId w:val="2"/>
        </w:numPr>
        <w:spacing w:after="60" w:line="264"/>
      </w:pPr>
      <w:r>
        <w:t xml:space="preserve">quality warnings and escalation reasons with thresholds</w:t>
      </w:r>
    </w:p>
    <w:p>
      <w:pPr>
        <w:pStyle w:val="ListParagraph"/>
        <w:numPr>
          <w:ilvl w:val="0"/>
          <w:numId w:val="2"/>
        </w:numPr>
        <w:spacing w:after="60" w:line="264"/>
      </w:pPr>
      <w:r>
        <w:t xml:space="preserve">the generated summary and its source (template or LLM)</w:t>
      </w:r>
    </w:p>
    <w:p>
      <w:pPr>
        <w:pStyle w:val="ListParagraph"/>
        <w:numPr>
          <w:ilvl w:val="0"/>
          <w:numId w:val="2"/>
        </w:numPr>
        <w:spacing w:after="60" w:line="264"/>
      </w:pPr>
      <w:r>
        <w:t xml:space="preserve">the full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Decision</w:t>
            </w:r>
          </w:p>
        </w:tc>
        <w:tc>
          <w:tcPr>
            <w:tcW w:type="dxa" w:w="662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Result</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Approve</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Status approved; the patient sees the generated summary and the optional note</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Edit &amp; approve</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Status approved; the patient sees the clinician's edited text (marked as edited by the clinician)</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Reject (reason required)</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Status rejected; the patient sees the reason and no summary</w:t>
            </w:r>
          </w:p>
        </w:tc>
      </w:tr>
    </w:tbl>
    <w:p>
      <w:pPr>
        <w:spacing w:after="120" w:line="276"/>
      </w:pPr>
      <w:r>
        <w:t xml:space="preserve">Only one decision is recorded if two clinicians act at the same moment; the second is told the report was already reviewed. Audit trail actions: uploaded, enqueued, interpretation_ready, viewed_by_reviewer, review_approve/edit/reject, plus job_failed, job_lost or enqueue_failed when something goes wrong.</w:t>
      </w:r>
    </w:p>
    <w:p>
      <w:pPr>
        <w:spacing w:after="60" w:before="120"/>
        <w:jc w:val="center"/>
      </w:pPr>
      <w:r>
        <w:drawing>
          <wp:inline distT="0" distB="0" distL="0" distR="0">
            <wp:extent cx="5667375" cy="6248400"/>
            <wp:effectExtent t="0" r="0" b="0" l="0"/>
            <wp:docPr id="7" name="clinician-review-top.png" descr="Clinician review detail (top of page)" title="Clinician review detail (top o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6248400"/>
                    </a:xfrm>
                    <a:prstGeom prst="rect">
                      <a:avLst/>
                    </a:prstGeom>
                  </pic:spPr>
                </pic:pic>
              </a:graphicData>
            </a:graphic>
          </wp:inline>
        </w:drawing>
      </w:r>
    </w:p>
    <w:p>
      <w:pPr>
        <w:spacing w:after="200"/>
        <w:jc w:val="center"/>
      </w:pPr>
      <w:r>
        <w:rPr>
          <w:i/>
          <w:iCs/>
          <w:color w:val="5B6B70"/>
          <w:sz w:val="18"/>
          <w:szCs w:val="18"/>
        </w:rPr>
        <w:t xml:space="preserve">Clinician review detail (top of page)</w:t>
      </w:r>
    </w:p>
    <w:p>
      <w:pPr>
        <w:pStyle w:val="Heading2"/>
      </w:pPr>
      <w:r>
        <w:t xml:space="preserve">10.1 What the patient sees after approval</w:t>
      </w:r>
    </w:p>
    <w:p>
      <w:pPr>
        <w:spacing w:after="60" w:before="120"/>
        <w:jc w:val="center"/>
      </w:pPr>
      <w:r>
        <w:drawing>
          <wp:inline distT="0" distB="0" distL="0" distR="0">
            <wp:extent cx="5667375" cy="6248400"/>
            <wp:effectExtent t="0" r="0" b="0" l="0"/>
            <wp:docPr id="8" name="patient-dashboard-top.png" descr="Patient dashboard (top of page)" title="Patient dashboard (top o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6248400"/>
                    </a:xfrm>
                    <a:prstGeom prst="rect">
                      <a:avLst/>
                    </a:prstGeom>
                  </pic:spPr>
                </pic:pic>
              </a:graphicData>
            </a:graphic>
          </wp:inline>
        </w:drawing>
      </w:r>
    </w:p>
    <w:p>
      <w:pPr>
        <w:spacing w:after="200"/>
        <w:jc w:val="center"/>
      </w:pPr>
      <w:r>
        <w:rPr>
          <w:i/>
          <w:iCs/>
          <w:color w:val="5B6B70"/>
          <w:sz w:val="18"/>
          <w:szCs w:val="18"/>
        </w:rPr>
        <w:t xml:space="preserve">Patient dashboard (top of page)</w:t>
      </w:r>
    </w:p>
    <w:p>
      <w:pPr>
        <w:pStyle w:val="Heading1"/>
        <w:pageBreakBefore/>
      </w:pPr>
      <w:r>
        <w:t xml:space="preserve">11. Database and file storage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014"/>
        <w:gridCol w:w="2207"/>
      </w:tblGrid>
      <w:tr>
        <w:trPr>
          <w:tblHeader/>
        </w:trPr>
        <w:tc>
          <w:tcPr>
            <w:tcW w:type="dxa" w:w="18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Table</w:t>
            </w:r>
          </w:p>
        </w:tc>
        <w:tc>
          <w:tcPr>
            <w:tcW w:type="dxa" w:w="501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Holds</w:t>
            </w:r>
          </w:p>
        </w:tc>
        <w:tc>
          <w:tcPr>
            <w:tcW w:type="dxa" w:w="22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Notes</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users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Patients and clinicians: name, email, bcrypt password hash, role, sex, birth year</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Email unique and lower-case</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admins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Platform administrators</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Separate from users by design</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symptom_entries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 check-ins</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Checks enforce 1–10 and allowed levels</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reports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One row per uploaded report: file location, status, job id, symptom snapshot, interpretation (JSON), escalation level, review (JSON), audit trail (JSON)</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Interpretation hidden from the patient until approved</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documents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Extra documents indexed for the assistant</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conversations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Assistant conversations per user</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messages</w:t>
            </w:r>
          </w:p>
        </w:tc>
        <w:tc>
          <w:tcPr>
            <w:tcW w:type="dxa" w:w="50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Chat messages with escalation info</w:t>
            </w:r>
          </w:p>
        </w:tc>
        <w:tc>
          <w:tcPr>
            <w:tcW w:type="dxa" w:w="22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p>
        </w:tc>
      </w:tr>
    </w:tbl>
    <w:p>
      <w:pPr>
        <w:pStyle w:val="ListParagraph"/>
        <w:numPr>
          <w:ilvl w:val="0"/>
          <w:numId w:val="2"/>
        </w:numPr>
        <w:spacing w:after="60" w:line="264"/>
      </w:pPr>
      <w:r>
        <w:rPr>
          <w:b/>
          <w:bCs/>
        </w:rPr>
        <w:t xml:space="preserve">Row level security</w:t>
      </w:r>
      <w:r>
        <w:t xml:space="preserve"> is on for every table with no policies, so Supabase's public Data API (anon or publishable key) can read nothing. Only the backend, which connects as the table owner, can read the data.</w:t>
      </w:r>
    </w:p>
    <w:p>
      <w:pPr>
        <w:pStyle w:val="ListParagraph"/>
        <w:numPr>
          <w:ilvl w:val="0"/>
          <w:numId w:val="2"/>
        </w:numPr>
        <w:spacing w:after="60" w:line="264"/>
      </w:pPr>
      <w:r>
        <w:t xml:space="preserve">The schema is applied automatically and safely on start, and by </w:t>
      </w:r>
      <w:r>
        <w:rPr>
          <w:rFonts w:ascii="Consolas" w:cs="Consolas" w:eastAsia="Consolas" w:hAnsi="Consolas"/>
          <w:color w:val="7A3E00"/>
          <w:sz w:val="19"/>
          <w:szCs w:val="19"/>
        </w:rPr>
        <w:t xml:space="preserve">migrate</w:t>
      </w:r>
      <w:r>
        <w:t xml:space="preserve"> and </w:t>
      </w:r>
      <w:r>
        <w:rPr>
          <w:rFonts w:ascii="Consolas" w:cs="Consolas" w:eastAsia="Consolas" w:hAnsi="Consolas"/>
          <w:color w:val="7A3E00"/>
          <w:sz w:val="19"/>
          <w:szCs w:val="19"/>
        </w:rPr>
        <w:t xml:space="preserve">seed</w:t>
      </w:r>
      <w:r>
        <w:t xml:space="preserve">, so there is no manual SQL.</w:t>
      </w:r>
    </w:p>
    <w:p>
      <w:pPr>
        <w:pStyle w:val="ListParagraph"/>
        <w:numPr>
          <w:ilvl w:val="0"/>
          <w:numId w:val="2"/>
        </w:numPr>
        <w:spacing w:after="60" w:line="264"/>
      </w:pPr>
      <w:r>
        <w:rPr>
          <w:b/>
          <w:bCs/>
        </w:rPr>
        <w:t xml:space="preserve">Storage:</w:t>
      </w:r>
      <w:r>
        <w:t xml:space="preserve"> originals are kept in the private bucket </w:t>
      </w:r>
      <w:r>
        <w:rPr>
          <w:rFonts w:ascii="Consolas" w:cs="Consolas" w:eastAsia="Consolas" w:hAnsi="Consolas"/>
          <w:color w:val="7A3E00"/>
          <w:sz w:val="19"/>
          <w:szCs w:val="19"/>
        </w:rPr>
        <w:t xml:space="preserve">lab-reports</w:t>
      </w:r>
      <w:r>
        <w:t xml:space="preserve">, under </w:t>
      </w:r>
      <w:r>
        <w:rPr>
          <w:rFonts w:ascii="Consolas" w:cs="Consolas" w:eastAsia="Consolas" w:hAnsi="Consolas"/>
          <w:color w:val="7A3E00"/>
          <w:sz w:val="19"/>
          <w:szCs w:val="19"/>
        </w:rPr>
        <w:t xml:space="preserve">reports/&lt;patient-id&gt;/</w:t>
      </w:r>
      <w:r>
        <w:t xml:space="preserve">. Deleting a report deletes its file.</w:t>
      </w:r>
    </w:p>
    <w:p>
      <w:pPr>
        <w:pStyle w:val="ListParagraph"/>
        <w:numPr>
          <w:ilvl w:val="0"/>
          <w:numId w:val="2"/>
        </w:numPr>
        <w:spacing w:after="60" w:line="264"/>
      </w:pPr>
      <w:r>
        <w:t xml:space="preserve">Deleting a user deletes their reports, symptoms, conversations and messages automatically (cascading deletes).</w:t>
      </w:r>
    </w:p>
    <w:p>
      <w:pPr>
        <w:pStyle w:val="Heading1"/>
        <w:pageBreakBefore/>
      </w:pPr>
      <w:r>
        <w:t xml:space="preserve">12. API reference</w:t>
      </w:r>
    </w:p>
    <w:p>
      <w:pPr>
        <w:pStyle w:val="Heading2"/>
      </w:pPr>
      <w:r>
        <w:t xml:space="preserve">12.1 Backend (what the frontend calls, prefix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1604"/>
        <w:gridCol w:w="3210"/>
      </w:tblGrid>
      <w:tr>
        <w:trPr>
          <w:tblHeader/>
        </w:trPr>
        <w:tc>
          <w:tcPr>
            <w:tcW w:type="dxa" w:w="421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Method and path</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Who</w:t>
            </w:r>
          </w:p>
        </w:tc>
        <w:tc>
          <w:tcPr>
            <w:tcW w:type="dxa" w:w="32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/auth/register</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public</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Create a patient account</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/auth/login · POST /auth/admin/login</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public</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 in (patient/clinician; admin)</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 PATCH /users/profile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signed 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Read / update own profile</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/symptoms · GET /symptoms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Record / list symptom check-ins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/reports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Upload a report (field </w:t>
            </w:r>
            <w:r>
              <w:rPr>
                <w:rFonts w:ascii="Consolas" w:cs="Consolas" w:eastAsia="Consolas" w:hAnsi="Consolas"/>
                <w:color w:val="7A3E00"/>
                <w:sz w:val="19"/>
                <w:szCs w:val="19"/>
              </w:rPr>
              <w:t xml:space="preserve">file</w:t>
            </w:r>
            <w:r>
              <w:rPr>
                <w:sz w:val="19"/>
                <w:szCs w:val="19"/>
              </w:rPr>
              <w:t xml:space="preserve">) → 202 with report and job ids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/reports · GET /reports/:id · GET /reports/:id/status · DELETE /reports/:id</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 (own)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List, view (interpretation only once approved), poll, withdraw</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/reviews?status= · GET /reviews/:id · POST /reviews/:id</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clinician, admin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Queue, detail, decision {approve|edit|reject, comment, editedSummary}</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/admin/clinicians · POST /admin/clinicians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admin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List / create clinicians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/insights/:name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signed 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cohort, bands, catalog, model (cached 5 min)</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/conversations · GET /conversations · GET /conversations/:id/messages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signed 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Assistant conversations</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/ai/chat</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signed in</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Send a message to the assistant</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/ai/documents · GET /ai/documents/:id/status</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Extra documents for the assistant</w:t>
            </w:r>
          </w:p>
        </w:tc>
      </w:tr>
      <w:tr>
        <w:tc>
          <w:tcPr>
            <w:tcW w:type="dxa" w:w="421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/health</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public</w:t>
            </w:r>
          </w:p>
        </w:tc>
        <w:tc>
          <w:tcPr>
            <w:tcW w:type="dxa" w:w="32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Liveness check</w:t>
            </w:r>
          </w:p>
        </w:tc>
      </w:tr>
    </w:tbl>
    <w:p>
      <w:pPr>
        <w:pStyle w:val="Heading2"/>
      </w:pPr>
      <w:r>
        <w:t xml:space="preserve">12.2 AI service (only the backend may call it; X-Internal-Key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13"/>
        <w:gridCol w:w="4413"/>
      </w:tblGrid>
      <w:tr>
        <w:trPr>
          <w:tblHeader/>
        </w:trPr>
        <w:tc>
          <w:tcPr>
            <w:tcW w:type="dxa" w:w="461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Method and path</w:t>
            </w:r>
          </w:p>
        </w:tc>
        <w:tc>
          <w:tcPr>
            <w:tcW w:type="dxa" w:w="441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/api/ocr · GET /api/ocr/jobs/{id}</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Queue a report; job status and result</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/api/interpret</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Interpret already-structured values</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/api/inference · GET /api/inference/{cohort|bands|catalog|model}</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Analytics</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/api/chat/</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Assistant</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 /api/documents/process</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Index a patient document</w:t>
            </w:r>
          </w:p>
        </w:tc>
      </w:tr>
      <w:tr>
        <w:tc>
          <w:tcPr>
            <w:tcW w:type="dxa" w:w="46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GET /health · GET /ready</w:t>
            </w:r>
          </w:p>
        </w:tc>
        <w:tc>
          <w:tcPr>
            <w:tcW w:type="dxa" w:w="44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Health; readiness of jobs and graph backends</w:t>
            </w:r>
          </w:p>
        </w:tc>
      </w:tr>
    </w:tbl>
    <w:p>
      <w:pPr>
        <w:pStyle w:val="Heading1"/>
        <w:pageBreakBefore/>
      </w:pPr>
      <w:r>
        <w:t xml:space="preserve">13. Your live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607"/>
        <w:gridCol w:w="4614"/>
      </w:tblGrid>
      <w:tr>
        <w:trPr>
          <w:tblHeader/>
        </w:trPr>
        <w:tc>
          <w:tcPr>
            <w:tcW w:type="dxa" w:w="18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Piece</w:t>
            </w:r>
          </w:p>
        </w:tc>
        <w:tc>
          <w:tcPr>
            <w:tcW w:type="dxa" w:w="26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Service (free tier)</w:t>
            </w:r>
          </w:p>
        </w:tc>
        <w:tc>
          <w:tcPr>
            <w:tcW w:type="dxa" w:w="461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Your address / name</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Frontend</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Vercel Hobby</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Your Vercel project URL (e.g. careflow-….vercel.app)</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 API</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Modal (Starter credits)</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https://riyapataskar--polymarker-api.modal.run (health: /api/health)</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 service</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Modal</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https://riyapataskar--polymarker-ai.modal.run (backend only)</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Jobs</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Modal function run_job</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 </w:t>
            </w:r>
            <w:r>
              <w:rPr>
                <w:rFonts w:ascii="Consolas" w:cs="Consolas" w:eastAsia="Consolas" w:hAnsi="Consolas"/>
                <w:color w:val="7A3E00"/>
                <w:sz w:val="19"/>
                <w:szCs w:val="19"/>
              </w:rPr>
              <w:t xml:space="preserve">polymarker</w:t>
            </w:r>
            <w:r>
              <w:rPr>
                <w:sz w:val="19"/>
                <w:szCs w:val="19"/>
              </w:rPr>
              <w:t xml:space="preserve"> in the Modal dashboard</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Database + storage</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Supabase Free</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Project lwtmwbjiabuvqqoajwey (region ap-south-1), bucket lab-reports</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 graph</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In-memory (Neo4j Aura optional)</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Add NEO4J_URI to use Aura</w:t>
            </w:r>
          </w:p>
        </w:tc>
      </w:tr>
      <w:tr>
        <w:tc>
          <w:tcPr>
            <w:tcW w:type="dxa" w:w="18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LLM</w:t>
            </w:r>
          </w:p>
        </w:tc>
        <w:tc>
          <w:tcPr>
            <w:tcW w:type="dxa" w:w="26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None (template mode); Groq optional</w:t>
            </w:r>
          </w:p>
        </w:tc>
        <w:tc>
          <w:tcPr>
            <w:tcW w:type="dxa" w:w="46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Add GROQ_API_KEY + LLM_PROVIDER=groq</w:t>
            </w:r>
          </w:p>
        </w:tc>
      </w:tr>
    </w:tbl>
    <w:p>
      <w:pPr>
        <w:pStyle w:val="Heading2"/>
      </w:pPr>
      <w:r>
        <w:t xml:space="preserve">13.1 Modal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813"/>
        <w:gridCol w:w="2007"/>
      </w:tblGrid>
      <w:tr>
        <w:trPr>
          <w:tblHeader/>
        </w:trPr>
        <w:tc>
          <w:tcPr>
            <w:tcW w:type="dxa" w:w="22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Secret</w:t>
            </w:r>
          </w:p>
        </w:tc>
        <w:tc>
          <w:tcPr>
            <w:tcW w:type="dxa" w:w="4813"/>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Keys</w:t>
            </w:r>
          </w:p>
        </w:tc>
        <w:tc>
          <w:tcPr>
            <w:tcW w:type="dxa" w:w="200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Used by</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polymarker-shared</w:t>
            </w:r>
          </w:p>
        </w:tc>
        <w:tc>
          <w:tcPr>
            <w:tcW w:type="dxa" w:w="48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INTERNAL_API_KEY</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 and AI service (shared key)</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polymarker-ai</w:t>
            </w:r>
          </w:p>
        </w:tc>
        <w:tc>
          <w:tcPr>
            <w:tcW w:type="dxa" w:w="48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LLM_PROVIDER (none), optional GROQ_API_KEY, NEO4J_URI, NEO4J_PASSWORD</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 service and jobs</w:t>
            </w:r>
          </w:p>
        </w:tc>
      </w:tr>
      <w:tr>
        <w:tc>
          <w:tcPr>
            <w:tcW w:type="dxa" w:w="22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polymarker-backend</w:t>
            </w:r>
          </w:p>
        </w:tc>
        <w:tc>
          <w:tcPr>
            <w:tcW w:type="dxa" w:w="4813"/>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DATABASE_URL (Supabase transaction pooler), JWT_SECRET, FRONTEND_URL, SUPABASE_URL, SUPABASE_SERVICE_KEY, SEED_ADMIN_*, SEED_CLINICIAN_*</w:t>
            </w:r>
          </w:p>
        </w:tc>
        <w:tc>
          <w:tcPr>
            <w:tcW w:type="dxa" w:w="200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 migrate, seed</w:t>
            </w:r>
          </w:p>
        </w:tc>
      </w:tr>
    </w:tbl>
    <w:p>
      <w:pPr>
        <w:spacing w:after="120" w:line="276"/>
      </w:pPr>
      <w:r>
        <w:t xml:space="preserve">Vercel has one variable: </w:t>
      </w:r>
      <w:r>
        <w:rPr>
          <w:rFonts w:ascii="Consolas" w:cs="Consolas" w:eastAsia="Consolas" w:hAnsi="Consolas"/>
          <w:color w:val="7A3E00"/>
          <w:sz w:val="19"/>
          <w:szCs w:val="19"/>
        </w:rPr>
        <w:t xml:space="preserve">VITE_API_BASE_URL</w:t>
      </w:r>
      <w:r>
        <w:t xml:space="preserve"> = </w:t>
      </w:r>
      <w:r>
        <w:rPr>
          <w:rFonts w:ascii="Consolas" w:cs="Consolas" w:eastAsia="Consolas" w:hAnsi="Consolas"/>
          <w:color w:val="7A3E00"/>
          <w:sz w:val="19"/>
          <w:szCs w:val="19"/>
        </w:rPr>
        <w:t xml:space="preserve">https://riyapataskar--polymarker-api.modal.run/api</w:t>
      </w:r>
      <w:r>
        <w:t xml:space="preserve">, type </w:t>
      </w:r>
      <w:r>
        <w:rPr>
          <w:b/>
          <w:bCs/>
        </w:rPr>
        <w:t xml:space="preserve">Config</w:t>
      </w:r>
      <w:r>
        <w:t xml:space="preserve"> (not Secret).</w:t>
      </w:r>
    </w:p>
    <w:p>
      <w:pPr>
        <w:pStyle w:val="Heading2"/>
      </w:pPr>
      <w:r>
        <w:t xml:space="preserve">13.2 Everyday commands (run from the project folder)</w:t>
      </w:r>
    </w:p>
    <w:p>
      <w:pPr>
        <w:shd w:fill="F3F5F6" w:color="auto" w:val="clear"/>
        <w:spacing w:after="0" w:line="240"/>
        <w:ind w:left="144" w:right="144"/>
      </w:pPr>
      <w:r>
        <w:rPr>
          <w:rFonts w:ascii="Consolas" w:cs="Consolas" w:eastAsia="Consolas" w:hAnsi="Consolas"/>
          <w:color w:val="1F2A2E"/>
          <w:sz w:val="18"/>
          <w:szCs w:val="18"/>
        </w:rPr>
        <w:t xml:space="preserve">modal deploy deploy/modal_app.py          # redeploy after code or secret changes</w:t>
      </w:r>
    </w:p>
    <w:p>
      <w:pPr>
        <w:shd w:fill="F3F5F6" w:color="auto" w:val="clear"/>
        <w:spacing w:after="0" w:line="240"/>
        <w:ind w:left="144" w:right="144"/>
      </w:pPr>
      <w:r>
        <w:rPr>
          <w:rFonts w:ascii="Consolas" w:cs="Consolas" w:eastAsia="Consolas" w:hAnsi="Consolas"/>
          <w:color w:val="1F2A2E"/>
          <w:sz w:val="18"/>
          <w:szCs w:val="18"/>
        </w:rPr>
        <w:t xml:space="preserve">modal run deploy/modal_app.py::seed       # create accounts from SEED_* (safe to repeat)</w:t>
      </w:r>
    </w:p>
    <w:p>
      <w:pPr>
        <w:shd w:fill="F3F5F6" w:color="auto" w:val="clear"/>
        <w:spacing w:after="0" w:line="240"/>
        <w:ind w:left="144" w:right="144"/>
      </w:pPr>
      <w:r>
        <w:rPr>
          <w:rFonts w:ascii="Consolas" w:cs="Consolas" w:eastAsia="Consolas" w:hAnsi="Consolas"/>
          <w:color w:val="1F2A2E"/>
          <w:sz w:val="18"/>
          <w:szCs w:val="18"/>
        </w:rPr>
        <w:t xml:space="preserve">modal run deploy/modal_app.py::migrate    # apply schema + bucket (also runs on start)</w:t>
      </w:r>
    </w:p>
    <w:p>
      <w:pPr>
        <w:shd w:fill="F3F5F6" w:color="auto" w:val="clear"/>
        <w:spacing w:after="160" w:line="240"/>
        <w:ind w:left="144" w:right="144"/>
      </w:pPr>
      <w:r>
        <w:rPr>
          <w:rFonts w:ascii="Consolas" w:cs="Consolas" w:eastAsia="Consolas" w:hAnsi="Consolas"/>
          <w:color w:val="1F2A2E"/>
          <w:sz w:val="18"/>
          <w:szCs w:val="18"/>
        </w:rPr>
        <w:t xml:space="preserve">modal run deploy/modal_app.py::load_graph # only with Neo4j Aura</w:t>
      </w:r>
    </w:p>
    <w:p>
      <w:pPr>
        <w:pStyle w:val="Heading2"/>
      </w:pPr>
      <w:r>
        <w:t xml:space="preserve">13.3 Free-tier behaviour</w:t>
      </w:r>
    </w:p>
    <w:p>
      <w:pPr>
        <w:pStyle w:val="ListParagraph"/>
        <w:numPr>
          <w:ilvl w:val="0"/>
          <w:numId w:val="2"/>
        </w:numPr>
        <w:spacing w:after="60" w:line="264"/>
      </w:pPr>
      <w:r>
        <w:rPr>
          <w:b/>
          <w:bCs/>
        </w:rPr>
        <w:t xml:space="preserve">Cold starts.</w:t>
      </w:r>
      <w:r>
        <w:t xml:space="preserve"> After 5 idle minutes services sleep; the first request takes a few seconds (API) or 10–20 s (AI service).</w:t>
      </w:r>
    </w:p>
    <w:p>
      <w:pPr>
        <w:pStyle w:val="ListParagraph"/>
        <w:numPr>
          <w:ilvl w:val="0"/>
          <w:numId w:val="2"/>
        </w:numPr>
        <w:spacing w:after="60" w:line="264"/>
      </w:pPr>
      <w:r>
        <w:rPr>
          <w:b/>
          <w:bCs/>
        </w:rPr>
        <w:t xml:space="preserve">Supabase pauses</w:t>
      </w:r>
      <w:r>
        <w:t xml:space="preserve"> free projects after about a week without activity; restore from the dashboard (data is kept).</w:t>
      </w:r>
    </w:p>
    <w:p>
      <w:pPr>
        <w:pStyle w:val="ListParagraph"/>
        <w:numPr>
          <w:ilvl w:val="0"/>
          <w:numId w:val="2"/>
        </w:numPr>
        <w:spacing w:after="60" w:line="264"/>
      </w:pPr>
      <w:r>
        <w:rPr>
          <w:b/>
          <w:bCs/>
        </w:rPr>
        <w:t xml:space="preserve">Assistant memory</w:t>
      </w:r>
      <w:r>
        <w:t xml:space="preserve"> of earlier turns lasts while the AI container is running; saved messages remain visible.</w:t>
      </w:r>
    </w:p>
    <w:p>
      <w:pPr>
        <w:pStyle w:val="ListParagraph"/>
        <w:numPr>
          <w:ilvl w:val="0"/>
          <w:numId w:val="2"/>
        </w:numPr>
        <w:spacing w:after="60" w:line="264"/>
      </w:pPr>
      <w:r>
        <w:t xml:space="preserve">Changing a secret needs a </w:t>
      </w:r>
      <w:r>
        <w:rPr>
          <w:rFonts w:ascii="Consolas" w:cs="Consolas" w:eastAsia="Consolas" w:hAnsi="Consolas"/>
          <w:color w:val="7A3E00"/>
          <w:sz w:val="19"/>
          <w:szCs w:val="19"/>
        </w:rPr>
        <w:t xml:space="preserve">modal deploy</w:t>
      </w:r>
      <w:r>
        <w:t xml:space="preserve">; changing a Vercel variable needs a Redeploy.</w:t>
      </w:r>
    </w:p>
    <w:p>
      <w:pPr>
        <w:pBdr>
          <w:left w:val="single" w:color="0F6E63" w:sz="18" w:space="8"/>
        </w:pBdr>
        <w:shd w:fill="FDF3E1" w:color="auto" w:val="clear"/>
        <w:spacing w:after="160" w:before="80" w:line="276"/>
        <w:ind w:left="144" w:right="144"/>
      </w:pPr>
      <w:r>
        <w:rPr>
          <w:b/>
          <w:bCs/>
          <w:color w:val="0F6E63"/>
        </w:rPr>
        <w:t xml:space="preserve">Security: </w:t>
      </w:r>
      <w:r>
        <w:t xml:space="preserve">The Supabase database password and secret key, and the demo account passwords, were shared in a chat. Rotate them: Supabase → Database → Reset password; API Keys → new secret key; then update the polymarker-backend secret and run modal deploy.</w:t>
      </w:r>
    </w:p>
    <w:p>
      <w:pPr>
        <w:pStyle w:val="Heading1"/>
        <w:pageBreakBefore/>
      </w:pPr>
      <w:r>
        <w:t xml:space="preserve">14. Configuration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404"/>
        <w:gridCol w:w="3711"/>
      </w:tblGrid>
      <w:tr>
        <w:trPr>
          <w:tblHeader/>
        </w:trPr>
        <w:tc>
          <w:tcPr>
            <w:tcW w:type="dxa" w:w="3911"/>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Variable</w:t>
            </w:r>
          </w:p>
        </w:tc>
        <w:tc>
          <w:tcPr>
            <w:tcW w:type="dxa" w:w="14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Service</w:t>
            </w:r>
          </w:p>
        </w:tc>
        <w:tc>
          <w:tcPr>
            <w:tcW w:type="dxa" w:w="3711"/>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VITE_API_BASE_URL</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frontend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 address including /api (build time)</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DATABASE_URL, DATABASE_SSL, DATABASE_CA_CERT</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Postgres connection; TLS disable/require/verify</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DB_AUTO_MIGRATE</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Apply schema on start (default true)</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JWT_SECRET</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Signs sign-in tokens (required in production)</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FRONTEND_URL</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Allowed browser origins (comma-separated)</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SUPABASE_URL, SUPABASE_SERVICE_KEY, STORAGE_BUCKET</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File storage (local disk if unset)</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AI_SERVICE_URL, AI_INTERNAL_KEY / INTERNAL_API_KEY, AI_TIMEOUT_MS</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How to reach the AI service</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SEED_ADMIN_*, SEED_CLINICIAN_*, SEED_PATIENT_*</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Accounts created by seed</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INTERNAL_API_KEY</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Required X-Internal-Key</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JOB_BACKEND</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celery | modal | local</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LLM_PROVIDER, LLM_MODEL, GROQ_API_KEY, GOOGLE_API_KEY, MAX_REGENERATIONS</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Optional LLM</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CHECKPOINTER, REDIS_URL</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Conversation memory (memory or Redis Stack)</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NEO4J_URI, NEO4J_USER, NEO4J_PASSWORD</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Knowledge graph (in-memory if unset)</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OCR_ENGINE, ENABLE_LAYOUTLMV3, MODEL_ARTIFACT_DIR</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 engine and model location</w:t>
            </w:r>
          </w:p>
        </w:tc>
      </w:tr>
      <w:tr>
        <w:tc>
          <w:tcPr>
            <w:tcW w:type="dxa" w:w="39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ETL_ENGINE</w:t>
            </w:r>
          </w:p>
        </w:tc>
        <w:tc>
          <w:tcPr>
            <w:tcW w:type="dxa" w:w="14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bda_engine</w:t>
            </w:r>
          </w:p>
        </w:tc>
        <w:tc>
          <w:tcPr>
            <w:tcW w:type="dxa" w:w="37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spark | duckdb</w:t>
            </w:r>
          </w:p>
        </w:tc>
      </w:tr>
    </w:tbl>
    <w:p>
      <w:pPr>
        <w:pStyle w:val="Heading1"/>
        <w:pageBreakBefore/>
      </w:pPr>
      <w:r>
        <w:t xml:space="preserve">15. Testing and quality</w:t>
      </w:r>
    </w:p>
    <w:p>
      <w:pPr>
        <w:pStyle w:val="Heading2"/>
      </w:pPr>
      <w:r>
        <w:t xml:space="preserve">15.1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1604"/>
        <w:gridCol w:w="5417"/>
      </w:tblGrid>
      <w:tr>
        <w:trPr>
          <w:tblHeader/>
        </w:trPr>
        <w:tc>
          <w:tcPr>
            <w:tcW w:type="dxa" w:w="2005"/>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Project</w:t>
            </w:r>
          </w:p>
        </w:tc>
        <w:tc>
          <w:tcPr>
            <w:tcW w:type="dxa" w:w="160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Tests</w:t>
            </w:r>
          </w:p>
        </w:tc>
        <w:tc>
          <w:tcPr>
            <w:tcW w:type="dxa" w:w="5417"/>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Highlights</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common</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45</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Parser layouts, unit conversion, OCR pipeline, quality checks</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graph_service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Schema/seed, live Neo4j equals in-memory graph</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bda_engine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13</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Generator, Spark = DuckDB, models, batch OCR</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ai-service</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43 (+3 live)</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API, guardrails, summaries, retrieval, Modal jobs; live Celery/Redis/Neo4j</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backend</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18</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Roles, approval gate, privacy, storage, review race, RLS, TLS</w:t>
            </w:r>
          </w:p>
        </w:tc>
      </w:tr>
      <w:tr>
        <w:tc>
          <w:tcPr>
            <w:tcW w:type="dxa" w:w="2005"/>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frontend</w:t>
            </w:r>
          </w:p>
        </w:tc>
        <w:tc>
          <w:tcPr>
            <w:tcW w:type="dxa" w:w="160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w:t>
            </w:r>
          </w:p>
        </w:tc>
        <w:tc>
          <w:tcPr>
            <w:tcW w:type="dxa" w:w="5417"/>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API client, biomarker helpers, components</w:t>
            </w:r>
          </w:p>
        </w:tc>
      </w:tr>
    </w:tbl>
    <w:p>
      <w:pPr>
        <w:pStyle w:val="Heading2"/>
      </w:pPr>
      <w:r>
        <w:t xml:space="preserve">15.2 Continuous integration (8 jobs, all green on main)</w:t>
      </w:r>
    </w:p>
    <w:p>
      <w:pPr>
        <w:spacing w:after="120" w:line="276"/>
      </w:pPr>
      <w:r>
        <w:t xml:space="preserve">The CI jobs are common, graph-service (with Neo4j), bda-engine (Java + Tesseract), ai-service (lint, tests, live integration, safety evaluation), backend (with Postgres), frontend (tests, build, no-hard-coded-URL guard), compose (Docker image builds) and modal (validates the deployment definition).</w:t>
      </w:r>
    </w:p>
    <w:p>
      <w:pPr>
        <w:pStyle w:val="Heading2"/>
      </w:pPr>
      <w:r>
        <w:t xml:space="preserve">15.3 Manual test pack (testing/)</w:t>
      </w:r>
    </w:p>
    <w:p>
      <w:pPr>
        <w:spacing w:after="120" w:line="276"/>
      </w:pPr>
      <w:r>
        <w:rPr>
          <w:rFonts w:ascii="Consolas" w:cs="Consolas" w:eastAsia="Consolas" w:hAnsi="Consolas"/>
          <w:color w:val="7A3E00"/>
          <w:sz w:val="19"/>
          <w:szCs w:val="19"/>
        </w:rPr>
        <w:t xml:space="preserve">testing/TEST_PLAN.md</w:t>
      </w:r>
      <w:r>
        <w:t xml:space="preserve"> has 14 patient tests, 7 assistant tests, 14 clinician tests, 8 admin tests and 5 cross-checks. </w:t>
      </w:r>
      <w:r>
        <w:rPr>
          <w:rFonts w:ascii="Consolas" w:cs="Consolas" w:eastAsia="Consolas" w:hAnsi="Consolas"/>
          <w:color w:val="7A3E00"/>
          <w:sz w:val="19"/>
          <w:szCs w:val="19"/>
        </w:rPr>
        <w:t xml:space="preserve">testing/sample-reports/</w:t>
      </w:r>
      <w:r>
        <w:t xml:space="preserve"> has 9 synthetic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406"/>
        <w:gridCol w:w="3010"/>
      </w:tblGrid>
      <w:tr>
        <w:trPr>
          <w:tblHeader/>
        </w:trPr>
        <w:tc>
          <w:tcPr>
            <w:tcW w:type="dxa" w:w="36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24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Tests</w:t>
            </w:r>
          </w:p>
        </w:tc>
        <w:tc>
          <w:tcPr>
            <w:tcW w:type="dxa" w:w="30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Expected</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01-normal-all-in-range.pdf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Baseline</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 markers, routine</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02-thyroid-autoimmune-low-iron-vitd.pdf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Typical pattern</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 markers, routine, high tiredness risk</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03-priority-escalation.pdf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 thresholds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priority</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04-urgent-escalation.pdf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Critical values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urgent (top of queue)</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05-si-units-other-lab.pdf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 units, other lab</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8 markers, routine</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06-scanned-image-report.pdf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6 markers, lower confidence</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07-partial-panel-three-markers.pdf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Partial panel</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3 markers</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08-prompt-injection.txt</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Injected instructions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Ignored; not in summary</w:t>
            </w:r>
          </w:p>
        </w:tc>
      </w:tr>
      <w:tr>
        <w:tc>
          <w:tcPr>
            <w:tcW w:type="dxa" w:w="36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09-no-lab-values-letter.pdf</w:t>
            </w:r>
          </w:p>
        </w:tc>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 results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0 markers; clinician rejects</w:t>
            </w:r>
          </w:p>
        </w:tc>
      </w:tr>
    </w:tbl>
    <w:p>
      <w:pPr>
        <w:pStyle w:val="Heading1"/>
        <w:pageBreakBefore/>
      </w:pPr>
      <w:r>
        <w:t xml:space="preserve">16. Security and privacy</w:t>
      </w:r>
    </w:p>
    <w:p>
      <w:pPr>
        <w:pStyle w:val="ListParagraph"/>
        <w:numPr>
          <w:ilvl w:val="0"/>
          <w:numId w:val="2"/>
        </w:numPr>
        <w:spacing w:after="60" w:line="264"/>
      </w:pPr>
      <w:r>
        <w:t xml:space="preserve">Passwords are hashed with bcrypt. Sign-in tokens last 7 days and roles are checked against the database on every request.</w:t>
      </w:r>
    </w:p>
    <w:p>
      <w:pPr>
        <w:pStyle w:val="ListParagraph"/>
        <w:numPr>
          <w:ilvl w:val="0"/>
          <w:numId w:val="2"/>
        </w:numPr>
        <w:spacing w:after="60" w:line="264"/>
      </w:pPr>
      <w:r>
        <w:t xml:space="preserve">There is no public admin or clinician sign-up. Sign-in attempts are rate-limited, and error messages never reveal whether the email or the password was wrong.</w:t>
      </w:r>
    </w:p>
    <w:p>
      <w:pPr>
        <w:pStyle w:val="ListParagraph"/>
        <w:numPr>
          <w:ilvl w:val="0"/>
          <w:numId w:val="2"/>
        </w:numPr>
        <w:spacing w:after="60" w:line="264"/>
      </w:pPr>
      <w:r>
        <w:t xml:space="preserve">Patients can only reach their own records: every query filters on the signed-in patient.</w:t>
      </w:r>
    </w:p>
    <w:p>
      <w:pPr>
        <w:pStyle w:val="ListParagraph"/>
        <w:numPr>
          <w:ilvl w:val="0"/>
          <w:numId w:val="2"/>
        </w:numPr>
        <w:spacing w:after="60" w:line="264"/>
      </w:pPr>
      <w:r>
        <w:t xml:space="preserve">Uploads are limited to PDF, TXT, PNG and JPG, 10 MB maximum. The client's filename is never used as a storage path.</w:t>
      </w:r>
    </w:p>
    <w:p>
      <w:pPr>
        <w:pStyle w:val="ListParagraph"/>
        <w:numPr>
          <w:ilvl w:val="0"/>
          <w:numId w:val="2"/>
        </w:numPr>
        <w:spacing w:after="60" w:line="264"/>
      </w:pPr>
      <w:r>
        <w:t xml:space="preserve">Ids are validated before any file path is built, which prevents path traversal.</w:t>
      </w:r>
    </w:p>
    <w:p>
      <w:pPr>
        <w:pStyle w:val="ListParagraph"/>
        <w:numPr>
          <w:ilvl w:val="0"/>
          <w:numId w:val="2"/>
        </w:numPr>
        <w:spacing w:after="60" w:line="264"/>
      </w:pPr>
      <w:r>
        <w:t xml:space="preserve">The AI service requires the internal key on every data endpoint.</w:t>
      </w:r>
    </w:p>
    <w:p>
      <w:pPr>
        <w:pStyle w:val="ListParagraph"/>
        <w:numPr>
          <w:ilvl w:val="0"/>
          <w:numId w:val="2"/>
        </w:numPr>
        <w:spacing w:after="60" w:line="264"/>
      </w:pPr>
      <w:r>
        <w:t xml:space="preserve">Supabase row level security blocks the public Data API, and files sit in a private bucket accessed only with the secret key.</w:t>
      </w:r>
    </w:p>
    <w:p>
      <w:pPr>
        <w:pStyle w:val="ListParagraph"/>
        <w:numPr>
          <w:ilvl w:val="0"/>
          <w:numId w:val="2"/>
        </w:numPr>
        <w:spacing w:after="60" w:line="264"/>
      </w:pPr>
      <w:r>
        <w:t xml:space="preserve">Standard web protections are on: helmet security headers, a CORS allow-list and JSON size limits.</w:t>
      </w:r>
    </w:p>
    <w:p>
      <w:pPr>
        <w:pStyle w:val="ListParagraph"/>
        <w:numPr>
          <w:ilvl w:val="0"/>
          <w:numId w:val="2"/>
        </w:numPr>
        <w:spacing w:after="60" w:line="264"/>
      </w:pPr>
      <w:r>
        <w:t xml:space="preserve">Patient names are never extracted from reports, and guardrails redact ids from patient-facing text.</w:t>
      </w:r>
    </w:p>
    <w:p>
      <w:pPr>
        <w:pStyle w:val="Heading1"/>
        <w:pageBreakBefore/>
      </w:pPr>
      <w:r>
        <w:t xml:space="preserve">17. Running it on your own computer</w:t>
      </w:r>
    </w:p>
    <w:p>
      <w:pPr>
        <w:shd w:fill="F3F5F6" w:color="auto" w:val="clear"/>
        <w:spacing w:after="0" w:line="240"/>
        <w:ind w:left="144" w:right="144"/>
      </w:pPr>
      <w:r>
        <w:rPr>
          <w:rFonts w:ascii="Consolas" w:cs="Consolas" w:eastAsia="Consolas" w:hAnsi="Consolas"/>
          <w:color w:val="1F2A2E"/>
          <w:sz w:val="18"/>
          <w:szCs w:val="18"/>
        </w:rPr>
        <w:t xml:space="preserve">cp .env.example .env            # set JWT_SECRET, AI_INTERNAL_KEY; optional GROQ_API_KEY</w:t>
      </w:r>
    </w:p>
    <w:p>
      <w:pPr>
        <w:shd w:fill="F3F5F6" w:color="auto" w:val="clear"/>
        <w:spacing w:after="0" w:line="240"/>
        <w:ind w:left="144" w:right="144"/>
      </w:pPr>
      <w:r>
        <w:rPr>
          <w:rFonts w:ascii="Consolas" w:cs="Consolas" w:eastAsia="Consolas" w:hAnsi="Consolas"/>
          <w:color w:val="1F2A2E"/>
          <w:sz w:val="18"/>
          <w:szCs w:val="18"/>
        </w:rPr>
        <w:t xml:space="preserve">docker compose up --build       # Postgres, Redis, Neo4j, AI service, worker, backend, frontend</w:t>
      </w:r>
    </w:p>
    <w:p>
      <w:pPr>
        <w:shd w:fill="F3F5F6" w:color="auto" w:val="clear"/>
        <w:spacing w:after="0" w:line="240"/>
        <w:ind w:left="144" w:right="144"/>
      </w:pPr>
      <w:r>
        <w:rPr>
          <w:rFonts w:ascii="Consolas" w:cs="Consolas" w:eastAsia="Consolas" w:hAnsi="Consolas"/>
          <w:color w:val="1F2A2E"/>
          <w:sz w:val="18"/>
          <w:szCs w:val="18"/>
        </w:rPr>
        <w:t xml:space="preserve"># open http://localhost:5173</w:t>
      </w:r>
    </w:p>
    <w:p>
      <w:pPr>
        <w:shd w:fill="F3F5F6" w:color="auto" w:val="clear"/>
        <w:spacing w:after="160" w:line="240"/>
        <w:ind w:left="144" w:right="144"/>
      </w:pPr>
      <w:r>
        <w:rPr>
          <w:rFonts w:ascii="Consolas" w:cs="Consolas" w:eastAsia="Consolas" w:hAnsi="Consolas"/>
          <w:color w:val="1F2A2E"/>
          <w:sz w:val="18"/>
          <w:szCs w:val="18"/>
        </w:rPr>
        <w:t xml:space="preserve">docker compose --profile ml run --rm bda all   # optional: regenerate data + retrain (~8 GB RAM)</w:t>
      </w:r>
    </w:p>
    <w:p>
      <w:pPr>
        <w:spacing w:after="120" w:line="276"/>
      </w:pPr>
      <w:r>
        <w:t xml:space="preserve">Minimum resources: 4 CPUs and 6 GB RAM for the core stack. Each project can also be run on its own with </w:t>
      </w:r>
      <w:r>
        <w:rPr>
          <w:rFonts w:ascii="Consolas" w:cs="Consolas" w:eastAsia="Consolas" w:hAnsi="Consolas"/>
          <w:color w:val="7A3E00"/>
          <w:sz w:val="19"/>
          <w:szCs w:val="19"/>
        </w:rPr>
        <w:t xml:space="preserve">uv sync &amp;&amp; uv run pytest</w:t>
      </w:r>
      <w:r>
        <w:t xml:space="preserve"> (Python) or </w:t>
      </w:r>
      <w:r>
        <w:rPr>
          <w:rFonts w:ascii="Consolas" w:cs="Consolas" w:eastAsia="Consolas" w:hAnsi="Consolas"/>
          <w:color w:val="7A3E00"/>
          <w:sz w:val="19"/>
          <w:szCs w:val="19"/>
        </w:rPr>
        <w:t xml:space="preserve">npm ci &amp;&amp; npm test</w:t>
      </w:r>
      <w:r>
        <w:t xml:space="preserve"> (Node). The backend tests need a Postgres, set with </w:t>
      </w:r>
      <w:r>
        <w:rPr>
          <w:rFonts w:ascii="Consolas" w:cs="Consolas" w:eastAsia="Consolas" w:hAnsi="Consolas"/>
          <w:color w:val="7A3E00"/>
          <w:sz w:val="19"/>
          <w:szCs w:val="19"/>
        </w:rPr>
        <w:t xml:space="preserve">DATABASE_URL_TEST</w:t>
      </w:r>
      <w:r>
        <w:t xml:space="preserve">.</w:t>
      </w:r>
    </w:p>
    <w:p>
      <w:pPr>
        <w:pStyle w:val="Heading1"/>
        <w:pageBreakBefore/>
      </w:pPr>
      <w:r>
        <w:t xml:space="preserve">18. Limitations and known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3710"/>
        <w:gridCol w:w="3010"/>
      </w:tblGrid>
      <w:tr>
        <w:trPr>
          <w:tblHeader/>
        </w:trPr>
        <w:tc>
          <w:tcPr>
            <w:tcW w:type="dxa" w:w="23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37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Detail</w:t>
            </w:r>
          </w:p>
        </w:tc>
        <w:tc>
          <w:tcPr>
            <w:tcW w:type="dxa" w:w="301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Suggested next step</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Synthetic data only</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All bands, clusters and risks are method demonstrations (circularity threat R2)</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De-identified real data, pre-registered thresholds, external validation</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LLM summaries unmeasured</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 AI key during evaluation; all measured summaries came from the template</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Add a Groq key and rerun run_ai_eval.py</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Assistant readability in template mode</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Some quoted knowledge-base passages read at grade 8.6–8.8 (target ≤ 8); flagged, not a safety issue</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Simplify the knowledge-base wording or enable an LLM</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Medicine questions in template mode</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Answered with general marker information plus the disclaimer, not a targeted reply</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Add a specific medicine-question response</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No password reset</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Seed does not change existing passwords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Add a reset command or a change-password screen</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Conversation memory on Modal</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Resets when the AI container sleeps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Point at a Redis Stack instance (CHECKPOINTER=redis)</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 on real faxes and phone photos</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Synthetic scans are cleaner than real ones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Evaluate LayoutLMv3 / PaddleOCR on real samples</w:t>
            </w:r>
          </w:p>
        </w:tc>
      </w:tr>
      <w:tr>
        <w:tc>
          <w:tcPr>
            <w:tcW w:type="dxa" w:w="23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Small safety test sets</w:t>
            </w:r>
          </w:p>
        </w:tc>
        <w:tc>
          <w:tcPr>
            <w:tcW w:type="dxa" w:w="37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Written by the developers</w:t>
            </w:r>
          </w:p>
        </w:tc>
        <w:tc>
          <w:tcPr>
            <w:tcW w:type="dxa" w:w="301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Independent clinical red team</w:t>
            </w:r>
          </w:p>
        </w:tc>
      </w:tr>
    </w:tbl>
    <w:p>
      <w:pPr>
        <w:pStyle w:val="Heading1"/>
        <w:pageBreakBefore/>
      </w:pPr>
      <w:r>
        <w:t xml:space="preserve">19.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Symptom</w:t>
            </w:r>
          </w:p>
        </w:tc>
        <w:tc>
          <w:tcPr>
            <w:tcW w:type="dxa" w:w="60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Likely cause and fix</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"Cannot reach the server"</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VITE_API_BASE_URL missing (set as Config, then Redeploy on Vercel); or FRONTEND_URL does not match the site address (update the secret, run modal deploy); or the backend is not starting (check the api logs in Modal)</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"Invalid credentials"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Wrong tab (Admin vs Clinician) or wrong password; passwords are case-sensitive</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Upload stays "processing"</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Check run_job logs in Modal; the first upload after idle is slower</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"Postgres connection failed" in logs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DATABASE_URL must be the Supabase transaction pooler URL (port 6543); the project may be paused</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Deploy says a secret is missing keys</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Recreate the secret with all required keys (DATABASE_URL, JWT_SECRET, FRONTEND_URL)</w:t>
            </w:r>
          </w:p>
        </w:tc>
      </w:tr>
      <w:tr>
        <w:tc>
          <w:tcPr>
            <w:tcW w:type="dxa" w:w="300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Vercel will not switch a variable to Config</w:t>
            </w:r>
          </w:p>
        </w:tc>
        <w:tc>
          <w:tcPr>
            <w:tcW w:type="dxa" w:w="60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Saved Secrets cannot change type: delete it and create a new Config variable</w:t>
            </w:r>
          </w:p>
        </w:tc>
      </w:tr>
    </w:tbl>
    <w:p>
      <w:pPr>
        <w:pStyle w:val="Heading1"/>
        <w:pageBreakBefore/>
      </w:pPr>
      <w:r>
        <w:t xml:space="preserve">20.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Term</w:t>
            </w:r>
          </w:p>
        </w:tc>
        <w:tc>
          <w:tcPr>
            <w:tcW w:type="dxa" w:w="6620"/>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PROM</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Patient-reported outcome measure: here tiredness, brain fog and hair loss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LOINC</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Standard codes for lab tests, so different lab names map to one marker</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OCR</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Optical character recognition: reading text from images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Functional band</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 data-derived range where symptom risk stays near its minimum (synthetic-derived)</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SHAP</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 method that shows how much each value pushed a model's prediction up or down</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AUROC / ECE</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How well a model ranks risk (0.5 is chance, 1 is perfect) / how close predicted probabilities are to reality</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GraphRAG</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Answering questions with retrieval from a knowledge graph and documents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Guardrails</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Deterministic checks applied to every patient-facing text</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Bronze / silver / gold</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Data-lake stages: raw typed, cleaned and normalised, analysis-ready</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RLS</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Row level security: database rules controlling who can read which rows</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Cold start</w:t>
            </w:r>
          </w:p>
        </w:tc>
        <w:tc>
          <w:tcPr>
            <w:tcW w:type="dxa" w:w="6620"/>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Delay while a sleeping serverless service starts up</w:t>
            </w:r>
          </w:p>
        </w:tc>
      </w:tr>
    </w:tbl>
    <w:p>
      <w:pPr>
        <w:pStyle w:val="Heading1"/>
        <w:pageBreakBefore/>
      </w:pPr>
      <w:r>
        <w:t xml:space="preserve">Appendix A. Research mapping (15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4011"/>
        <w:gridCol w:w="4414"/>
      </w:tblGrid>
      <w:tr>
        <w:trPr>
          <w:tblHeader/>
        </w:trPr>
        <w:tc>
          <w:tcPr>
            <w:tcW w:type="dxa" w:w="601"/>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4011"/>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Idea from the plan's papers</w:t>
            </w:r>
          </w:p>
        </w:tc>
        <w:tc>
          <w:tcPr>
            <w:tcW w:type="dxa" w:w="4414"/>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Where it is implemented</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Cohort-level lab analytics (TriNetX)</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Silver/gold lake, percentiles, cluster profiles</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Multi-source lake of labs, demographics, PROMs (MELD)</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Raw → bronze → silver → gold over 5 labs + intake forms</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3</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Population-health analytics framing</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4-V mapping; Spark/DuckDB engine</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Bias correction in lab data</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Data-quality layer before modelling; limitations</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Lab data as early-warning signals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Escalation rules and queue triage</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6</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Joint multi-marker correlation</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Spearman matrices loaded into the graph</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7</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Engineered multi-biomarker features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Ratios, interactions, deficit count, missingness</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8</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Unsupervised sub-clinical patterns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K-Means, GMM, DBSCAN outliers</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Context improves prediction</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Symptoms + demographics in risk models; SHAP</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10</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Layout-aware document analysis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 PDF layouts, column detection, LayoutLMv3 hook</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11</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Personalised interpretation</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Per-patient bands, percentiles, cluster, risk</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12</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Structured PROM extraction</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Free-text intake normalised to the PROM schema</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13</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Biomarker knowledge graph (BiomarkerKB)</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graph_service with source + evidence level</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Clinical decision support with guardrails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GraphRAG + deterministic guardrails + audit</w:t>
            </w:r>
          </w:p>
        </w:tc>
      </w:tr>
      <w:tr>
        <w:tc>
          <w:tcPr>
            <w:tcW w:type="dxa" w:w="60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15</w:t>
            </w:r>
          </w:p>
        </w:tc>
        <w:tc>
          <w:tcPr>
            <w:tcW w:type="dxa" w:w="4011"/>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PROMs as model targets</w:t>
            </w:r>
          </w:p>
        </w:tc>
        <w:tc>
          <w:tcPr>
            <w:tcW w:type="dxa" w:w="4414"/>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Tiredness / brain fog / hair-loss calibrated risk</w:t>
            </w:r>
          </w:p>
        </w:tc>
      </w:tr>
    </w:tbl>
    <w:p>
      <w:pPr>
        <w:pStyle w:val="Heading1"/>
        <w:pageBreakBefore/>
      </w:pPr>
      <w:r>
        <w:t xml:space="preserve">Appendix B. The 14-week plan: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902"/>
        <w:gridCol w:w="5718"/>
      </w:tblGrid>
      <w:tr>
        <w:trPr>
          <w:tblHeader/>
        </w:trPr>
        <w:tc>
          <w:tcPr>
            <w:tcW w:type="dxa" w:w="2406"/>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Phase</w:t>
            </w:r>
          </w:p>
        </w:tc>
        <w:tc>
          <w:tcPr>
            <w:tcW w:type="dxa" w:w="902"/>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Weeks</w:t>
            </w:r>
          </w:p>
        </w:tc>
        <w:tc>
          <w:tcPr>
            <w:tcW w:type="dxa" w:w="5718"/>
            <w:tcBorders>
              <w:top w:val="single" w:color="C9D3D6" w:sz="4"/>
              <w:left w:val="single" w:color="C9D3D6" w:sz="4"/>
              <w:bottom w:val="single" w:color="C9D3D6" w:sz="4"/>
              <w:right w:val="single" w:color="C9D3D6" w:sz="4"/>
            </w:tcBorders>
            <w:shd w:fill="0F6E63" w:color="auto" w:val="clear"/>
            <w:tcMar>
              <w:top w:type="dxa" w:w="60"/>
              <w:left w:type="dxa" w:w="100"/>
              <w:bottom w:type="dxa" w:w="60"/>
              <w:right w:type="dxa" w:w="100"/>
            </w:tcMar>
          </w:tcPr>
          <w:p>
            <w:pPr>
              <w:spacing w:after="0" w:line="252"/>
            </w:pPr>
            <w:r>
              <w:rPr>
                <w:b/>
                <w:bCs/>
                <w:color w:val="FFFFFF"/>
                <w:sz w:val="19"/>
                <w:szCs w:val="19"/>
              </w:rPr>
              <w:t xml:space="preserve">Delivered</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 · Ingestion &amp; BDA engine</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1–4</w:t>
            </w:r>
          </w:p>
        </w:tc>
        <w:tc>
          <w:tcPr>
            <w:tcW w:type="dxa" w:w="57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Lake schemas; 50k synthetic generator; OCR (text layer / Tesseract + tables; Paddle &amp; LayoutLMv3 behind flags); job queue; LOINC + unit normalizer; quality checks with audit</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2 · Graph &amp; ML</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5–8</w:t>
            </w:r>
          </w:p>
        </w:tc>
        <w:tc>
          <w:tcPr>
            <w:tcW w:type="dxa" w:w="57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Neo4j graph with evidence levels; feature vectors; K-Means / GMM / DBSCAN; functional bands; XGBoost + SHAP</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3 · GraphRAG &amp; safety</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9–11</w:t>
            </w:r>
          </w:p>
        </w:tc>
        <w:tc>
          <w:tcPr>
            <w:tcW w:type="dxa" w:w="57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GraphRAG agent with cohort insights; deterministic guardrails; unified output JSON</w:t>
            </w:r>
          </w:p>
        </w:tc>
      </w:tr>
      <w:tr>
        <w:tc>
          <w:tcPr>
            <w:tcW w:type="dxa" w:w="2406"/>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4 · UI, review, evaluation, docs</w:t>
            </w:r>
          </w:p>
        </w:tc>
        <w:tc>
          <w:tcPr>
            <w:tcW w:type="dxa" w:w="902"/>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12–14</w:t>
            </w:r>
          </w:p>
        </w:tc>
        <w:tc>
          <w:tcPr>
            <w:tcW w:type="dxa" w:w="5718"/>
            <w:tcBorders>
              <w:top w:val="single" w:color="C9D3D6" w:sz="4"/>
              <w:left w:val="single" w:color="C9D3D6" w:sz="4"/>
              <w:bottom w:val="single" w:color="C9D3D6" w:sz="4"/>
              <w:right w:val="single" w:color="C9D3D6" w:sz="4"/>
            </w:tcBorders>
            <w:tcMar>
              <w:top w:type="dxa" w:w="60"/>
              <w:left w:type="dxa" w:w="100"/>
              <w:bottom w:type="dxa" w:w="60"/>
              <w:right w:type="dxa" w:w="100"/>
            </w:tcMar>
          </w:tcPr>
          <w:p>
            <w:pPr>
              <w:spacing w:after="0" w:line="252"/>
            </w:pPr>
            <w:r>
              <w:rPr>
                <w:sz w:val="19"/>
                <w:szCs w:val="19"/>
              </w:rPr>
              <w:t xml:space="preserve">Gauges, radar, cohort map; clinician review portal; full evaluation; rebrand; docs; CI; free-tier deployment (Vercel + Modal + Supabase)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6"/>
        <w:szCs w:val="16"/>
      </w:rPr>
      <w:t xml:space="preserve">Page </w:t>
    </w:r>
    <w:r>
      <w:rPr>
        <w:color w:val="5B6B70"/>
        <w:sz w:val="16"/>
        <w:szCs w:val="16"/>
      </w:rPr>
      <w:fldChar w:fldCharType="begin"/>
      <w:instrText xml:space="preserve">PAGE</w:instrText>
      <w:fldChar w:fldCharType="separate"/>
      <w:fldChar w:fldCharType="end"/>
    </w:r>
    <w:r>
      <w:rPr>
        <w:color w:val="5B6B70"/>
        <w:sz w:val="16"/>
        <w:szCs w:val="16"/>
      </w:rPr>
      <w:t xml:space="preserve">  ·  Derived from synthetic data, for research/demo purposes, not clinical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0"/>
        <w:sz w:val="16"/>
        <w:szCs w:val="16"/>
      </w:rPr>
      <w:t xml:space="preserve">PolyMarker Analytics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F6E63"/>
      <w:sz w:val="34"/>
      <w:szCs w:val="34"/>
    </w:rPr>
  </w:style>
  <w:style w:type="paragraph" w:styleId="Heading2">
    <w:name w:val="Heading 2"/>
    <w:basedOn w:val="Normal"/>
    <w:next w:val="Normal"/>
    <w:qFormat/>
    <w:pPr>
      <w:spacing w:after="120" w:before="280"/>
      <w:outlineLvl w:val="1"/>
    </w:pPr>
    <w:rPr>
      <w:b/>
      <w:bCs/>
      <w:color w:val="1F2A2E"/>
      <w:sz w:val="26"/>
      <w:szCs w:val="26"/>
    </w:rPr>
  </w:style>
  <w:style w:type="paragraph" w:styleId="Heading3">
    <w:name w:val="Heading 3"/>
    <w:basedOn w:val="Normal"/>
    <w:next w:val="Normal"/>
    <w:qFormat/>
    <w:pPr>
      <w:spacing w:after="80" w:before="200"/>
      <w:outlineLvl w:val="2"/>
    </w:pPr>
    <w:rPr>
      <w:b/>
      <w:bCs/>
      <w:color w:val="0F6E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eabd1e7c29ed62ac6e7df98268f5e3a2972219.png"/><Relationship Id="rId10" Type="http://schemas.openxmlformats.org/officeDocument/2006/relationships/image" Target="media/d4515fabd067ef0bad0c291e51d1f8ab618d725c.png"/><Relationship Id="rId11" Type="http://schemas.openxmlformats.org/officeDocument/2006/relationships/image" Target="media/928d7361e153aad06338d9cb1f12821d1a6ea4d1.png"/><Relationship Id="rId12" Type="http://schemas.openxmlformats.org/officeDocument/2006/relationships/image" Target="media/a2c214181f4a6cf1601af77289c60d9ea369b3d3.png"/><Relationship Id="rId13" Type="http://schemas.openxmlformats.org/officeDocument/2006/relationships/image" Target="media/133221d07daf7eb518c5fa8373b02194020ae179.png"/><Relationship Id="rId14" Type="http://schemas.openxmlformats.org/officeDocument/2006/relationships/image" Target="media/6f53702392d915b68f538c1d02d448fbc0511315.png"/><Relationship Id="rId15" Type="http://schemas.openxmlformats.org/officeDocument/2006/relationships/image" Target="media/6ab70abda14695ab91cb4a5b06b2aa669a5444cf.png"/><Relationship Id="rId16" Type="http://schemas.openxmlformats.org/officeDocument/2006/relationships/image" Target="media/9d7700aafaac11230e0c7526045ca21065bae66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PolyMarker Analytics: Complete Project Guide</dc:title>
  <dc:creator>PolyMarker project</dc:creator>
  <dc:description>Explains the whole PolyMarker project</dc:description>
  <cp:lastModifiedBy>Un-named</cp:lastModifiedBy>
  <cp:revision>1</cp:revision>
  <dcterms:created xsi:type="dcterms:W3CDTF">2026-09-30T03:50:12.406Z</dcterms:created>
  <dcterms:modified xsi:type="dcterms:W3CDTF">2026-09-30T03:50:12.406Z</dcterms:modified>
</cp:coreProperties>
</file>

<file path=docProps/custom.xml><?xml version="1.0" encoding="utf-8"?>
<Properties xmlns="http://schemas.openxmlformats.org/officeDocument/2006/custom-properties" xmlns:vt="http://schemas.openxmlformats.org/officeDocument/2006/docPropsVTypes"/>
</file>