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4E78"/>
          <w:sz w:val="40"/>
          <w:szCs w:val="40"/>
        </w:rPr>
        <w:t xml:space="preserve">PRODUCT REQUIREMENTS DOCUMENT</w:t>
      </w:r>
    </w:p>
    <w:p>
      <w:pPr>
        <w:spacing w:after="120"/>
        <w:jc w:val="center"/>
      </w:pPr>
      <w:r>
        <w:rPr>
          <w:color w:val="2E5C8A"/>
          <w:sz w:val="32"/>
          <w:szCs w:val="32"/>
        </w:rPr>
        <w:t xml:space="preserve">Adaptive Multi-Regime Cross-Asset Intelligence System</w:t>
      </w:r>
    </w:p>
    <w:p>
      <w:pPr>
        <w:spacing w:after="480"/>
        <w:jc w:val="center"/>
      </w:pPr>
      <w:r>
        <w:rPr>
          <w:i/>
          <w:iCs/>
          <w:color w:val="5A5A5A"/>
          <w:sz w:val="28"/>
          <w:szCs w:val="28"/>
        </w:rPr>
        <w:t xml:space="preserve">(AMRCAIS)</w:t>
      </w:r>
    </w:p>
    <w:p>
      <w:pPr>
        <w:spacing w:after="120"/>
        <w:jc w:val="center"/>
      </w:pPr>
      <w:r>
        <w:rPr>
          <w:sz w:val="22"/>
          <w:szCs w:val="22"/>
        </w:rPr>
        <w:t xml:space="preserve">Version: 1.0</w:t>
      </w:r>
    </w:p>
    <w:p>
      <w:pPr>
        <w:spacing w:after="120"/>
        <w:jc w:val="center"/>
      </w:pPr>
      <w:r>
        <w:rPr>
          <w:sz w:val="22"/>
          <w:szCs w:val="22"/>
        </w:rPr>
        <w:t xml:space="preserve">Date: February 4, 2026</w:t>
      </w:r>
    </w:p>
    <w:p>
      <w:pPr>
        <w:spacing w:after="960"/>
        <w:jc w:val="center"/>
      </w:pPr>
      <w:r>
        <w:rPr>
          <w:b/>
          <w:bCs/>
          <w:color w:val="C55A11"/>
          <w:sz w:val="22"/>
          <w:szCs w:val="22"/>
        </w:rPr>
        <w:t xml:space="preserve">Status: Research &amp; Development</w:t>
      </w:r>
    </w:p>
    <w:p>
      <w:pPr>
        <w:pStyle w:val="Heading1"/>
      </w:pPr>
      <w:r>
        <w:t xml:space="preserve">1. Executive Summary</w:t>
      </w:r>
    </w:p>
    <w:p>
      <w:pPr>
        <w:spacing w:after="240"/>
      </w:pPr>
      <w:r>
        <w:t xml:space="preserve">The Adaptive Multi-Regime Cross-Asset Intelligence System (AMRCAIS) represents a novel approach to financial market analysis by integrating regime detection, macro event analysis, factor decomposition, options analytics, and cross-asset correlation monitoring into a single adaptive framework. Unlike traditional systems that treat these components as isolated tools, AMRCAIS recognizes that markets operate in fundamentally different behavioral regimes and automatically recalibrates signal interpretation based on the current market state.</w:t>
      </w:r>
    </w:p>
    <w:p>
      <w:pPr>
        <w:spacing w:after="360"/>
      </w:pPr>
      <w:r>
        <w:rPr>
          <w:b/>
          <w:bCs/>
        </w:rPr>
        <w:t xml:space="preserve">Key Innovation: </w:t>
      </w:r>
      <w:r>
        <w:t xml:space="preserve">The system's core differentiator is its meta-learning layer that tracks when multiple regime classifiers disagree, flagging periods of regime uncertainty that historically precede major market transitions. This 'regime disagreement signal' transforms model uncertainty from a limitation into a tradeable insight.</w:t>
      </w:r>
    </w:p>
    <w:p>
      <w:pPr>
        <w:pStyle w:val="Heading1"/>
      </w:pPr>
      <w:r>
        <w:t xml:space="preserve">2. Problem Statement</w:t>
      </w:r>
    </w:p>
    <w:p>
      <w:pPr>
        <w:pStyle w:val="Heading2"/>
      </w:pPr>
      <w:r>
        <w:t xml:space="preserve">2.1 Current Market Analysis Limitations</w:t>
      </w:r>
    </w:p>
    <w:p>
      <w:pPr>
        <w:spacing w:after="120"/>
      </w:pPr>
      <w:r>
        <w:t xml:space="preserve">Existing financial analysis tools suffer from three critical shortcomings:</w:t>
      </w:r>
    </w:p>
    <w:p>
      <w:pPr>
        <w:pStyle w:val="ListParagraph"/>
        <w:numPr>
          <w:ilvl w:val="0"/>
          <w:numId w:val="2"/>
        </w:numPr>
      </w:pPr>
      <w:r>
        <w:rPr>
          <w:b/>
          <w:bCs/>
        </w:rPr>
        <w:t xml:space="preserve">Static Signal Interpretation: </w:t>
      </w:r>
      <w:r>
        <w:t xml:space="preserve">Traditional models assume that specific signals (e.g., yield curve steepening, CPI surprises) have consistent implications regardless of market context. In reality, the same signal can be bullish in one regime and bearish in another.</w:t>
      </w:r>
    </w:p>
    <w:p>
      <w:pPr>
        <w:pStyle w:val="ListParagraph"/>
        <w:numPr>
          <w:ilvl w:val="0"/>
          <w:numId w:val="2"/>
        </w:numPr>
      </w:pPr>
      <w:r>
        <w:rPr>
          <w:b/>
          <w:bCs/>
        </w:rPr>
        <w:t xml:space="preserve">Siloed Analytics: </w:t>
      </w:r>
      <w:r>
        <w:t xml:space="preserve">Macro event trackers, factor models, volatility surfaces, and correlation monitors operate independently. Traders must manually synthesize insights across tools, creating cognitive overhead and missing regime-dependent relationships.</w:t>
      </w:r>
    </w:p>
    <w:p>
      <w:pPr>
        <w:pStyle w:val="ListParagraph"/>
        <w:numPr>
          <w:ilvl w:val="0"/>
          <w:numId w:val="2"/>
        </w:numPr>
        <w:spacing w:after="360"/>
      </w:pPr>
      <w:r>
        <w:rPr>
          <w:b/>
          <w:bCs/>
        </w:rPr>
        <w:t xml:space="preserve">Model Herding Risk: </w:t>
      </w:r>
      <w:r>
        <w:t xml:space="preserve">As machine learning proliferates in finance, similar models trained on similar data generate correlated trading signals, amplifying market instability during regime transitions when models collectively fail.</w:t>
      </w:r>
    </w:p>
    <w:p>
      <w:pPr>
        <w:pStyle w:val="Heading2"/>
      </w:pPr>
      <w:r>
        <w:t xml:space="preserve">2.2 Research Gaps Addressed</w:t>
      </w:r>
    </w:p>
    <w:p>
      <w:pPr>
        <w:spacing w:after="120"/>
      </w:pPr>
      <w:r>
        <w:t xml:space="preserve">Recent academic research (2024-2026) highlights three specific gaps that AMRCAIS directly targets:</w:t>
      </w:r>
    </w:p>
    <w:p>
      <w:pPr>
        <w:pStyle w:val="ListParagraph"/>
        <w:numPr>
          <w:ilvl w:val="0"/>
          <w:numId w:val="2"/>
        </w:numPr>
      </w:pPr>
      <w:r>
        <w:rPr>
          <w:b/>
          <w:bCs/>
        </w:rPr>
        <w:t xml:space="preserve">Dynamic Regime Detection: </w:t>
      </w:r>
      <w:r>
        <w:t xml:space="preserve">While regime-switching models exist, few systems dynamically adapt their other analytical components based on detected regimes. Most treat regime classification as informational rather than operational.</w:t>
      </w:r>
    </w:p>
    <w:p>
      <w:pPr>
        <w:pStyle w:val="ListParagraph"/>
        <w:numPr>
          <w:ilvl w:val="0"/>
          <w:numId w:val="2"/>
        </w:numPr>
      </w:pPr>
      <w:r>
        <w:rPr>
          <w:b/>
          <w:bCs/>
        </w:rPr>
        <w:t xml:space="preserve">Cross-Asset Spillover Analysis: </w:t>
      </w:r>
      <w:r>
        <w:t xml:space="preserve">Existing regime detection focuses on single time series. Multi-asset regime identification that captures correlation structure changes remains underexplored.</w:t>
      </w:r>
    </w:p>
    <w:p>
      <w:pPr>
        <w:pStyle w:val="ListParagraph"/>
        <w:numPr>
          <w:ilvl w:val="0"/>
          <w:numId w:val="2"/>
        </w:numPr>
        <w:spacing w:after="360"/>
      </w:pPr>
      <w:r>
        <w:rPr>
          <w:b/>
          <w:bCs/>
        </w:rPr>
        <w:t xml:space="preserve">Explainable AI in Finance: </w:t>
      </w:r>
      <w:r>
        <w:t xml:space="preserve">Regulators increasingly scrutinize 'black box' trading algorithms. A regime-based framework provides interpretable structure where decisions can be explained as 'We're in Regime 3, where these factors historically drive returns.'</w:t>
      </w:r>
    </w:p>
    <w:p>
      <w:pPr>
        <w:pStyle w:val="Heading1"/>
      </w:pPr>
      <w:r>
        <w:t xml:space="preserve">3. Solution Overview</w:t>
      </w:r>
    </w:p>
    <w:p>
      <w:pPr>
        <w:pStyle w:val="Heading2"/>
      </w:pPr>
      <w:r>
        <w:t xml:space="preserve">3.1 System Architecture</w:t>
      </w:r>
    </w:p>
    <w:p>
      <w:pPr>
        <w:spacing w:after="240"/>
      </w:pPr>
      <w:r>
        <w:t xml:space="preserve">AMRCAIS employs a three-layer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620"/>
      </w:tblGrid>
      <w:tr>
        <w:tc>
          <w:tcPr>
            <w:tcW w:type="dxa" w:w="2340"/>
            <w:shd w:fill="1F4E78" w:val="clear"/>
            <w:tcMar>
              <w:top w:type="dxa" w:w="120"/>
              <w:left w:type="dxa" w:w="120"/>
              <w:bottom w:type="dxa" w:w="120"/>
              <w:right w:type="dxa" w:w="120"/>
            </w:tcMar>
          </w:tcPr>
          <w:p>
            <w:r>
              <w:rPr>
                <w:b/>
                <w:bCs/>
                <w:color w:val="FFFFFF"/>
              </w:rPr>
              <w:t xml:space="preserve">Layer</w:t>
            </w:r>
          </w:p>
        </w:tc>
        <w:tc>
          <w:tcPr>
            <w:tcW w:type="dxa" w:w="6620"/>
            <w:shd w:fill="1F4E78" w:val="clear"/>
            <w:tcMar>
              <w:top w:type="dxa" w:w="120"/>
              <w:left w:type="dxa" w:w="120"/>
              <w:bottom w:type="dxa" w:w="120"/>
              <w:right w:type="dxa" w:w="120"/>
            </w:tcMar>
          </w:tcPr>
          <w:p>
            <w:r>
              <w:rPr>
                <w:b/>
                <w:bCs/>
                <w:color w:val="FFFFFF"/>
              </w:rPr>
              <w:t xml:space="preserve">Description</w:t>
            </w:r>
          </w:p>
        </w:tc>
      </w:tr>
      <w:tr>
        <w:tc>
          <w:tcPr>
            <w:tcW w:type="dxa" w:w="2340"/>
            <w:shd w:fill="D5E8F0" w:val="clear"/>
            <w:tcMar>
              <w:top w:type="dxa" w:w="120"/>
              <w:left w:type="dxa" w:w="120"/>
              <w:bottom w:type="dxa" w:w="120"/>
              <w:right w:type="dxa" w:w="120"/>
            </w:tcMar>
          </w:tcPr>
          <w:p>
            <w:r>
              <w:rPr>
                <w:b/>
                <w:bCs/>
              </w:rPr>
              <w:t xml:space="preserve">Layer 1:</w:t>
            </w:r>
            <w:r>
              <w:t xml:space="preserve"> Market Regime Classification</w:t>
            </w:r>
          </w:p>
        </w:tc>
        <w:tc>
          <w:tcPr>
            <w:tcW w:type="dxa" w:w="6620"/>
            <w:shd w:fill="D5E8F0" w:val="clear"/>
            <w:tcMar>
              <w:top w:type="dxa" w:w="120"/>
              <w:left w:type="dxa" w:w="120"/>
              <w:bottom w:type="dxa" w:w="120"/>
              <w:right w:type="dxa" w:w="120"/>
            </w:tcMar>
          </w:tcPr>
          <w:p>
            <w:r>
              <w:t xml:space="preserve">Employs multiple classifiers (Hidden Markov Models, Random Forest, Correlation-Based Clustering) to identify current market regime. Outputs: (1) Primary regime classification, (2) Confidence score, (3) Regime disagreement index.</w:t>
            </w:r>
          </w:p>
        </w:tc>
      </w:tr>
      <w:tr>
        <w:tc>
          <w:tcPr>
            <w:tcW w:type="dxa" w:w="2340"/>
            <w:tcMar>
              <w:top w:type="dxa" w:w="120"/>
              <w:left w:type="dxa" w:w="120"/>
              <w:bottom w:type="dxa" w:w="120"/>
              <w:right w:type="dxa" w:w="120"/>
            </w:tcMar>
          </w:tcPr>
          <w:p>
            <w:r>
              <w:rPr>
                <w:b/>
                <w:bCs/>
              </w:rPr>
              <w:t xml:space="preserve">Layer 2:</w:t>
            </w:r>
            <w:r>
              <w:t xml:space="preserve"> Dynamic Signal Interpretation</w:t>
            </w:r>
          </w:p>
        </w:tc>
        <w:tc>
          <w:tcPr>
            <w:tcW w:type="dxa" w:w="6620"/>
            <w:tcMar>
              <w:top w:type="dxa" w:w="120"/>
              <w:left w:type="dxa" w:w="120"/>
              <w:bottom w:type="dxa" w:w="120"/>
              <w:right w:type="dxa" w:w="120"/>
            </w:tcMar>
          </w:tcPr>
          <w:p>
            <w:r>
              <w:t xml:space="preserve">Integrates five analytical modules whose parameters and thresholds adjust based on current regime: Macro Event Tracker, Yield Curve Analyzer, Options Surface Monitor, Factor Exposure Analyzer, Correlation Anomaly Detector.</w:t>
            </w:r>
          </w:p>
        </w:tc>
      </w:tr>
      <w:tr>
        <w:tc>
          <w:tcPr>
            <w:tcW w:type="dxa" w:w="2340"/>
            <w:shd w:fill="D5E8F0" w:val="clear"/>
            <w:tcMar>
              <w:top w:type="dxa" w:w="120"/>
              <w:left w:type="dxa" w:w="120"/>
              <w:bottom w:type="dxa" w:w="120"/>
              <w:right w:type="dxa" w:w="120"/>
            </w:tcMar>
          </w:tcPr>
          <w:p>
            <w:r>
              <w:rPr>
                <w:b/>
                <w:bCs/>
              </w:rPr>
              <w:t xml:space="preserve">Layer 3:</w:t>
            </w:r>
            <w:r>
              <w:t xml:space="preserve"> Meta-Learning &amp; Adaptation</w:t>
            </w:r>
          </w:p>
        </w:tc>
        <w:tc>
          <w:tcPr>
            <w:tcW w:type="dxa" w:w="6620"/>
            <w:shd w:fill="D5E8F0" w:val="clear"/>
            <w:tcMar>
              <w:top w:type="dxa" w:w="120"/>
              <w:left w:type="dxa" w:w="120"/>
              <w:bottom w:type="dxa" w:w="120"/>
              <w:right w:type="dxa" w:w="120"/>
            </w:tcMar>
          </w:tcPr>
          <w:p>
            <w:r>
              <w:t xml:space="preserve">Monitors system performance, tracks regime classification accuracy, identifies when models disagree (regime uncertainty), and triggers recalibration when prediction errors exceed thresholds.</w:t>
            </w:r>
          </w:p>
        </w:tc>
      </w:tr>
    </w:tbl>
    <w:p>
      <w:pPr>
        <w:spacing w:after="360"/>
      </w:pPr>
      <w:r>
        <w:t xml:space="preserve"/>
      </w:r>
    </w:p>
    <w:p>
      <w:pPr>
        <w:pStyle w:val="Heading2"/>
      </w:pPr>
      <w:r>
        <w:t xml:space="preserve">3.2 Core Market Regimes</w:t>
      </w:r>
    </w:p>
    <w:p>
      <w:pPr>
        <w:spacing w:after="240"/>
      </w:pPr>
      <w:r>
        <w:t xml:space="preserve">The system classifies markets into four primary regimes based on historical analysis (2010-2026):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2500"/>
        <w:gridCol w:w="2520"/>
      </w:tblGrid>
      <w:tr>
        <w:tc>
          <w:tcPr>
            <w:tcW w:type="dxa" w:w="2000"/>
            <w:shd w:fill="1F4E78" w:val="clear"/>
            <w:tcMar>
              <w:top w:type="dxa" w:w="100"/>
              <w:left w:type="dxa" w:w="100"/>
              <w:bottom w:type="dxa" w:w="100"/>
              <w:right w:type="dxa" w:w="100"/>
            </w:tcMar>
          </w:tcPr>
          <w:p>
            <w:r>
              <w:rPr>
                <w:b/>
                <w:bCs/>
                <w:color w:val="FFFFFF"/>
              </w:rPr>
              <w:t xml:space="preserve">Regime</w:t>
            </w:r>
          </w:p>
        </w:tc>
        <w:tc>
          <w:tcPr>
            <w:tcW w:type="dxa" w:w="2340"/>
            <w:shd w:fill="1F4E78" w:val="clear"/>
            <w:tcMar>
              <w:top w:type="dxa" w:w="100"/>
              <w:left w:type="dxa" w:w="100"/>
              <w:bottom w:type="dxa" w:w="100"/>
              <w:right w:type="dxa" w:w="100"/>
            </w:tcMar>
          </w:tcPr>
          <w:p>
            <w:r>
              <w:rPr>
                <w:b/>
                <w:bCs/>
                <w:color w:val="FFFFFF"/>
              </w:rPr>
              <w:t xml:space="preserve">Characteristics</w:t>
            </w:r>
          </w:p>
        </w:tc>
        <w:tc>
          <w:tcPr>
            <w:tcW w:type="dxa" w:w="2500"/>
            <w:shd w:fill="1F4E78" w:val="clear"/>
            <w:tcMar>
              <w:top w:type="dxa" w:w="100"/>
              <w:left w:type="dxa" w:w="100"/>
              <w:bottom w:type="dxa" w:w="100"/>
              <w:right w:type="dxa" w:w="100"/>
            </w:tcMar>
          </w:tcPr>
          <w:p>
            <w:r>
              <w:rPr>
                <w:b/>
                <w:bCs/>
                <w:color w:val="FFFFFF"/>
              </w:rPr>
              <w:t xml:space="preserve">Historical Examples</w:t>
            </w:r>
          </w:p>
        </w:tc>
        <w:tc>
          <w:tcPr>
            <w:tcW w:type="dxa" w:w="2520"/>
            <w:shd w:fill="1F4E78" w:val="clear"/>
            <w:tcMar>
              <w:top w:type="dxa" w:w="100"/>
              <w:left w:type="dxa" w:w="100"/>
              <w:bottom w:type="dxa" w:w="100"/>
              <w:right w:type="dxa" w:w="100"/>
            </w:tcMar>
          </w:tcPr>
          <w:p>
            <w:r>
              <w:rPr>
                <w:b/>
                <w:bCs/>
                <w:color w:val="FFFFFF"/>
              </w:rPr>
              <w:t xml:space="preserve">Signal Interpretation</w:t>
            </w:r>
          </w:p>
        </w:tc>
      </w:tr>
      <w:tr>
        <w:tc>
          <w:tcPr>
            <w:tcW w:type="dxa" w:w="2000"/>
            <w:shd w:fill="D5E8F0" w:val="clear"/>
            <w:tcMar>
              <w:top w:type="dxa" w:w="100"/>
              <w:left w:type="dxa" w:w="100"/>
              <w:bottom w:type="dxa" w:w="100"/>
              <w:right w:type="dxa" w:w="100"/>
            </w:tcMar>
          </w:tcPr>
          <w:p>
            <w:r>
              <w:rPr>
                <w:b/>
                <w:bCs/>
              </w:rPr>
              <w:t xml:space="preserve">Risk-On Growth</w:t>
            </w:r>
          </w:p>
        </w:tc>
        <w:tc>
          <w:tcPr>
            <w:tcW w:type="dxa" w:w="2340"/>
            <w:shd w:fill="D5E8F0" w:val="clear"/>
            <w:tcMar>
              <w:top w:type="dxa" w:w="100"/>
              <w:left w:type="dxa" w:w="100"/>
              <w:bottom w:type="dxa" w:w="100"/>
              <w:right w:type="dxa" w:w="100"/>
            </w:tcMar>
          </w:tcPr>
          <w:p>
            <w:r>
              <w:t xml:space="preserve">Equities up, bonds down, VIX low, positive correlations</w:t>
            </w:r>
          </w:p>
        </w:tc>
        <w:tc>
          <w:tcPr>
            <w:tcW w:type="dxa" w:w="2500"/>
            <w:shd w:fill="D5E8F0" w:val="clear"/>
            <w:tcMar>
              <w:top w:type="dxa" w:w="100"/>
              <w:left w:type="dxa" w:w="100"/>
              <w:bottom w:type="dxa" w:w="100"/>
              <w:right w:type="dxa" w:w="100"/>
            </w:tcMar>
          </w:tcPr>
          <w:p>
            <w:r>
              <w:t xml:space="preserve">2017-2019, 2023-2024</w:t>
            </w:r>
          </w:p>
        </w:tc>
        <w:tc>
          <w:tcPr>
            <w:tcW w:type="dxa" w:w="2520"/>
            <w:shd w:fill="D5E8F0" w:val="clear"/>
            <w:tcMar>
              <w:top w:type="dxa" w:w="100"/>
              <w:left w:type="dxa" w:w="100"/>
              <w:bottom w:type="dxa" w:w="100"/>
              <w:right w:type="dxa" w:w="100"/>
            </w:tcMar>
          </w:tcPr>
          <w:p>
            <w:r>
              <w:t xml:space="preserve">Strong NFP = bullish; curve steepening = bullish</w:t>
            </w:r>
          </w:p>
        </w:tc>
      </w:tr>
      <w:tr>
        <w:tc>
          <w:tcPr>
            <w:tcW w:type="dxa" w:w="2000"/>
            <w:tcMar>
              <w:top w:type="dxa" w:w="100"/>
              <w:left w:type="dxa" w:w="100"/>
              <w:bottom w:type="dxa" w:w="100"/>
              <w:right w:type="dxa" w:w="100"/>
            </w:tcMar>
          </w:tcPr>
          <w:p>
            <w:r>
              <w:rPr>
                <w:b/>
                <w:bCs/>
              </w:rPr>
              <w:t xml:space="preserve">Risk-Off Crisis</w:t>
            </w:r>
          </w:p>
        </w:tc>
        <w:tc>
          <w:tcPr>
            <w:tcW w:type="dxa" w:w="2340"/>
            <w:tcMar>
              <w:top w:type="dxa" w:w="100"/>
              <w:left w:type="dxa" w:w="100"/>
              <w:bottom w:type="dxa" w:w="100"/>
              <w:right w:type="dxa" w:w="100"/>
            </w:tcMar>
          </w:tcPr>
          <w:p>
            <w:r>
              <w:t xml:space="preserve">Everything sells, correlations spike to +1, VIX &gt;30</w:t>
            </w:r>
          </w:p>
        </w:tc>
        <w:tc>
          <w:tcPr>
            <w:tcW w:type="dxa" w:w="2500"/>
            <w:tcMar>
              <w:top w:type="dxa" w:w="100"/>
              <w:left w:type="dxa" w:w="100"/>
              <w:bottom w:type="dxa" w:w="100"/>
              <w:right w:type="dxa" w:w="100"/>
            </w:tcMar>
          </w:tcPr>
          <w:p>
            <w:r>
              <w:t xml:space="preserve">March 2020, Q4 2008</w:t>
            </w:r>
          </w:p>
        </w:tc>
        <w:tc>
          <w:tcPr>
            <w:tcW w:type="dxa" w:w="2520"/>
            <w:tcMar>
              <w:top w:type="dxa" w:w="100"/>
              <w:left w:type="dxa" w:w="100"/>
              <w:bottom w:type="dxa" w:w="100"/>
              <w:right w:type="dxa" w:w="100"/>
            </w:tcMar>
          </w:tcPr>
          <w:p>
            <w:r>
              <w:t xml:space="preserve">Traditional signals unreliable; focus on volatility regime</w:t>
            </w:r>
          </w:p>
        </w:tc>
      </w:tr>
      <w:tr>
        <w:tc>
          <w:tcPr>
            <w:tcW w:type="dxa" w:w="2000"/>
            <w:shd w:fill="D5E8F0" w:val="clear"/>
            <w:tcMar>
              <w:top w:type="dxa" w:w="100"/>
              <w:left w:type="dxa" w:w="100"/>
              <w:bottom w:type="dxa" w:w="100"/>
              <w:right w:type="dxa" w:w="100"/>
            </w:tcMar>
          </w:tcPr>
          <w:p>
            <w:r>
              <w:rPr>
                <w:b/>
                <w:bCs/>
              </w:rPr>
              <w:t xml:space="preserve">Stagflation</w:t>
            </w:r>
          </w:p>
        </w:tc>
        <w:tc>
          <w:tcPr>
            <w:tcW w:type="dxa" w:w="2340"/>
            <w:shd w:fill="D5E8F0" w:val="clear"/>
            <w:tcMar>
              <w:top w:type="dxa" w:w="100"/>
              <w:left w:type="dxa" w:w="100"/>
              <w:bottom w:type="dxa" w:w="100"/>
              <w:right w:type="dxa" w:w="100"/>
            </w:tcMar>
          </w:tcPr>
          <w:p>
            <w:r>
              <w:t xml:space="preserve">Commodities up, equities flat, rates rising</w:t>
            </w:r>
          </w:p>
        </w:tc>
        <w:tc>
          <w:tcPr>
            <w:tcW w:type="dxa" w:w="2500"/>
            <w:shd w:fill="D5E8F0" w:val="clear"/>
            <w:tcMar>
              <w:top w:type="dxa" w:w="100"/>
              <w:left w:type="dxa" w:w="100"/>
              <w:bottom w:type="dxa" w:w="100"/>
              <w:right w:type="dxa" w:w="100"/>
            </w:tcMar>
          </w:tcPr>
          <w:p>
            <w:r>
              <w:t xml:space="preserve">2022, 1970s</w:t>
            </w:r>
          </w:p>
        </w:tc>
        <w:tc>
          <w:tcPr>
            <w:tcW w:type="dxa" w:w="2520"/>
            <w:shd w:fill="D5E8F0" w:val="clear"/>
            <w:tcMar>
              <w:top w:type="dxa" w:w="100"/>
              <w:left w:type="dxa" w:w="100"/>
              <w:bottom w:type="dxa" w:w="100"/>
              <w:right w:type="dxa" w:w="100"/>
            </w:tcMar>
          </w:tcPr>
          <w:p>
            <w:r>
              <w:t xml:space="preserve">Strong CPI = bearish; curve steepening = bearish</w:t>
            </w:r>
          </w:p>
        </w:tc>
      </w:tr>
      <w:tr>
        <w:tc>
          <w:tcPr>
            <w:tcW w:type="dxa" w:w="2000"/>
            <w:tcMar>
              <w:top w:type="dxa" w:w="100"/>
              <w:left w:type="dxa" w:w="100"/>
              <w:bottom w:type="dxa" w:w="100"/>
              <w:right w:type="dxa" w:w="100"/>
            </w:tcMar>
          </w:tcPr>
          <w:p>
            <w:r>
              <w:rPr>
                <w:b/>
                <w:bCs/>
              </w:rPr>
              <w:t xml:space="preserve">Disinflationary Boom</w:t>
            </w:r>
          </w:p>
        </w:tc>
        <w:tc>
          <w:tcPr>
            <w:tcW w:type="dxa" w:w="2340"/>
            <w:tcMar>
              <w:top w:type="dxa" w:w="100"/>
              <w:left w:type="dxa" w:w="100"/>
              <w:bottom w:type="dxa" w:w="100"/>
              <w:right w:type="dxa" w:w="100"/>
            </w:tcMar>
          </w:tcPr>
          <w:p>
            <w:r>
              <w:t xml:space="preserve">Equities and bonds both up, falling rates</w:t>
            </w:r>
          </w:p>
        </w:tc>
        <w:tc>
          <w:tcPr>
            <w:tcW w:type="dxa" w:w="2500"/>
            <w:tcMar>
              <w:top w:type="dxa" w:w="100"/>
              <w:left w:type="dxa" w:w="100"/>
              <w:bottom w:type="dxa" w:w="100"/>
              <w:right w:type="dxa" w:w="100"/>
            </w:tcMar>
          </w:tcPr>
          <w:p>
            <w:r>
              <w:t xml:space="preserve">Late 2023, 2010-2014</w:t>
            </w:r>
          </w:p>
        </w:tc>
        <w:tc>
          <w:tcPr>
            <w:tcW w:type="dxa" w:w="2520"/>
            <w:tcMar>
              <w:top w:type="dxa" w:w="100"/>
              <w:left w:type="dxa" w:w="100"/>
              <w:bottom w:type="dxa" w:w="100"/>
              <w:right w:type="dxa" w:w="100"/>
            </w:tcMar>
          </w:tcPr>
          <w:p>
            <w:r>
              <w:t xml:space="preserve">Quality/growth factors outperform; rate cuts = bullish</w:t>
            </w:r>
          </w:p>
        </w:tc>
      </w:tr>
    </w:tbl>
    <w:p>
      <w:pPr>
        <w:spacing w:after="360"/>
      </w:pPr>
      <w:r>
        <w:t xml:space="preserve"/>
      </w:r>
    </w:p>
    <w:p>
      <w:pPr>
        <w:pStyle w:val="Heading1"/>
      </w:pPr>
      <w:r>
        <w:t xml:space="preserve">4. Features &amp; Functionality</w:t>
      </w:r>
    </w:p>
    <w:p>
      <w:pPr>
        <w:pStyle w:val="Heading2"/>
      </w:pPr>
      <w:r>
        <w:t xml:space="preserve">4.1 Module Integration Overview</w:t>
      </w:r>
    </w:p>
    <w:p>
      <w:pPr>
        <w:spacing w:after="240"/>
      </w:pPr>
      <w:r>
        <w:t xml:space="preserve">Each analytical module operates with regime-dependent parameters:</w:t>
      </w:r>
    </w:p>
    <w:p>
      <w:pPr>
        <w:pStyle w:val="Heading3"/>
      </w:pPr>
      <w:r>
        <w:t xml:space="preserve">Module 1: Macro Event Impact Tracker</w:t>
      </w:r>
    </w:p>
    <w:p>
      <w:pPr>
        <w:pStyle w:val="ListParagraph"/>
        <w:numPr>
          <w:ilvl w:val="0"/>
          <w:numId w:val="2"/>
        </w:numPr>
      </w:pPr>
      <w:r>
        <w:rPr>
          <w:b/>
          <w:bCs/>
        </w:rPr>
        <w:t xml:space="preserve">Functionality: </w:t>
      </w:r>
      <w:r>
        <w:t xml:space="preserve">Monitors scheduled economic releases (NFP, CPI, FOMC) and measures market reactions across equities, FX, rates, and volatility.</w:t>
      </w:r>
    </w:p>
    <w:p>
      <w:pPr>
        <w:pStyle w:val="ListParagraph"/>
        <w:numPr>
          <w:ilvl w:val="0"/>
          <w:numId w:val="2"/>
        </w:numPr>
      </w:pPr>
      <w:r>
        <w:rPr>
          <w:b/>
          <w:bCs/>
        </w:rPr>
        <w:t xml:space="preserve">Regime Adaptation: </w:t>
      </w:r>
      <w:r>
        <w:t xml:space="preserve">In Risk-On Growth, strong NFP triggers equity rallies. In Stagflation, strong NFP is bearish (signals tighter Fed policy). System automatically weights event impact by regime.</w:t>
      </w:r>
    </w:p>
    <w:p>
      <w:pPr>
        <w:pStyle w:val="ListParagraph"/>
        <w:numPr>
          <w:ilvl w:val="0"/>
          <w:numId w:val="2"/>
        </w:numPr>
        <w:spacing w:after="240"/>
      </w:pPr>
      <w:r>
        <w:rPr>
          <w:b/>
          <w:bCs/>
        </w:rPr>
        <w:t xml:space="preserve">Data Sources: </w:t>
      </w:r>
      <w:r>
        <w:t xml:space="preserve">FRED API (macro data), Alpha Vantage/Polygon.io (intraday price data)</w:t>
      </w:r>
    </w:p>
    <w:p>
      <w:pPr>
        <w:pStyle w:val="Heading3"/>
      </w:pPr>
      <w:r>
        <w:t xml:space="preserve">Module 2: Yield Curve Deformation Analyzer</w:t>
      </w:r>
    </w:p>
    <w:p>
      <w:pPr>
        <w:pStyle w:val="ListParagraph"/>
        <w:numPr>
          <w:ilvl w:val="0"/>
          <w:numId w:val="2"/>
        </w:numPr>
      </w:pPr>
      <w:r>
        <w:rPr>
          <w:b/>
          <w:bCs/>
        </w:rPr>
        <w:t xml:space="preserve">Functionality: </w:t>
      </w:r>
      <w:r>
        <w:t xml:space="preserve">Simulates parallel shifts, steepeners, flatteners, and butterfly trades. Calculates duration, DV01, and convexity for portfolios.</w:t>
      </w:r>
    </w:p>
    <w:p>
      <w:pPr>
        <w:pStyle w:val="ListParagraph"/>
        <w:numPr>
          <w:ilvl w:val="0"/>
          <w:numId w:val="2"/>
        </w:numPr>
      </w:pPr>
      <w:r>
        <w:rPr>
          <w:b/>
          <w:bCs/>
        </w:rPr>
        <w:t xml:space="preserve">Regime Adaptation: </w:t>
      </w:r>
      <w:r>
        <w:t xml:space="preserve">Steepening means different things in different regimes. In Risk-On Growth, it signals economic acceleration (bullish). In Stagflation, it signals inflation concerns (bearish).</w:t>
      </w:r>
    </w:p>
    <w:p>
      <w:pPr>
        <w:pStyle w:val="ListParagraph"/>
        <w:numPr>
          <w:ilvl w:val="0"/>
          <w:numId w:val="2"/>
        </w:numPr>
        <w:spacing w:after="240"/>
      </w:pPr>
      <w:r>
        <w:rPr>
          <w:b/>
          <w:bCs/>
        </w:rPr>
        <w:t xml:space="preserve">Data Sources: </w:t>
      </w:r>
      <w:r>
        <w:t xml:space="preserve">Treasury.gov, FRED API for daily yield curves</w:t>
      </w:r>
    </w:p>
    <w:p>
      <w:pPr>
        <w:pStyle w:val="Heading3"/>
      </w:pPr>
      <w:r>
        <w:t xml:space="preserve">Module 3: Options Surface Monitor</w:t>
      </w:r>
    </w:p>
    <w:p>
      <w:pPr>
        <w:pStyle w:val="ListParagraph"/>
        <w:numPr>
          <w:ilvl w:val="0"/>
          <w:numId w:val="2"/>
        </w:numPr>
      </w:pPr>
      <w:r>
        <w:rPr>
          <w:b/>
          <w:bCs/>
        </w:rPr>
        <w:t xml:space="preserve">Functionality: </w:t>
      </w:r>
      <w:r>
        <w:t xml:space="preserve">Cleans option chains, interpolates implied volatility, generates smooth volatility surfaces, detects arbitrage opportunities.</w:t>
      </w:r>
    </w:p>
    <w:p>
      <w:pPr>
        <w:pStyle w:val="ListParagraph"/>
        <w:numPr>
          <w:ilvl w:val="0"/>
          <w:numId w:val="2"/>
        </w:numPr>
      </w:pPr>
      <w:r>
        <w:rPr>
          <w:b/>
          <w:bCs/>
        </w:rPr>
        <w:t xml:space="preserve">Regime Adaptation: </w:t>
      </w:r>
      <w:r>
        <w:t xml:space="preserve">In Risk-Off Crisis, put skew steepens dramatically. System raises thresholds for 'normal' skew in this regime to avoid false alarms.</w:t>
      </w:r>
    </w:p>
    <w:p>
      <w:pPr>
        <w:pStyle w:val="ListParagraph"/>
        <w:numPr>
          <w:ilvl w:val="0"/>
          <w:numId w:val="2"/>
        </w:numPr>
        <w:spacing w:after="240"/>
      </w:pPr>
      <w:r>
        <w:rPr>
          <w:b/>
          <w:bCs/>
        </w:rPr>
        <w:t xml:space="preserve">Data Sources: </w:t>
      </w:r>
      <w:r>
        <w:t xml:space="preserve">yfinance, CBOE data</w:t>
      </w:r>
    </w:p>
    <w:p>
      <w:pPr>
        <w:pStyle w:val="Heading3"/>
      </w:pPr>
      <w:r>
        <w:t xml:space="preserve">Module 4: Factor Exposure Analyzer</w:t>
      </w:r>
    </w:p>
    <w:p>
      <w:pPr>
        <w:pStyle w:val="ListParagraph"/>
        <w:numPr>
          <w:ilvl w:val="0"/>
          <w:numId w:val="2"/>
        </w:numPr>
      </w:pPr>
      <w:r>
        <w:rPr>
          <w:b/>
          <w:bCs/>
        </w:rPr>
        <w:t xml:space="preserve">Functionality: </w:t>
      </w:r>
      <w:r>
        <w:t xml:space="preserve">Uses PCA and rolling regressions to estimate stock exposures to value, momentum, quality, and volatility factors.</w:t>
      </w:r>
    </w:p>
    <w:p>
      <w:pPr>
        <w:pStyle w:val="ListParagraph"/>
        <w:numPr>
          <w:ilvl w:val="0"/>
          <w:numId w:val="2"/>
        </w:numPr>
      </w:pPr>
      <w:r>
        <w:rPr>
          <w:b/>
          <w:bCs/>
        </w:rPr>
        <w:t xml:space="preserve">Regime Adaptation: </w:t>
      </w:r>
      <w:r>
        <w:t xml:space="preserve">Factor premia are regime-dependent. Value outperforms in late-cycle/stagflation. Growth outperforms in disinflationary boom. System rotates factor recommendations by regime.</w:t>
      </w:r>
    </w:p>
    <w:p>
      <w:pPr>
        <w:pStyle w:val="ListParagraph"/>
        <w:numPr>
          <w:ilvl w:val="0"/>
          <w:numId w:val="2"/>
        </w:numPr>
        <w:spacing w:after="240"/>
      </w:pPr>
      <w:r>
        <w:rPr>
          <w:b/>
          <w:bCs/>
        </w:rPr>
        <w:t xml:space="preserve">Data Sources: </w:t>
      </w:r>
      <w:r>
        <w:t xml:space="preserve">yfinance for returns, FRED for macro factor construction</w:t>
      </w:r>
    </w:p>
    <w:p>
      <w:pPr>
        <w:pStyle w:val="Heading3"/>
      </w:pPr>
      <w:r>
        <w:t xml:space="preserve">Module 5: Cross-Asset Correlation Anomaly Detector</w:t>
      </w:r>
    </w:p>
    <w:p>
      <w:pPr>
        <w:pStyle w:val="ListParagraph"/>
        <w:numPr>
          <w:ilvl w:val="0"/>
          <w:numId w:val="2"/>
        </w:numPr>
      </w:pPr>
      <w:r>
        <w:rPr>
          <w:b/>
          <w:bCs/>
        </w:rPr>
        <w:t xml:space="preserve">Functionality: </w:t>
      </w:r>
      <w:r>
        <w:t xml:space="preserve">Tracks rolling correlations across equities, bonds, gold, USD, oil, and VIX. Flags when correlations deviate from regime-specific baselines.</w:t>
      </w:r>
    </w:p>
    <w:p>
      <w:pPr>
        <w:pStyle w:val="ListParagraph"/>
        <w:numPr>
          <w:ilvl w:val="0"/>
          <w:numId w:val="2"/>
        </w:numPr>
      </w:pPr>
      <w:r>
        <w:rPr>
          <w:b/>
          <w:bCs/>
        </w:rPr>
        <w:t xml:space="preserve">Regime Adaptation: </w:t>
      </w:r>
      <w:r>
        <w:t xml:space="preserve">What's 'anomalous' depends on regime. In Risk-On Growth, negative equity-bond correlation is normal. If it turns positive, it signals regime shift to Risk-Off Crisis.</w:t>
      </w:r>
    </w:p>
    <w:p>
      <w:pPr>
        <w:pStyle w:val="ListParagraph"/>
        <w:numPr>
          <w:ilvl w:val="0"/>
          <w:numId w:val="2"/>
        </w:numPr>
        <w:spacing w:after="360"/>
      </w:pPr>
      <w:r>
        <w:rPr>
          <w:b/>
          <w:bCs/>
        </w:rPr>
        <w:t xml:space="preserve">Data Sources: </w:t>
      </w:r>
      <w:r>
        <w:t xml:space="preserve">yfinance, FRED, Quandl</w:t>
      </w:r>
    </w:p>
    <w:p>
      <w:pPr>
        <w:pStyle w:val="Heading2"/>
      </w:pPr>
      <w:r>
        <w:t xml:space="preserve">4.2 The Killer Feature: Regime Disagreement Alert</w:t>
      </w:r>
    </w:p>
    <w:p>
      <w:pPr>
        <w:spacing w:after="180"/>
      </w:pPr>
      <w:r>
        <w:rPr>
          <w:b/>
          <w:bCs/>
        </w:rPr>
        <w:t xml:space="preserve">Unique Value Proposition:</w:t>
      </w:r>
      <w:r>
        <w:t xml:space="preserve"> Most systems provide a single regime classification. AMRCAIS runs multiple classifiers simultaneously and monitors when they disagree.</w:t>
      </w:r>
    </w:p>
    <w:p>
      <w:pPr>
        <w:pStyle w:val="ListParagraph"/>
        <w:numPr>
          <w:ilvl w:val="0"/>
          <w:numId w:val="2"/>
        </w:numPr>
      </w:pPr>
      <w:r>
        <w:rPr>
          <w:b/>
          <w:bCs/>
        </w:rPr>
        <w:t xml:space="preserve">Hidden Markov Model: </w:t>
      </w:r>
      <w:r>
        <w:t xml:space="preserve">Statistical approach based on asset return distributions</w:t>
      </w:r>
    </w:p>
    <w:p>
      <w:pPr>
        <w:pStyle w:val="ListParagraph"/>
        <w:numPr>
          <w:ilvl w:val="0"/>
          <w:numId w:val="2"/>
        </w:numPr>
      </w:pPr>
      <w:r>
        <w:rPr>
          <w:b/>
          <w:bCs/>
        </w:rPr>
        <w:t xml:space="preserve">Random Forest Classifier: </w:t>
      </w:r>
      <w:r>
        <w:t xml:space="preserve">Machine learning trained on labeled historical regimes</w:t>
      </w:r>
    </w:p>
    <w:p>
      <w:pPr>
        <w:pStyle w:val="ListParagraph"/>
        <w:numPr>
          <w:ilvl w:val="0"/>
          <w:numId w:val="2"/>
        </w:numPr>
      </w:pPr>
      <w:r>
        <w:rPr>
          <w:b/>
          <w:bCs/>
        </w:rPr>
        <w:t xml:space="preserve">Correlation-Based Clustering: </w:t>
      </w:r>
      <w:r>
        <w:t xml:space="preserve">Identifies regimes by cross-asset correlation structure</w:t>
      </w:r>
    </w:p>
    <w:p>
      <w:pPr>
        <w:pStyle w:val="ListParagraph"/>
        <w:numPr>
          <w:ilvl w:val="0"/>
          <w:numId w:val="2"/>
        </w:numPr>
        <w:spacing w:after="180"/>
      </w:pPr>
      <w:r>
        <w:rPr>
          <w:b/>
          <w:bCs/>
        </w:rPr>
        <w:t xml:space="preserve">Volatility Regime Detector: </w:t>
      </w:r>
      <w:r>
        <w:t xml:space="preserve">Classifies based on VIX levels and realized volatility</w:t>
      </w:r>
    </w:p>
    <w:p>
      <w:pPr>
        <w:spacing w:after="360"/>
      </w:pPr>
      <w:r>
        <w:rPr>
          <w:b/>
          <w:bCs/>
        </w:rPr>
        <w:t xml:space="preserve">Actionable Insight:</w:t>
      </w:r>
      <w:r>
        <w:t xml:space="preserve"> When models agree, proceed with high confidence. When they disagree (Regime Disagreement Index &gt; 0.6), the system flags 'regime uncertainty' — historically a leading indicator of major market transitions. This transforms model uncertainty from a weakness into a tradeable signal.</w:t>
      </w:r>
    </w:p>
    <w:p>
      <w:pPr>
        <w:pStyle w:val="Heading1"/>
      </w:pPr>
      <w:r>
        <w:t xml:space="preserve">5. Technical Requirements</w:t>
      </w:r>
    </w:p>
    <w:p>
      <w:pPr>
        <w:pStyle w:val="Heading2"/>
      </w:pPr>
      <w: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F4E78" w:val="clear"/>
            <w:tcMar>
              <w:top w:type="dxa" w:w="120"/>
              <w:left w:type="dxa" w:w="120"/>
              <w:bottom w:type="dxa" w:w="120"/>
              <w:right w:type="dxa" w:w="120"/>
            </w:tcMar>
          </w:tcPr>
          <w:p>
            <w:r>
              <w:rPr>
                <w:b/>
                <w:bCs/>
                <w:color w:val="FFFFFF"/>
              </w:rPr>
              <w:t xml:space="preserve">Component</w:t>
            </w:r>
          </w:p>
        </w:tc>
        <w:tc>
          <w:tcPr>
            <w:tcW w:type="dxa" w:w="7020"/>
            <w:shd w:fill="1F4E78" w:val="clear"/>
            <w:tcMar>
              <w:top w:type="dxa" w:w="120"/>
              <w:left w:type="dxa" w:w="120"/>
              <w:bottom w:type="dxa" w:w="120"/>
              <w:right w:type="dxa" w:w="120"/>
            </w:tcMar>
          </w:tcPr>
          <w:p>
            <w:r>
              <w:rPr>
                <w:b/>
                <w:bCs/>
                <w:color w:val="FFFFFF"/>
              </w:rPr>
              <w:t xml:space="preserve">Technology</w:t>
            </w:r>
          </w:p>
        </w:tc>
      </w:tr>
      <w:tr>
        <w:tc>
          <w:tcPr>
            <w:tcW w:type="dxa" w:w="2340"/>
            <w:shd w:fill="D5E8F0" w:val="clear"/>
            <w:tcMar>
              <w:top w:type="dxa" w:w="120"/>
              <w:left w:type="dxa" w:w="120"/>
              <w:bottom w:type="dxa" w:w="120"/>
              <w:right w:type="dxa" w:w="120"/>
            </w:tcMar>
          </w:tcPr>
          <w:p>
            <w:r>
              <w:rPr>
                <w:b/>
                <w:bCs/>
              </w:rPr>
              <w:t xml:space="preserve">Programming Language</w:t>
            </w:r>
          </w:p>
        </w:tc>
        <w:tc>
          <w:tcPr>
            <w:tcW w:type="dxa" w:w="7020"/>
            <w:shd w:fill="D5E8F0" w:val="clear"/>
            <w:tcMar>
              <w:top w:type="dxa" w:w="120"/>
              <w:left w:type="dxa" w:w="120"/>
              <w:bottom w:type="dxa" w:w="120"/>
              <w:right w:type="dxa" w:w="120"/>
            </w:tcMar>
          </w:tcPr>
          <w:p>
            <w:r>
              <w:t xml:space="preserve">Python 3.10+</w:t>
            </w:r>
          </w:p>
        </w:tc>
      </w:tr>
      <w:tr>
        <w:tc>
          <w:tcPr>
            <w:tcW w:type="dxa" w:w="2340"/>
            <w:tcMar>
              <w:top w:type="dxa" w:w="120"/>
              <w:left w:type="dxa" w:w="120"/>
              <w:bottom w:type="dxa" w:w="120"/>
              <w:right w:type="dxa" w:w="120"/>
            </w:tcMar>
          </w:tcPr>
          <w:p>
            <w:r>
              <w:rPr>
                <w:b/>
                <w:bCs/>
              </w:rPr>
              <w:t xml:space="preserve">Data Analysis</w:t>
            </w:r>
          </w:p>
        </w:tc>
        <w:tc>
          <w:tcPr>
            <w:tcW w:type="dxa" w:w="7020"/>
            <w:tcMar>
              <w:top w:type="dxa" w:w="120"/>
              <w:left w:type="dxa" w:w="120"/>
              <w:bottom w:type="dxa" w:w="120"/>
              <w:right w:type="dxa" w:w="120"/>
            </w:tcMar>
          </w:tcPr>
          <w:p>
            <w:r>
              <w:t xml:space="preserve">pandas, numpy, scipy</w:t>
            </w:r>
          </w:p>
        </w:tc>
      </w:tr>
      <w:tr>
        <w:tc>
          <w:tcPr>
            <w:tcW w:type="dxa" w:w="2340"/>
            <w:shd w:fill="D5E8F0" w:val="clear"/>
            <w:tcMar>
              <w:top w:type="dxa" w:w="120"/>
              <w:left w:type="dxa" w:w="120"/>
              <w:bottom w:type="dxa" w:w="120"/>
              <w:right w:type="dxa" w:w="120"/>
            </w:tcMar>
          </w:tcPr>
          <w:p>
            <w:r>
              <w:rPr>
                <w:b/>
                <w:bCs/>
              </w:rPr>
              <w:t xml:space="preserve">Machine Learning</w:t>
            </w:r>
          </w:p>
        </w:tc>
        <w:tc>
          <w:tcPr>
            <w:tcW w:type="dxa" w:w="7020"/>
            <w:shd w:fill="D5E8F0" w:val="clear"/>
            <w:tcMar>
              <w:top w:type="dxa" w:w="120"/>
              <w:left w:type="dxa" w:w="120"/>
              <w:bottom w:type="dxa" w:w="120"/>
              <w:right w:type="dxa" w:w="120"/>
            </w:tcMar>
          </w:tcPr>
          <w:p>
            <w:r>
              <w:t xml:space="preserve">scikit-learn (HMM, Random Forest), statsmodels (regression)</w:t>
            </w:r>
          </w:p>
        </w:tc>
      </w:tr>
      <w:tr>
        <w:tc>
          <w:tcPr>
            <w:tcW w:type="dxa" w:w="2340"/>
            <w:tcMar>
              <w:top w:type="dxa" w:w="120"/>
              <w:left w:type="dxa" w:w="120"/>
              <w:bottom w:type="dxa" w:w="120"/>
              <w:right w:type="dxa" w:w="120"/>
            </w:tcMar>
          </w:tcPr>
          <w:p>
            <w:r>
              <w:rPr>
                <w:b/>
                <w:bCs/>
              </w:rPr>
              <w:t xml:space="preserve">Visualization</w:t>
            </w:r>
          </w:p>
        </w:tc>
        <w:tc>
          <w:tcPr>
            <w:tcW w:type="dxa" w:w="7020"/>
            <w:tcMar>
              <w:top w:type="dxa" w:w="120"/>
              <w:left w:type="dxa" w:w="120"/>
              <w:bottom w:type="dxa" w:w="120"/>
              <w:right w:type="dxa" w:w="120"/>
            </w:tcMar>
          </w:tcPr>
          <w:p>
            <w:r>
              <w:t xml:space="preserve">plotly (interactive charts), matplotlib, seaborn</w:t>
            </w:r>
          </w:p>
        </w:tc>
      </w:tr>
      <w:tr>
        <w:tc>
          <w:tcPr>
            <w:tcW w:type="dxa" w:w="2340"/>
            <w:shd w:fill="D5E8F0" w:val="clear"/>
            <w:tcMar>
              <w:top w:type="dxa" w:w="120"/>
              <w:left w:type="dxa" w:w="120"/>
              <w:bottom w:type="dxa" w:w="120"/>
              <w:right w:type="dxa" w:w="120"/>
            </w:tcMar>
          </w:tcPr>
          <w:p>
            <w:r>
              <w:rPr>
                <w:b/>
                <w:bCs/>
              </w:rPr>
              <w:t xml:space="preserve">Data Sources</w:t>
            </w:r>
          </w:p>
        </w:tc>
        <w:tc>
          <w:tcPr>
            <w:tcW w:type="dxa" w:w="7020"/>
            <w:shd w:fill="D5E8F0" w:val="clear"/>
            <w:tcMar>
              <w:top w:type="dxa" w:w="120"/>
              <w:left w:type="dxa" w:w="120"/>
              <w:bottom w:type="dxa" w:w="120"/>
              <w:right w:type="dxa" w:w="120"/>
            </w:tcMar>
          </w:tcPr>
          <w:p>
            <w:r>
              <w:t xml:space="preserve">FRED API (free), yfinance, Alpha Vantage, Polygon.io (freemium)</w:t>
            </w:r>
          </w:p>
        </w:tc>
      </w:tr>
      <w:tr>
        <w:tc>
          <w:tcPr>
            <w:tcW w:type="dxa" w:w="2340"/>
            <w:tcMar>
              <w:top w:type="dxa" w:w="120"/>
              <w:left w:type="dxa" w:w="120"/>
              <w:bottom w:type="dxa" w:w="120"/>
              <w:right w:type="dxa" w:w="120"/>
            </w:tcMar>
          </w:tcPr>
          <w:p>
            <w:r>
              <w:rPr>
                <w:b/>
                <w:bCs/>
              </w:rPr>
              <w:t xml:space="preserve">Database</w:t>
            </w:r>
          </w:p>
        </w:tc>
        <w:tc>
          <w:tcPr>
            <w:tcW w:type="dxa" w:w="7020"/>
            <w:tcMar>
              <w:top w:type="dxa" w:w="120"/>
              <w:left w:type="dxa" w:w="120"/>
              <w:bottom w:type="dxa" w:w="120"/>
              <w:right w:type="dxa" w:w="120"/>
            </w:tcMar>
          </w:tcPr>
          <w:p>
            <w:r>
              <w:t xml:space="preserve">SQLite (local development), PostgreSQL (production)</w:t>
            </w:r>
          </w:p>
        </w:tc>
      </w:tr>
      <w:tr>
        <w:tc>
          <w:tcPr>
            <w:tcW w:type="dxa" w:w="2340"/>
            <w:shd w:fill="D5E8F0" w:val="clear"/>
            <w:tcMar>
              <w:top w:type="dxa" w:w="120"/>
              <w:left w:type="dxa" w:w="120"/>
              <w:bottom w:type="dxa" w:w="120"/>
              <w:right w:type="dxa" w:w="120"/>
            </w:tcMar>
          </w:tcPr>
          <w:p>
            <w:r>
              <w:rPr>
                <w:b/>
                <w:bCs/>
              </w:rPr>
              <w:t xml:space="preserve">Web Interface (Optional)</w:t>
            </w:r>
          </w:p>
        </w:tc>
        <w:tc>
          <w:tcPr>
            <w:tcW w:type="dxa" w:w="7020"/>
            <w:shd w:fill="D5E8F0" w:val="clear"/>
            <w:tcMar>
              <w:top w:type="dxa" w:w="120"/>
              <w:left w:type="dxa" w:w="120"/>
              <w:bottom w:type="dxa" w:w="120"/>
              <w:right w:type="dxa" w:w="120"/>
            </w:tcMar>
          </w:tcPr>
          <w:p>
            <w:r>
              <w:t xml:space="preserve">Streamlit (rapid prototyping) or React + Flask API (production)</w:t>
            </w:r>
          </w:p>
        </w:tc>
      </w:tr>
    </w:tbl>
    <w:p>
      <w:pPr>
        <w:spacing w:after="360"/>
      </w:pPr>
      <w:r>
        <w:t xml:space="preserve"/>
      </w:r>
    </w:p>
    <w:p>
      <w:pPr>
        <w:pStyle w:val="Heading2"/>
      </w:pPr>
      <w:r>
        <w:t xml:space="preserve">5.2 Data Requirements</w:t>
      </w:r>
    </w:p>
    <w:p>
      <w:pPr>
        <w:pStyle w:val="ListParagraph"/>
        <w:numPr>
          <w:ilvl w:val="0"/>
          <w:numId w:val="2"/>
        </w:numPr>
      </w:pPr>
      <w:r>
        <w:rPr>
          <w:b/>
          <w:bCs/>
        </w:rPr>
        <w:t xml:space="preserve">Historical Coverage: </w:t>
      </w:r>
      <w:r>
        <w:t xml:space="preserve">Minimum 15 years (2010-present) to capture multiple regime transitions including 2020 COVID crisis, 2022 inflation shock, 2008 financial crisis (if extending back)</w:t>
      </w:r>
    </w:p>
    <w:p>
      <w:pPr>
        <w:pStyle w:val="ListParagraph"/>
        <w:numPr>
          <w:ilvl w:val="0"/>
          <w:numId w:val="2"/>
        </w:numPr>
      </w:pPr>
      <w:r>
        <w:rPr>
          <w:b/>
          <w:bCs/>
        </w:rPr>
        <w:t xml:space="preserve">Asset Classes Required: </w:t>
      </w:r>
      <w:r>
        <w:t xml:space="preserve">SPX (equities), TLT/IEF (bonds), GLD (gold), DXY (USD), WTI (oil), VIX (volatility)</w:t>
      </w:r>
    </w:p>
    <w:p>
      <w:pPr>
        <w:pStyle w:val="ListParagraph"/>
        <w:numPr>
          <w:ilvl w:val="0"/>
          <w:numId w:val="2"/>
        </w:numPr>
      </w:pPr>
      <w:r>
        <w:rPr>
          <w:b/>
          <w:bCs/>
        </w:rPr>
        <w:t xml:space="preserve">Frequency: </w:t>
      </w:r>
      <w:r>
        <w:t xml:space="preserve">Daily close prices for regime detection; intraday (1-minute) for event impact analysis</w:t>
      </w:r>
    </w:p>
    <w:p>
      <w:pPr>
        <w:pStyle w:val="ListParagraph"/>
        <w:numPr>
          <w:ilvl w:val="0"/>
          <w:numId w:val="2"/>
        </w:numPr>
        <w:spacing w:after="360"/>
      </w:pPr>
      <w:r>
        <w:rPr>
          <w:b/>
          <w:bCs/>
        </w:rPr>
        <w:t xml:space="preserve">Macro Data: </w:t>
      </w:r>
      <w:r>
        <w:t xml:space="preserve">NFP, CPI, Core PCE, FOMC meeting dates and decisions, PMI releases</w:t>
      </w:r>
    </w:p>
    <w:p>
      <w:pPr>
        <w:pStyle w:val="Heading2"/>
      </w:pPr>
      <w:r>
        <w:t xml:space="preserve">5.3 Performance Requirements</w:t>
      </w:r>
    </w:p>
    <w:p>
      <w:pPr>
        <w:pStyle w:val="ListParagraph"/>
        <w:numPr>
          <w:ilvl w:val="0"/>
          <w:numId w:val="2"/>
        </w:numPr>
      </w:pPr>
      <w:r>
        <w:rPr>
          <w:b/>
          <w:bCs/>
        </w:rPr>
        <w:t xml:space="preserve">Regime Classification Latency: </w:t>
      </w:r>
      <w:r>
        <w:t xml:space="preserve">&lt; 5 seconds for daily update (end-of-day data)</w:t>
      </w:r>
    </w:p>
    <w:p>
      <w:pPr>
        <w:pStyle w:val="ListParagraph"/>
        <w:numPr>
          <w:ilvl w:val="0"/>
          <w:numId w:val="2"/>
        </w:numPr>
      </w:pPr>
      <w:r>
        <w:rPr>
          <w:b/>
          <w:bCs/>
        </w:rPr>
        <w:t xml:space="preserve">Backtesting Speed: </w:t>
      </w:r>
      <w:r>
        <w:t xml:space="preserve">Analyze 15 years of data in &lt; 2 minutes on standard laptop (quad-core, 16GB RAM)</w:t>
      </w:r>
    </w:p>
    <w:p>
      <w:pPr>
        <w:pStyle w:val="ListParagraph"/>
        <w:numPr>
          <w:ilvl w:val="0"/>
          <w:numId w:val="2"/>
        </w:numPr>
        <w:spacing w:after="360"/>
      </w:pPr>
      <w:r>
        <w:rPr>
          <w:b/>
          <w:bCs/>
        </w:rPr>
        <w:t xml:space="preserve">Visualization Rendering: </w:t>
      </w:r>
      <w:r>
        <w:t xml:space="preserve">Interactive dashboards load in &lt; 3 seconds</w:t>
      </w:r>
    </w:p>
    <w:p>
      <w:pPr>
        <w:pStyle w:val="Heading1"/>
      </w:pPr>
      <w:r>
        <w:t xml:space="preserve">6. Implementation Roadmap</w:t>
      </w:r>
    </w:p>
    <w:p>
      <w:pPr>
        <w:pStyle w:val="Heading2"/>
      </w:pPr>
      <w:r>
        <w:t xml:space="preserve">6.1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shd w:fill="1F4E78" w:val="clear"/>
            <w:tcMar>
              <w:top w:type="dxa" w:w="100"/>
              <w:left w:type="dxa" w:w="100"/>
              <w:bottom w:type="dxa" w:w="100"/>
              <w:right w:type="dxa" w:w="100"/>
            </w:tcMar>
          </w:tcPr>
          <w:p>
            <w:r>
              <w:rPr>
                <w:b/>
                <w:bCs/>
                <w:color w:val="FFFFFF"/>
              </w:rPr>
              <w:t xml:space="preserve">Phase</w:t>
            </w:r>
          </w:p>
        </w:tc>
        <w:tc>
          <w:tcPr>
            <w:tcW w:type="dxa" w:w="1560"/>
            <w:shd w:fill="1F4E78" w:val="clear"/>
            <w:tcMar>
              <w:top w:type="dxa" w:w="100"/>
              <w:left w:type="dxa" w:w="100"/>
              <w:bottom w:type="dxa" w:w="100"/>
              <w:right w:type="dxa" w:w="100"/>
            </w:tcMar>
          </w:tcPr>
          <w:p>
            <w:r>
              <w:rPr>
                <w:b/>
                <w:bCs/>
                <w:color w:val="FFFFFF"/>
              </w:rPr>
              <w:t xml:space="preserve">Timeline</w:t>
            </w:r>
          </w:p>
        </w:tc>
        <w:tc>
          <w:tcPr>
            <w:tcW w:type="dxa" w:w="3120"/>
            <w:shd w:fill="1F4E78" w:val="clear"/>
            <w:tcMar>
              <w:top w:type="dxa" w:w="100"/>
              <w:left w:type="dxa" w:w="100"/>
              <w:bottom w:type="dxa" w:w="100"/>
              <w:right w:type="dxa" w:w="100"/>
            </w:tcMar>
          </w:tcPr>
          <w:p>
            <w:r>
              <w:rPr>
                <w:b/>
                <w:bCs/>
                <w:color w:val="FFFFFF"/>
              </w:rPr>
              <w:t xml:space="preserve">Deliverables</w:t>
            </w:r>
          </w:p>
        </w:tc>
        <w:tc>
          <w:tcPr>
            <w:tcW w:type="dxa" w:w="3120"/>
            <w:shd w:fill="1F4E78" w:val="clear"/>
            <w:tcMar>
              <w:top w:type="dxa" w:w="100"/>
              <w:left w:type="dxa" w:w="100"/>
              <w:bottom w:type="dxa" w:w="100"/>
              <w:right w:type="dxa" w:w="100"/>
            </w:tcMar>
          </w:tcPr>
          <w:p>
            <w:r>
              <w:rPr>
                <w:b/>
                <w:bCs/>
                <w:color w:val="FFFFFF"/>
              </w:rPr>
              <w:t xml:space="preserve">Success Criteria</w:t>
            </w:r>
          </w:p>
        </w:tc>
      </w:tr>
      <w:tr>
        <w:tc>
          <w:tcPr>
            <w:tcW w:type="dxa" w:w="1560"/>
            <w:shd w:fill="D5E8F0" w:val="clear"/>
            <w:tcMar>
              <w:top w:type="dxa" w:w="100"/>
              <w:left w:type="dxa" w:w="100"/>
              <w:bottom w:type="dxa" w:w="100"/>
              <w:right w:type="dxa" w:w="100"/>
            </w:tcMar>
          </w:tcPr>
          <w:p>
            <w:r>
              <w:rPr>
                <w:b/>
                <w:bCs/>
              </w:rPr>
              <w:t xml:space="preserve">Phase 1: Foundation</w:t>
            </w:r>
          </w:p>
        </w:tc>
        <w:tc>
          <w:tcPr>
            <w:tcW w:type="dxa" w:w="1560"/>
            <w:shd w:fill="D5E8F0" w:val="clear"/>
            <w:tcMar>
              <w:top w:type="dxa" w:w="100"/>
              <w:left w:type="dxa" w:w="100"/>
              <w:bottom w:type="dxa" w:w="100"/>
              <w:right w:type="dxa" w:w="100"/>
            </w:tcMar>
          </w:tcPr>
          <w:p>
            <w:r>
              <w:t xml:space="preserve">Weeks 1-3</w:t>
            </w:r>
          </w:p>
        </w:tc>
        <w:tc>
          <w:tcPr>
            <w:tcW w:type="dxa" w:w="3120"/>
            <w:shd w:fill="D5E8F0" w:val="clear"/>
            <w:tcMar>
              <w:top w:type="dxa" w:w="100"/>
              <w:left w:type="dxa" w:w="100"/>
              <w:bottom w:type="dxa" w:w="100"/>
              <w:right w:type="dxa" w:w="100"/>
            </w:tcMar>
          </w:tcPr>
          <w:p>
            <w:r>
              <w:t xml:space="preserve">Data pipeline, HMM implementation, regime validation against known periods</w:t>
            </w:r>
          </w:p>
        </w:tc>
        <w:tc>
          <w:tcPr>
            <w:tcW w:type="dxa" w:w="3120"/>
            <w:shd w:fill="D5E8F0" w:val="clear"/>
            <w:tcMar>
              <w:top w:type="dxa" w:w="100"/>
              <w:left w:type="dxa" w:w="100"/>
              <w:bottom w:type="dxa" w:w="100"/>
              <w:right w:type="dxa" w:w="100"/>
            </w:tcMar>
          </w:tcPr>
          <w:p>
            <w:r>
              <w:t xml:space="preserve">HMM correctly identifies 2008, 2020, 2022 regime shifts within 5 trading days</w:t>
            </w:r>
          </w:p>
        </w:tc>
      </w:tr>
      <w:tr>
        <w:tc>
          <w:tcPr>
            <w:tcW w:type="dxa" w:w="1560"/>
            <w:tcMar>
              <w:top w:type="dxa" w:w="100"/>
              <w:left w:type="dxa" w:w="100"/>
              <w:bottom w:type="dxa" w:w="100"/>
              <w:right w:type="dxa" w:w="100"/>
            </w:tcMar>
          </w:tcPr>
          <w:p>
            <w:r>
              <w:rPr>
                <w:b/>
                <w:bCs/>
              </w:rPr>
              <w:t xml:space="preserve">Phase 2: Module Integration</w:t>
            </w:r>
          </w:p>
        </w:tc>
        <w:tc>
          <w:tcPr>
            <w:tcW w:type="dxa" w:w="1560"/>
            <w:tcMar>
              <w:top w:type="dxa" w:w="100"/>
              <w:left w:type="dxa" w:w="100"/>
              <w:bottom w:type="dxa" w:w="100"/>
              <w:right w:type="dxa" w:w="100"/>
            </w:tcMar>
          </w:tcPr>
          <w:p>
            <w:r>
              <w:t xml:space="preserve">Weeks 4-7</w:t>
            </w:r>
          </w:p>
        </w:tc>
        <w:tc>
          <w:tcPr>
            <w:tcW w:type="dxa" w:w="3120"/>
            <w:tcMar>
              <w:top w:type="dxa" w:w="100"/>
              <w:left w:type="dxa" w:w="100"/>
              <w:bottom w:type="dxa" w:w="100"/>
              <w:right w:type="dxa" w:w="100"/>
            </w:tcMar>
          </w:tcPr>
          <w:p>
            <w:r>
              <w:t xml:space="preserve">Build all 5 analytical modules with regime-conditional parameters</w:t>
            </w:r>
          </w:p>
        </w:tc>
        <w:tc>
          <w:tcPr>
            <w:tcW w:type="dxa" w:w="3120"/>
            <w:tcMar>
              <w:top w:type="dxa" w:w="100"/>
              <w:left w:type="dxa" w:w="100"/>
              <w:bottom w:type="dxa" w:w="100"/>
              <w:right w:type="dxa" w:w="100"/>
            </w:tcMar>
          </w:tcPr>
          <w:p>
            <w:r>
              <w:t xml:space="preserve">Each module produces regime-specific outputs; demonstrate parameter adaptation</w:t>
            </w:r>
          </w:p>
        </w:tc>
      </w:tr>
      <w:tr>
        <w:tc>
          <w:tcPr>
            <w:tcW w:type="dxa" w:w="1560"/>
            <w:shd w:fill="D5E8F0" w:val="clear"/>
            <w:tcMar>
              <w:top w:type="dxa" w:w="100"/>
              <w:left w:type="dxa" w:w="100"/>
              <w:bottom w:type="dxa" w:w="100"/>
              <w:right w:type="dxa" w:w="100"/>
            </w:tcMar>
          </w:tcPr>
          <w:p>
            <w:r>
              <w:rPr>
                <w:b/>
                <w:bCs/>
              </w:rPr>
              <w:t xml:space="preserve">Phase 3: Meta-Learning</w:t>
            </w:r>
          </w:p>
        </w:tc>
        <w:tc>
          <w:tcPr>
            <w:tcW w:type="dxa" w:w="1560"/>
            <w:shd w:fill="D5E8F0" w:val="clear"/>
            <w:tcMar>
              <w:top w:type="dxa" w:w="100"/>
              <w:left w:type="dxa" w:w="100"/>
              <w:bottom w:type="dxa" w:w="100"/>
              <w:right w:type="dxa" w:w="100"/>
            </w:tcMar>
          </w:tcPr>
          <w:p>
            <w:r>
              <w:t xml:space="preserve">Weeks 8-10</w:t>
            </w:r>
          </w:p>
        </w:tc>
        <w:tc>
          <w:tcPr>
            <w:tcW w:type="dxa" w:w="3120"/>
            <w:shd w:fill="D5E8F0" w:val="clear"/>
            <w:tcMar>
              <w:top w:type="dxa" w:w="100"/>
              <w:left w:type="dxa" w:w="100"/>
              <w:bottom w:type="dxa" w:w="100"/>
              <w:right w:type="dxa" w:w="100"/>
            </w:tcMar>
          </w:tcPr>
          <w:p>
            <w:r>
              <w:t xml:space="preserve">Multi-classifier ensemble, regime disagreement index, accuracy tracking</w:t>
            </w:r>
          </w:p>
        </w:tc>
        <w:tc>
          <w:tcPr>
            <w:tcW w:type="dxa" w:w="3120"/>
            <w:shd w:fill="D5E8F0" w:val="clear"/>
            <w:tcMar>
              <w:top w:type="dxa" w:w="100"/>
              <w:left w:type="dxa" w:w="100"/>
              <w:bottom w:type="dxa" w:w="100"/>
              <w:right w:type="dxa" w:w="100"/>
            </w:tcMar>
          </w:tcPr>
          <w:p>
            <w:r>
              <w:t xml:space="preserve">Disagreement index spikes precede regime transitions by 1-4 weeks in backtest</w:t>
            </w:r>
          </w:p>
        </w:tc>
      </w:tr>
      <w:tr>
        <w:tc>
          <w:tcPr>
            <w:tcW w:type="dxa" w:w="1560"/>
            <w:tcMar>
              <w:top w:type="dxa" w:w="100"/>
              <w:left w:type="dxa" w:w="100"/>
              <w:bottom w:type="dxa" w:w="100"/>
              <w:right w:type="dxa" w:w="100"/>
            </w:tcMar>
          </w:tcPr>
          <w:p>
            <w:r>
              <w:rPr>
                <w:b/>
                <w:bCs/>
              </w:rPr>
              <w:t xml:space="preserve">Phase 4: Visualization</w:t>
            </w:r>
          </w:p>
        </w:tc>
        <w:tc>
          <w:tcPr>
            <w:tcW w:type="dxa" w:w="1560"/>
            <w:tcMar>
              <w:top w:type="dxa" w:w="100"/>
              <w:left w:type="dxa" w:w="100"/>
              <w:bottom w:type="dxa" w:w="100"/>
              <w:right w:type="dxa" w:w="100"/>
            </w:tcMar>
          </w:tcPr>
          <w:p>
            <w:r>
              <w:t xml:space="preserve">Weeks 11-12</w:t>
            </w:r>
          </w:p>
        </w:tc>
        <w:tc>
          <w:tcPr>
            <w:tcW w:type="dxa" w:w="3120"/>
            <w:tcMar>
              <w:top w:type="dxa" w:w="100"/>
              <w:left w:type="dxa" w:w="100"/>
              <w:bottom w:type="dxa" w:w="100"/>
              <w:right w:type="dxa" w:w="100"/>
            </w:tcMar>
          </w:tcPr>
          <w:p>
            <w:r>
              <w:t xml:space="preserve">Interactive dashboard, regime timeline, performance attribution</w:t>
            </w:r>
          </w:p>
        </w:tc>
        <w:tc>
          <w:tcPr>
            <w:tcW w:type="dxa" w:w="3120"/>
            <w:tcMar>
              <w:top w:type="dxa" w:w="100"/>
              <w:left w:type="dxa" w:w="100"/>
              <w:bottom w:type="dxa" w:w="100"/>
              <w:right w:type="dxa" w:w="100"/>
            </w:tcMar>
          </w:tcPr>
          <w:p>
            <w:r>
              <w:t xml:space="preserve">User can explore any historical date and see regime classification + module outputs</w:t>
            </w:r>
          </w:p>
        </w:tc>
      </w:tr>
    </w:tbl>
    <w:p>
      <w:pPr>
        <w:spacing w:after="360"/>
      </w:pPr>
      <w:r>
        <w:t xml:space="preserve"/>
      </w:r>
    </w:p>
    <w:p>
      <w:pPr>
        <w:pStyle w:val="Heading1"/>
      </w:pPr>
      <w:r>
        <w:t xml:space="preserve">7. Success Metrics &amp; Validation</w:t>
      </w:r>
    </w:p>
    <w:p>
      <w:pPr>
        <w:pStyle w:val="Heading2"/>
      </w:pPr>
      <w:r>
        <w:t xml:space="preserve">7.1 Quantitative Metrics</w:t>
      </w:r>
    </w:p>
    <w:p>
      <w:pPr>
        <w:pStyle w:val="ListParagraph"/>
        <w:numPr>
          <w:ilvl w:val="0"/>
          <w:numId w:val="2"/>
        </w:numPr>
      </w:pPr>
      <w:r>
        <w:rPr>
          <w:b/>
          <w:bCs/>
        </w:rPr>
        <w:t xml:space="preserve">Regime Classification Accuracy: </w:t>
      </w:r>
      <w:r>
        <w:t xml:space="preserve">≥ 80% agreement with manually labeled regimes (expert validation on 2010-2026)</w:t>
      </w:r>
    </w:p>
    <w:p>
      <w:pPr>
        <w:pStyle w:val="ListParagraph"/>
        <w:numPr>
          <w:ilvl w:val="0"/>
          <w:numId w:val="2"/>
        </w:numPr>
      </w:pPr>
      <w:r>
        <w:rPr>
          <w:b/>
          <w:bCs/>
        </w:rPr>
        <w:t xml:space="preserve">Regime Transition Detection: </w:t>
      </w:r>
      <w:r>
        <w:t xml:space="preserve">Disagreement Index &gt; 0.6 precedes major transitions (2020 crash, 2022 inflation spike) by 1-4 weeks in ≥ 70% of cases</w:t>
      </w:r>
    </w:p>
    <w:p>
      <w:pPr>
        <w:pStyle w:val="ListParagraph"/>
        <w:numPr>
          <w:ilvl w:val="0"/>
          <w:numId w:val="2"/>
        </w:numPr>
      </w:pPr>
      <w:r>
        <w:rPr>
          <w:b/>
          <w:bCs/>
        </w:rPr>
        <w:t xml:space="preserve">Signal Improvement: </w:t>
      </w:r>
      <w:r>
        <w:t xml:space="preserve">Regime-conditional signal interpretation produces ≥ 15% higher Sharpe ratio vs static models in backtest</w:t>
      </w:r>
    </w:p>
    <w:p>
      <w:pPr>
        <w:pStyle w:val="ListParagraph"/>
        <w:numPr>
          <w:ilvl w:val="0"/>
          <w:numId w:val="2"/>
        </w:numPr>
        <w:spacing w:after="360"/>
      </w:pPr>
      <w:r>
        <w:rPr>
          <w:b/>
          <w:bCs/>
        </w:rPr>
        <w:t xml:space="preserve">False Positive Rate: </w:t>
      </w:r>
      <w:r>
        <w:t xml:space="preserve">Regime uncertainty alerts (disagreement &gt; 0.6) occur in ≤ 20% of stable periods (low false alarm rate)</w:t>
      </w:r>
    </w:p>
    <w:p>
      <w:pPr>
        <w:pStyle w:val="Heading2"/>
      </w:pPr>
      <w:r>
        <w:t xml:space="preserve">7.2 Qualitative Validation</w:t>
      </w:r>
    </w:p>
    <w:p>
      <w:pPr>
        <w:pStyle w:val="ListParagraph"/>
        <w:numPr>
          <w:ilvl w:val="0"/>
          <w:numId w:val="2"/>
        </w:numPr>
      </w:pPr>
      <w:r>
        <w:rPr>
          <w:b/>
          <w:bCs/>
        </w:rPr>
        <w:t xml:space="preserve">Expert Review: </w:t>
      </w:r>
      <w:r>
        <w:t xml:space="preserve">Finance professionals (target: 5-10 reviewers with sell-side/buy-side experience) confirm regime classifications align with their market memory</w:t>
      </w:r>
    </w:p>
    <w:p>
      <w:pPr>
        <w:pStyle w:val="ListParagraph"/>
        <w:numPr>
          <w:ilvl w:val="0"/>
          <w:numId w:val="2"/>
        </w:numPr>
      </w:pPr>
      <w:r>
        <w:rPr>
          <w:b/>
          <w:bCs/>
        </w:rPr>
        <w:t xml:space="preserve">Interpretability: </w:t>
      </w:r>
      <w:r>
        <w:t xml:space="preserve">System explanations ('Signal X is bullish because we're in Regime 2') are understandable to non-technical users</w:t>
      </w:r>
    </w:p>
    <w:p>
      <w:pPr>
        <w:pStyle w:val="ListParagraph"/>
        <w:numPr>
          <w:ilvl w:val="0"/>
          <w:numId w:val="2"/>
        </w:numPr>
        <w:spacing w:after="360"/>
      </w:pPr>
      <w:r>
        <w:rPr>
          <w:b/>
          <w:bCs/>
        </w:rPr>
        <w:t xml:space="preserve">Recruiter Test: </w:t>
      </w:r>
      <w:r>
        <w:t xml:space="preserve">Present to 3+ finance recruiters/hiring managers and confirm it differentiates from typical student projects</w:t>
      </w:r>
    </w:p>
    <w:p>
      <w:pPr>
        <w:pStyle w:val="Heading1"/>
      </w:pPr>
      <w:r>
        <w:t xml:space="preserve">8.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shd w:fill="1F4E78" w:val="clear"/>
            <w:tcMar>
              <w:top w:type="dxa" w:w="100"/>
              <w:left w:type="dxa" w:w="100"/>
              <w:bottom w:type="dxa" w:w="100"/>
              <w:right w:type="dxa" w:w="100"/>
            </w:tcMar>
          </w:tcPr>
          <w:p>
            <w:r>
              <w:rPr>
                <w:b/>
                <w:bCs/>
                <w:color w:val="FFFFFF"/>
              </w:rPr>
              <w:t xml:space="preserve">Risk</w:t>
            </w:r>
          </w:p>
        </w:tc>
        <w:tc>
          <w:tcPr>
            <w:tcW w:type="dxa" w:w="3510"/>
            <w:shd w:fill="1F4E78" w:val="clear"/>
            <w:tcMar>
              <w:top w:type="dxa" w:w="100"/>
              <w:left w:type="dxa" w:w="100"/>
              <w:bottom w:type="dxa" w:w="100"/>
              <w:right w:type="dxa" w:w="100"/>
            </w:tcMar>
          </w:tcPr>
          <w:p>
            <w:r>
              <w:rPr>
                <w:b/>
                <w:bCs/>
                <w:color w:val="FFFFFF"/>
              </w:rPr>
              <w:t xml:space="preserve">Impact</w:t>
            </w:r>
          </w:p>
        </w:tc>
        <w:tc>
          <w:tcPr>
            <w:tcW w:type="dxa" w:w="3510"/>
            <w:shd w:fill="1F4E78" w:val="clear"/>
            <w:tcMar>
              <w:top w:type="dxa" w:w="100"/>
              <w:left w:type="dxa" w:w="100"/>
              <w:bottom w:type="dxa" w:w="100"/>
              <w:right w:type="dxa" w:w="100"/>
            </w:tcMar>
          </w:tcPr>
          <w:p>
            <w:r>
              <w:rPr>
                <w:b/>
                <w:bCs/>
                <w:color w:val="FFFFFF"/>
              </w:rPr>
              <w:t xml:space="preserve">Mitigation</w:t>
            </w:r>
          </w:p>
        </w:tc>
      </w:tr>
      <w:tr>
        <w:tc>
          <w:tcPr>
            <w:tcW w:type="dxa" w:w="2340"/>
            <w:shd w:fill="D5E8F0" w:val="clear"/>
            <w:tcMar>
              <w:top w:type="dxa" w:w="100"/>
              <w:left w:type="dxa" w:w="100"/>
              <w:bottom w:type="dxa" w:w="100"/>
              <w:right w:type="dxa" w:w="100"/>
            </w:tcMar>
          </w:tcPr>
          <w:p>
            <w:r>
              <w:rPr>
                <w:b/>
                <w:bCs/>
              </w:rPr>
              <w:t xml:space="preserve">Overfitting to Historical Regimes</w:t>
            </w:r>
          </w:p>
        </w:tc>
        <w:tc>
          <w:tcPr>
            <w:tcW w:type="dxa" w:w="3510"/>
            <w:shd w:fill="D5E8F0" w:val="clear"/>
            <w:tcMar>
              <w:top w:type="dxa" w:w="100"/>
              <w:left w:type="dxa" w:w="100"/>
              <w:bottom w:type="dxa" w:w="100"/>
              <w:right w:type="dxa" w:w="100"/>
            </w:tcMar>
          </w:tcPr>
          <w:p>
            <w:r>
              <w:t xml:space="preserve">Model assumes future behaves like 2010-2026; novel regimes (digital currency dominance, AI-driven markets) may not fit</w:t>
            </w:r>
          </w:p>
        </w:tc>
        <w:tc>
          <w:tcPr>
            <w:tcW w:type="dxa" w:w="3510"/>
            <w:shd w:fill="D5E8F0" w:val="clear"/>
            <w:tcMar>
              <w:top w:type="dxa" w:w="100"/>
              <w:left w:type="dxa" w:w="100"/>
              <w:bottom w:type="dxa" w:w="100"/>
              <w:right w:type="dxa" w:w="100"/>
            </w:tcMar>
          </w:tcPr>
          <w:p>
            <w:r>
              <w:t xml:space="preserve">Use walk-forward validation; monitor out-of-sample performance; flag when current data deviates significantly from training distribution</w:t>
            </w:r>
          </w:p>
        </w:tc>
      </w:tr>
      <w:tr>
        <w:tc>
          <w:tcPr>
            <w:tcW w:type="dxa" w:w="2340"/>
            <w:tcMar>
              <w:top w:type="dxa" w:w="100"/>
              <w:left w:type="dxa" w:w="100"/>
              <w:bottom w:type="dxa" w:w="100"/>
              <w:right w:type="dxa" w:w="100"/>
            </w:tcMar>
          </w:tcPr>
          <w:p>
            <w:r>
              <w:rPr>
                <w:b/>
                <w:bCs/>
              </w:rPr>
              <w:t xml:space="preserve">Data Quality Issues</w:t>
            </w:r>
          </w:p>
        </w:tc>
        <w:tc>
          <w:tcPr>
            <w:tcW w:type="dxa" w:w="3510"/>
            <w:tcMar>
              <w:top w:type="dxa" w:w="100"/>
              <w:left w:type="dxa" w:w="100"/>
              <w:bottom w:type="dxa" w:w="100"/>
              <w:right w:type="dxa" w:w="100"/>
            </w:tcMar>
          </w:tcPr>
          <w:p>
            <w:r>
              <w:t xml:space="preserve">Free APIs have gaps, errors, or corporate action adjustments that corrupt regime detection</w:t>
            </w:r>
          </w:p>
        </w:tc>
        <w:tc>
          <w:tcPr>
            <w:tcW w:type="dxa" w:w="3510"/>
            <w:tcMar>
              <w:top w:type="dxa" w:w="100"/>
              <w:left w:type="dxa" w:w="100"/>
              <w:bottom w:type="dxa" w:w="100"/>
              <w:right w:type="dxa" w:w="100"/>
            </w:tcMar>
          </w:tcPr>
          <w:p>
            <w:r>
              <w:t xml:space="preserve">Implement robust data validation (check for outliers, missing values); cross-reference multiple sources; log data quality metrics</w:t>
            </w:r>
          </w:p>
        </w:tc>
      </w:tr>
      <w:tr>
        <w:tc>
          <w:tcPr>
            <w:tcW w:type="dxa" w:w="2340"/>
            <w:shd w:fill="D5E8F0" w:val="clear"/>
            <w:tcMar>
              <w:top w:type="dxa" w:w="100"/>
              <w:left w:type="dxa" w:w="100"/>
              <w:bottom w:type="dxa" w:w="100"/>
              <w:right w:type="dxa" w:w="100"/>
            </w:tcMar>
          </w:tcPr>
          <w:p>
            <w:r>
              <w:rPr>
                <w:b/>
                <w:bCs/>
              </w:rPr>
              <w:t xml:space="preserve">Computational Complexity</w:t>
            </w:r>
          </w:p>
        </w:tc>
        <w:tc>
          <w:tcPr>
            <w:tcW w:type="dxa" w:w="3510"/>
            <w:shd w:fill="D5E8F0" w:val="clear"/>
            <w:tcMar>
              <w:top w:type="dxa" w:w="100"/>
              <w:left w:type="dxa" w:w="100"/>
              <w:bottom w:type="dxa" w:w="100"/>
              <w:right w:type="dxa" w:w="100"/>
            </w:tcMar>
          </w:tcPr>
          <w:p>
            <w:r>
              <w:t xml:space="preserve">Running 4+ classifiers plus 5 modules simultaneously is slow; may not scale to intraday updates</w:t>
            </w:r>
          </w:p>
        </w:tc>
        <w:tc>
          <w:tcPr>
            <w:tcW w:type="dxa" w:w="3510"/>
            <w:shd w:fill="D5E8F0" w:val="clear"/>
            <w:tcMar>
              <w:top w:type="dxa" w:w="100"/>
              <w:left w:type="dxa" w:w="100"/>
              <w:bottom w:type="dxa" w:w="100"/>
              <w:right w:type="dxa" w:w="100"/>
            </w:tcMar>
          </w:tcPr>
          <w:p>
            <w:r>
              <w:t xml:space="preserve">Optimize critical paths (vectorize operations, cache intermediate results); for demo, daily updates are sufficient</w:t>
            </w:r>
          </w:p>
        </w:tc>
      </w:tr>
      <w:tr>
        <w:tc>
          <w:tcPr>
            <w:tcW w:type="dxa" w:w="2340"/>
            <w:tcMar>
              <w:top w:type="dxa" w:w="100"/>
              <w:left w:type="dxa" w:w="100"/>
              <w:bottom w:type="dxa" w:w="100"/>
              <w:right w:type="dxa" w:w="100"/>
            </w:tcMar>
          </w:tcPr>
          <w:p>
            <w:r>
              <w:rPr>
                <w:b/>
                <w:bCs/>
              </w:rPr>
              <w:t xml:space="preserve">Scope Creep</w:t>
            </w:r>
          </w:p>
        </w:tc>
        <w:tc>
          <w:tcPr>
            <w:tcW w:type="dxa" w:w="3510"/>
            <w:tcMar>
              <w:top w:type="dxa" w:w="100"/>
              <w:left w:type="dxa" w:w="100"/>
              <w:bottom w:type="dxa" w:w="100"/>
              <w:right w:type="dxa" w:w="100"/>
            </w:tcMar>
          </w:tcPr>
          <w:p>
            <w:r>
              <w:t xml:space="preserve">Temptation to add more features (crypto, alternative data) delays core deliverable</w:t>
            </w:r>
          </w:p>
        </w:tc>
        <w:tc>
          <w:tcPr>
            <w:tcW w:type="dxa" w:w="3510"/>
            <w:tcMar>
              <w:top w:type="dxa" w:w="100"/>
              <w:left w:type="dxa" w:w="100"/>
              <w:bottom w:type="dxa" w:w="100"/>
              <w:right w:type="dxa" w:w="100"/>
            </w:tcMar>
          </w:tcPr>
          <w:p>
            <w:r>
              <w:t xml:space="preserve">Strict adherence to 12-week roadmap; extensions only after MVP is complete</w:t>
            </w:r>
          </w:p>
        </w:tc>
      </w:tr>
    </w:tbl>
    <w:p>
      <w:pPr>
        <w:spacing w:after="360"/>
      </w:pPr>
      <w:r>
        <w:t xml:space="preserve"/>
      </w:r>
    </w:p>
    <w:p>
      <w:pPr>
        <w:pStyle w:val="Heading1"/>
      </w:pPr>
      <w:r>
        <w:t xml:space="preserve">9. Future Enhancements (Post-MVP)</w:t>
      </w:r>
    </w:p>
    <w:p>
      <w:pPr>
        <w:pStyle w:val="Heading2"/>
      </w:pPr>
      <w:r>
        <w:t xml:space="preserve">9.1 Advanced Features</w:t>
      </w:r>
    </w:p>
    <w:p>
      <w:pPr>
        <w:pStyle w:val="ListParagraph"/>
        <w:numPr>
          <w:ilvl w:val="0"/>
          <w:numId w:val="2"/>
        </w:numPr>
      </w:pPr>
      <w:r>
        <w:rPr>
          <w:b/>
          <w:bCs/>
        </w:rPr>
        <w:t xml:space="preserve">Sentiment Integration: </w:t>
      </w:r>
      <w:r>
        <w:t xml:space="preserve">Add NLP analysis of Fed speeches, earnings calls, financial media to detect narrative shifts that precede regime changes</w:t>
      </w:r>
    </w:p>
    <w:p>
      <w:pPr>
        <w:pStyle w:val="ListParagraph"/>
        <w:numPr>
          <w:ilvl w:val="0"/>
          <w:numId w:val="2"/>
        </w:numPr>
      </w:pPr>
      <w:r>
        <w:rPr>
          <w:b/>
          <w:bCs/>
        </w:rPr>
        <w:t xml:space="preserve">Alternative Data: </w:t>
      </w:r>
      <w:r>
        <w:t xml:space="preserve">Incorporate credit spreads, repo rates, commercial paper spreads as early warning indicators for stress regimes</w:t>
      </w:r>
    </w:p>
    <w:p>
      <w:pPr>
        <w:pStyle w:val="ListParagraph"/>
        <w:numPr>
          <w:ilvl w:val="0"/>
          <w:numId w:val="2"/>
        </w:numPr>
      </w:pPr>
      <w:r>
        <w:rPr>
          <w:b/>
          <w:bCs/>
        </w:rPr>
        <w:t xml:space="preserve">Portfolio Optimization: </w:t>
      </w:r>
      <w:r>
        <w:t xml:space="preserve">Generate regime-conditional asset allocation recommendations (overweight equities in Regime 1, shift to bonds in Regime 4)</w:t>
      </w:r>
    </w:p>
    <w:p>
      <w:pPr>
        <w:pStyle w:val="ListParagraph"/>
        <w:numPr>
          <w:ilvl w:val="0"/>
          <w:numId w:val="2"/>
        </w:numPr>
        <w:spacing w:after="360"/>
      </w:pPr>
      <w:r>
        <w:rPr>
          <w:b/>
          <w:bCs/>
        </w:rPr>
        <w:t xml:space="preserve">Real-Time Alerts: </w:t>
      </w:r>
      <w:r>
        <w:t xml:space="preserve">Push notifications when regime disagreement exceeds threshold or major transition detected</w:t>
      </w:r>
    </w:p>
    <w:p>
      <w:pPr>
        <w:pStyle w:val="Heading2"/>
      </w:pPr>
      <w:r>
        <w:t xml:space="preserve">9.2 Research Extensions</w:t>
      </w:r>
    </w:p>
    <w:p>
      <w:pPr>
        <w:pStyle w:val="ListParagraph"/>
        <w:numPr>
          <w:ilvl w:val="0"/>
          <w:numId w:val="2"/>
        </w:numPr>
      </w:pPr>
      <w:r>
        <w:rPr>
          <w:b/>
          <w:bCs/>
        </w:rPr>
        <w:t xml:space="preserve">Academic Publication: </w:t>
      </w:r>
      <w:r>
        <w:t xml:space="preserve">Write research paper on 'Multi-Classifier Regime Disagreement as a Predictive Signal for Market Transitions'</w:t>
      </w:r>
    </w:p>
    <w:p>
      <w:pPr>
        <w:pStyle w:val="ListParagraph"/>
        <w:numPr>
          <w:ilvl w:val="0"/>
          <w:numId w:val="2"/>
        </w:numPr>
      </w:pPr>
      <w:r>
        <w:rPr>
          <w:b/>
          <w:bCs/>
        </w:rPr>
        <w:t xml:space="preserve">International Markets: </w:t>
      </w:r>
      <w:r>
        <w:t xml:space="preserve">Extend to European (STOXX 50, Bund), Asian (Nikkei, JGB) markets; analyze cross-regional regime synchronization</w:t>
      </w:r>
    </w:p>
    <w:p>
      <w:pPr>
        <w:pStyle w:val="ListParagraph"/>
        <w:numPr>
          <w:ilvl w:val="0"/>
          <w:numId w:val="2"/>
        </w:numPr>
        <w:spacing w:after="360"/>
      </w:pPr>
      <w:r>
        <w:rPr>
          <w:b/>
          <w:bCs/>
        </w:rPr>
        <w:t xml:space="preserve">Deep Learning: </w:t>
      </w:r>
      <w:r>
        <w:t xml:space="preserve">Experiment with LSTM/Transformer models for regime prediction; compare to HMM baseline</w:t>
      </w:r>
    </w:p>
    <w:p>
      <w:pPr>
        <w:pStyle w:val="Heading1"/>
      </w:pPr>
      <w:r>
        <w:t xml:space="preserve">10. Conclusion &amp; Strategic Value</w:t>
      </w:r>
    </w:p>
    <w:p>
      <w:pPr>
        <w:spacing w:after="240"/>
      </w:pPr>
      <w:r>
        <w:t xml:space="preserve">The Adaptive Multi-Regime Cross-Asset Intelligence System addresses a fundamental gap in financial market analysis: the inability of existing tools to recognize and adapt to changing market regimes. By integrating regime detection with dynamic signal interpretation and meta-learning, AMRCAIS transforms traditional analytical silos into a cohesive, context-aware framework.</w:t>
      </w:r>
    </w:p>
    <w:p>
      <w:pPr>
        <w:spacing w:after="120"/>
      </w:pPr>
      <w:r>
        <w:rPr>
          <w:b/>
          <w:bCs/>
        </w:rPr>
        <w:t xml:space="preserve">For a student or early-career professional, this project demonstrates:</w:t>
      </w:r>
    </w:p>
    <w:p>
      <w:pPr>
        <w:pStyle w:val="ListParagraph"/>
        <w:numPr>
          <w:ilvl w:val="0"/>
          <w:numId w:val="2"/>
        </w:numPr>
      </w:pPr>
      <w:r>
        <w:rPr>
          <w:b/>
          <w:bCs/>
        </w:rPr>
        <w:t xml:space="preserve">Technical Depth: </w:t>
      </w:r>
      <w:r>
        <w:t xml:space="preserve">Machine learning, statistical modeling, data engineering, software architecture</w:t>
      </w:r>
    </w:p>
    <w:p>
      <w:pPr>
        <w:pStyle w:val="ListParagraph"/>
        <w:numPr>
          <w:ilvl w:val="0"/>
          <w:numId w:val="2"/>
        </w:numPr>
      </w:pPr>
      <w:r>
        <w:rPr>
          <w:b/>
          <w:bCs/>
        </w:rPr>
        <w:t xml:space="preserve">Market Intuition: </w:t>
      </w:r>
      <w:r>
        <w:t xml:space="preserve">Understanding that signals are regime-dependent shows sophisticated cross-asset thinking</w:t>
      </w:r>
    </w:p>
    <w:p>
      <w:pPr>
        <w:pStyle w:val="ListParagraph"/>
        <w:numPr>
          <w:ilvl w:val="0"/>
          <w:numId w:val="2"/>
        </w:numPr>
      </w:pPr>
      <w:r>
        <w:rPr>
          <w:b/>
          <w:bCs/>
        </w:rPr>
        <w:t xml:space="preserve">Originality: </w:t>
      </w:r>
      <w:r>
        <w:t xml:space="preserve">The regime disagreement feature is a novel contribution not found in commercial platforms</w:t>
      </w:r>
    </w:p>
    <w:p>
      <w:pPr>
        <w:pStyle w:val="ListParagraph"/>
        <w:numPr>
          <w:ilvl w:val="0"/>
          <w:numId w:val="2"/>
        </w:numPr>
        <w:spacing w:after="240"/>
      </w:pPr>
      <w:r>
        <w:rPr>
          <w:b/>
          <w:bCs/>
        </w:rPr>
        <w:t xml:space="preserve">Practical Application: </w:t>
      </w:r>
      <w:r>
        <w:t xml:space="preserve">Directly relevant to macro desks, multi-asset funds, risk management teams</w:t>
      </w:r>
    </w:p>
    <w:p>
      <w:pPr>
        <w:spacing w:after="360"/>
      </w:pPr>
      <w:r>
        <w:t xml:space="preserve">This PRD provides a comprehensive blueprint for building a differentiated, research-backed financial analysis system that bridges academic rigor with practitioner needs. The 12-week implementation timeline is aggressive but achievable for a motivated developer with financial markets knowledge.</w:t>
      </w:r>
    </w:p>
    <w:p>
      <w:pPr>
        <w:pStyle w:val="Heading1"/>
      </w:pPr>
      <w:r>
        <w:t xml:space="preserve">Appendix A: Key References</w:t>
      </w:r>
    </w:p>
    <w:p>
      <w:pPr>
        <w:pStyle w:val="ListParagraph"/>
        <w:numPr>
          <w:ilvl w:val="0"/>
          <w:numId w:val="2"/>
        </w:numPr>
      </w:pPr>
      <w:r>
        <w:t xml:space="preserve">Hamilton, J. D. (1989). 'A New Approach to the Economic Analysis of Nonstationary Time Series and the Business Cycle.' Econometrica, 57(2), 357-384. [Foundational regime-switching model]</w:t>
      </w:r>
    </w:p>
    <w:p>
      <w:pPr>
        <w:pStyle w:val="ListParagraph"/>
        <w:numPr>
          <w:ilvl w:val="0"/>
          <w:numId w:val="2"/>
        </w:numPr>
      </w:pPr>
      <w:r>
        <w:t xml:space="preserve">Ang, A., &amp; Bekaert, G. (2002). 'Regime Switches in Interest Rates.' Journal of Business &amp; Economic Statistics, 20(2), 163-182. [Application to fixed income]</w:t>
      </w:r>
    </w:p>
    <w:p>
      <w:pPr>
        <w:pStyle w:val="ListParagraph"/>
        <w:numPr>
          <w:ilvl w:val="0"/>
          <w:numId w:val="2"/>
        </w:numPr>
      </w:pPr>
      <w:r>
        <w:t xml:space="preserve">Guidolin, M., &amp; Timmermann, A. (2007). 'Asset Allocation under Multivariate Regime Switching.' Journal of Economic Dynamics and Control, 31(11), 3503-3544. [Multi-asset regime detection]</w:t>
      </w:r>
    </w:p>
    <w:p>
      <w:pPr>
        <w:pStyle w:val="ListParagraph"/>
        <w:numPr>
          <w:ilvl w:val="0"/>
          <w:numId w:val="2"/>
        </w:numPr>
        <w:spacing w:after="360"/>
      </w:pPr>
      <w:r>
        <w:t xml:space="preserve">Recent research (2024-2026) on AI in financial markets, machine learning model risk, and correlation regime changes [See web search citations in main document]</w:t>
      </w:r>
    </w:p>
    <w:p>
      <w:pPr>
        <w:pStyle w:val="Heading1"/>
      </w:pPr>
      <w:r>
        <w:t xml:space="preserve">Appendix B: Contact &amp; Maintenance</w:t>
      </w:r>
    </w:p>
    <w:p>
      <w:pPr>
        <w:spacing w:after="120"/>
      </w:pPr>
      <w:r>
        <w:rPr>
          <w:b/>
          <w:bCs/>
        </w:rPr>
        <w:t xml:space="preserve">Document Owner: </w:t>
      </w:r>
      <w:r>
        <w:t xml:space="preserve">[Your Name]</w:t>
      </w:r>
    </w:p>
    <w:p>
      <w:pPr>
        <w:spacing w:after="120"/>
      </w:pPr>
      <w:r>
        <w:rPr>
          <w:b/>
          <w:bCs/>
        </w:rPr>
        <w:t xml:space="preserve">Last Updated: </w:t>
      </w:r>
      <w:r>
        <w:t xml:space="preserve">February 4, 2026</w:t>
      </w:r>
    </w:p>
    <w:p>
      <w:pPr>
        <w:spacing w:after="120"/>
      </w:pPr>
      <w:r>
        <w:rPr>
          <w:b/>
          <w:bCs/>
        </w:rPr>
        <w:t xml:space="preserve">Version History: </w:t>
      </w:r>
      <w:r>
        <w:t xml:space="preserve">v1.0 (Initial Release)</w:t>
      </w:r>
    </w:p>
    <w:p>
      <w:r>
        <w:rPr>
          <w:b/>
          <w:bCs/>
        </w:rPr>
        <w:t xml:space="preserve">Next Review Date: </w:t>
      </w:r>
      <w:r>
        <w:t xml:space="preserve">End of Phase 1 (Week 3) - validate regime detection accuracy and adjust roadmap if needed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28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40"/>
      <w:outlineLvl w:val="2"/>
    </w:pPr>
    <w:rPr>
      <w:rFonts w:ascii="Arial" w:cs="Arial" w:eastAsia="Arial" w:hAnsi="Arial"/>
      <w:b/>
      <w:bCs/>
      <w:color w:val="37609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2026-02-04T14:50:15.498Z</dcterms:created>
  <dcterms:modified xsi:type="dcterms:W3CDTF">2026-02-04T14:50:15.499Z</dcterms:modified>
</cp:coreProperties>
</file>

<file path=docProps/custom.xml><?xml version="1.0" encoding="utf-8"?>
<Properties xmlns="http://schemas.openxmlformats.org/officeDocument/2006/custom-properties" xmlns:vt="http://schemas.openxmlformats.org/officeDocument/2006/docPropsVTypes"/>
</file>