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移动服务模式研究_13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drawing>
          <wp:inline xmlns:a="http://schemas.openxmlformats.org/drawingml/2006/main" xmlns:pic="http://schemas.openxmlformats.org/drawingml/2006/picture">
            <wp:extent cx="5029200" cy="3911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移动服务模式研究_13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1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741807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移动服务模式研究_13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180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jc w:val="center"/>
      </w:pPr>
      <w:r>
        <w:drawing>
          <wp:inline xmlns:a="http://schemas.openxmlformats.org/drawingml/2006/main" xmlns:pic="http://schemas.openxmlformats.org/drawingml/2006/picture">
            <wp:extent cx="5029200" cy="38976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移动服务模式研究_13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97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2.1 新增评估维度：一次可完成性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评估标准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**一次可完成性**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能否在一次驻点内完成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是/否/部分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**所需时间**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完成需要多长时间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10分钟/30分钟/1小时/2小时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**见效方式**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效果何时显现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即时/短期/长期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**依赖关系**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是否需要后续跟进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不需要/需要/强依赖</w:t>
            </w:r>
          </w:p>
        </w:tc>
      </w:tr>
    </w:tbl>
    <w:p/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2.2 高优先级工作（重新评估后）</w:t>
      </w:r>
    </w:p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极高优先级（一次见效 + 价值高）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工作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一次可完成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所需时间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核心价值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**公示客户经理电话**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10分钟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服务前置，长期有效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**加入业主群/建立服务群**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20分钟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持续服务渠道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**重点客户走访**（频繁停电/敏感客户）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1-2小时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主动服务，压降投诉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**配电房检查**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发现隐患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**发电车接入点查勘**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应急保供知识库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高优先级（一次可完成 + 价值高）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工作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一次可完成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所需时间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核心价值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**表箱检查**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1小时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计量异常发现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**隐患发现上报**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视情况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安全管理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**需求收集**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业务拓展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**物业对接**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协同基础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**宣传推广**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服务知晓度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中优先级（一次可完成 + 价值中等）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工作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一次可完成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所需时间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核心价值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**接线图绘制/更新**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⚠️ 可能需要多次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1-2小时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知识库建设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**客户信息更新**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档案完善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**社区对接**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✅ 是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30分钟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协同基础</w:t>
            </w:r>
          </w:p>
        </w:tc>
      </w:tr>
    </w:tbl>
    <w:p/>
    <w:p>
      <w:pPr>
        <w:pStyle w:val="Heading4"/>
        <w:jc w:val="left"/>
      </w:pPr>
      <w:r>
        <w:rPr>
          <w:rFonts w:ascii="Microsoft YaHei" w:hAnsi="Microsoft YaHei" w:eastAsia="Microsoft YaHei"/>
          <w:b/>
          <w:sz w:val="22"/>
        </w:rPr>
        <w:t>低优先级（需要多次或价值较低）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工作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原因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**长期客户关系维护**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需要多次，不现实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**深度服务跟踪**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需要多次，不现实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**复杂设备检修**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专业性太强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**专业安全检查**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专业性太强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四、信息清单的使用方式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4.1 驻点前查询</w:t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10687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移动服务模式研究_1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68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4.2 清单与工作的对应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清单类型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指导的工作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使用时机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频繁停电清单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重点客户走访、设备检查重点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驻点前查询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敏感客户清单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服务策略调整、重点走访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驻点前查询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重要客户清单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走访安排、服务对接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驻点前查询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设备信息库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检查对照、知识积累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驻点前/中查询</w:t>
            </w:r>
          </w:p>
        </w:tc>
      </w:tr>
    </w:tbl>
    <w:p/>
    <w:p>
      <w:pPr>
        <w:pStyle w:val="Heading2"/>
        <w:jc w:val="left"/>
      </w:pPr>
      <w:r>
        <w:rPr>
          <w:rFonts w:ascii="Microsoft YaHei" w:hAnsi="Microsoft YaHei" w:eastAsia="Microsoft YaHei"/>
          <w:b/>
          <w:color w:val="1B365D"/>
          <w:sz w:val="28"/>
        </w:rPr>
        <w:t>六、核心原则总结</w:t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6.1 流动服务模式的核心原则</w:t>
      </w:r>
    </w:p>
    <w:p>
      <w:pPr>
        <w:spacing w:before="120" w:after="120"/>
        <w:ind w:left="432"/>
        <w:jc w:val="center"/>
      </w:pPr>
      <w:r>
        <w:drawing>
          <wp:inline xmlns:a="http://schemas.openxmlformats.org/drawingml/2006/main" xmlns:pic="http://schemas.openxmlformats.org/drawingml/2006/picture">
            <wp:extent cx="5029200" cy="223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移动服务模式研究_1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3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jc w:val="left"/>
      </w:pPr>
      <w:r>
        <w:rPr>
          <w:rFonts w:ascii="Microsoft YaHei" w:hAnsi="Microsoft YaHei" w:eastAsia="Microsoft YaHei"/>
          <w:b/>
          <w:color w:val="2E5A4C"/>
          <w:sz w:val="24"/>
        </w:rPr>
        <w:t>6.2 与之前认知的对比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维度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之前认知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0"/>
              </w:rPr>
              <w:t>更新后认知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工作目标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全面覆盖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精准聚焦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工作方式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长期积累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一次见效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驱动力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关系驱动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信息驱动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清单作用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系统性指导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抓住重点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数字化重点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长期记录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sz w:val="19"/>
              </w:rPr>
              <w:t>快速查询+一次录入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