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7"/>
        <w:gridCol w:w="4148"/>
      </w:tblGrid>
      <w:tr w14:paraId="58C12DBF">
        <w:tc>
          <w:tcPr>
            <w:tcW w:w="8295" w:type="dxa"/>
            <w:gridSpan w:val="2"/>
            <w:shd w:val="clear" w:color="auto" w:fill="FFD965" w:themeFill="accent4" w:themeFillTint="99"/>
          </w:tcPr>
          <w:p w14:paraId="3BDAECF4">
            <w:pPr>
              <w:spacing w:line="360" w:lineRule="auto"/>
              <w:jc w:val="center"/>
              <w:rPr>
                <w:rFonts w:ascii="SimSun" w:hAnsi="SimSun" w:eastAsia="SimSun"/>
                <w:b/>
                <w:sz w:val="24"/>
              </w:rPr>
            </w:pPr>
            <w:r>
              <w:rPr>
                <w:rFonts w:hint="eastAsia" w:ascii="SimSun" w:hAnsi="SimSun" w:eastAsia="SimSun"/>
                <w:b/>
                <w:sz w:val="24"/>
              </w:rPr>
              <w:t>个人信息</w:t>
            </w:r>
          </w:p>
        </w:tc>
      </w:tr>
      <w:tr w14:paraId="699D19D7">
        <w:tc>
          <w:tcPr>
            <w:tcW w:w="4147" w:type="dxa"/>
            <w:tcBorders>
              <w:bottom w:val="single" w:color="auto" w:sz="4" w:space="0"/>
            </w:tcBorders>
          </w:tcPr>
          <w:p w14:paraId="19549D36">
            <w:pPr>
              <w:spacing w:line="360" w:lineRule="auto"/>
              <w:rPr>
                <w:rFonts w:hint="default" w:ascii="SimSun" w:hAnsi="SimSun" w:eastAsia="SimSun"/>
                <w:b/>
                <w:sz w:val="24"/>
                <w:lang w:val="en-US" w:eastAsia="zh-CN"/>
              </w:rPr>
            </w:pPr>
            <w:r>
              <w:rPr>
                <w:rFonts w:hint="eastAsia" w:ascii="SimSun" w:hAnsi="SimSun" w:eastAsia="SimSun"/>
                <w:b/>
                <w:sz w:val="24"/>
              </w:rPr>
              <w:t>写作课班号：</w:t>
            </w:r>
            <w:r>
              <w:rPr>
                <w:rFonts w:hint="eastAsia" w:ascii="SimSun" w:hAnsi="SimSun" w:eastAsia="SimSun"/>
                <w:b/>
                <w:sz w:val="24"/>
                <w:lang w:val="en-US" w:eastAsia="zh-CN"/>
              </w:rPr>
              <w:t>44</w:t>
            </w:r>
          </w:p>
          <w:p w14:paraId="31CC0874">
            <w:pPr>
              <w:spacing w:line="360" w:lineRule="auto"/>
              <w:rPr>
                <w:rFonts w:ascii="SimSun" w:hAnsi="SimSun" w:eastAsia="SimSun"/>
                <w:b/>
                <w:sz w:val="24"/>
              </w:rPr>
            </w:pPr>
            <w:r>
              <w:rPr>
                <w:rFonts w:hint="eastAsia" w:ascii="楷体" w:hAnsi="楷体" w:eastAsia="楷体"/>
                <w:bCs/>
                <w:szCs w:val="21"/>
              </w:rPr>
              <w:t>（请在冒号后填写42、43、44、45、46五个数字之一，班号可以在网络学堂、或者微信群聊名称中找到）</w:t>
            </w:r>
          </w:p>
        </w:tc>
        <w:tc>
          <w:tcPr>
            <w:tcW w:w="4148" w:type="dxa"/>
            <w:tcBorders>
              <w:bottom w:val="single" w:color="auto" w:sz="4" w:space="0"/>
            </w:tcBorders>
          </w:tcPr>
          <w:p w14:paraId="683F90A6">
            <w:pPr>
              <w:spacing w:line="360" w:lineRule="auto"/>
              <w:rPr>
                <w:rFonts w:hint="eastAsia" w:ascii="SimSun" w:hAnsi="SimSun" w:eastAsia="SimSun"/>
                <w:b/>
                <w:sz w:val="24"/>
                <w:lang w:val="en-US" w:eastAsia="zh-CN"/>
              </w:rPr>
            </w:pPr>
            <w:r>
              <w:rPr>
                <w:rFonts w:hint="eastAsia" w:ascii="SimSun" w:hAnsi="SimSun" w:eastAsia="SimSun"/>
                <w:b/>
                <w:sz w:val="24"/>
              </w:rPr>
              <w:t>姓名：</w:t>
            </w:r>
            <w:r>
              <w:rPr>
                <w:rFonts w:hint="eastAsia" w:ascii="SimSun" w:hAnsi="SimSun" w:eastAsia="SimSun"/>
                <w:b/>
                <w:sz w:val="24"/>
                <w:lang w:val="en-US" w:eastAsia="zh-CN"/>
              </w:rPr>
              <w:t>楼诗雨</w:t>
            </w:r>
          </w:p>
        </w:tc>
      </w:tr>
      <w:tr w14:paraId="7678C424">
        <w:tc>
          <w:tcPr>
            <w:tcW w:w="8295" w:type="dxa"/>
            <w:gridSpan w:val="2"/>
            <w:tcBorders>
              <w:top w:val="single" w:color="auto" w:sz="4" w:space="0"/>
              <w:left w:val="nil"/>
              <w:bottom w:val="single" w:color="auto" w:sz="4" w:space="0"/>
              <w:right w:val="nil"/>
            </w:tcBorders>
          </w:tcPr>
          <w:p w14:paraId="5EA837FD">
            <w:pPr>
              <w:spacing w:line="360" w:lineRule="auto"/>
              <w:rPr>
                <w:rFonts w:ascii="SimSun" w:hAnsi="SimSun" w:eastAsia="SimSun"/>
                <w:b/>
                <w:color w:val="808080" w:themeColor="background1" w:themeShade="80"/>
                <w:sz w:val="24"/>
              </w:rPr>
            </w:pPr>
          </w:p>
        </w:tc>
      </w:tr>
      <w:tr w14:paraId="7C964491">
        <w:tc>
          <w:tcPr>
            <w:tcW w:w="8295" w:type="dxa"/>
            <w:gridSpan w:val="2"/>
            <w:tcBorders>
              <w:top w:val="single" w:color="auto" w:sz="4" w:space="0"/>
            </w:tcBorders>
            <w:shd w:val="clear" w:color="auto" w:fill="FFD965" w:themeFill="accent4" w:themeFillTint="99"/>
          </w:tcPr>
          <w:p w14:paraId="1E9CB346">
            <w:pPr>
              <w:spacing w:line="360" w:lineRule="auto"/>
              <w:jc w:val="center"/>
              <w:rPr>
                <w:rFonts w:ascii="SimSun" w:hAnsi="SimSun" w:eastAsia="SimSun"/>
                <w:b/>
                <w:sz w:val="24"/>
              </w:rPr>
            </w:pPr>
            <w:r>
              <w:rPr>
                <w:rFonts w:hint="eastAsia" w:ascii="SimSun" w:hAnsi="SimSun" w:eastAsia="SimSun"/>
                <w:b/>
                <w:sz w:val="24"/>
              </w:rPr>
              <w:t>作业内容</w:t>
            </w:r>
          </w:p>
        </w:tc>
      </w:tr>
      <w:tr w14:paraId="056CDCB3">
        <w:tc>
          <w:tcPr>
            <w:tcW w:w="8295" w:type="dxa"/>
            <w:gridSpan w:val="2"/>
          </w:tcPr>
          <w:p w14:paraId="5125BF36">
            <w:pPr>
              <w:spacing w:line="360" w:lineRule="auto"/>
              <w:rPr>
                <w:rFonts w:ascii="SimSun" w:hAnsi="SimSun" w:eastAsia="SimSun"/>
                <w:b/>
                <w:sz w:val="24"/>
              </w:rPr>
            </w:pPr>
            <w:r>
              <w:rPr>
                <w:rFonts w:hint="eastAsia" w:ascii="SimSun" w:hAnsi="SimSun" w:eastAsia="SimSun"/>
                <w:b/>
                <w:sz w:val="24"/>
              </w:rPr>
              <w:t>1</w:t>
            </w:r>
            <w:r>
              <w:rPr>
                <w:rFonts w:ascii="SimSun" w:hAnsi="SimSun" w:eastAsia="SimSun"/>
                <w:b/>
                <w:sz w:val="24"/>
              </w:rPr>
              <w:t>.</w:t>
            </w:r>
            <w:r>
              <w:rPr>
                <w:rFonts w:hint="eastAsia" w:ascii="SimSun" w:hAnsi="SimSun" w:eastAsia="SimSun"/>
                <w:b/>
                <w:sz w:val="24"/>
              </w:rPr>
              <w:t xml:space="preserve"> 请参照本讲的内容和上周作业中的《文献综述样例》，试着为你的最新选题写文献综述（7</w:t>
            </w:r>
            <w:r>
              <w:rPr>
                <w:rFonts w:ascii="SimSun" w:hAnsi="SimSun" w:eastAsia="SimSun"/>
                <w:b/>
                <w:sz w:val="24"/>
              </w:rPr>
              <w:t>00</w:t>
            </w:r>
            <w:r>
              <w:rPr>
                <w:rFonts w:hint="eastAsia" w:ascii="SimSun" w:hAnsi="SimSun" w:eastAsia="SimSun"/>
                <w:b/>
                <w:sz w:val="24"/>
              </w:rPr>
              <w:t>字左右，写在表格结束后）。写综述的目的主要是帮助你在查找、阅读资料的过程中重新思考和调整选题，所以阅读和写作请勿用AI代劳，文献中看不懂的部分可以请AI帮忙解释，英文文献的翻译可以使用AI。</w:t>
            </w:r>
          </w:p>
          <w:p w14:paraId="789EF6BE">
            <w:pPr>
              <w:spacing w:line="360" w:lineRule="auto"/>
              <w:rPr>
                <w:rFonts w:ascii="SimSun" w:hAnsi="SimSun" w:eastAsia="SimSun"/>
                <w:b/>
                <w:sz w:val="24"/>
              </w:rPr>
            </w:pPr>
            <w:r>
              <w:rPr>
                <w:rFonts w:hint="eastAsia" w:ascii="SimSun" w:hAnsi="SimSun" w:eastAsia="SimSun"/>
                <w:b/>
                <w:color w:val="C00000"/>
                <w:sz w:val="24"/>
              </w:rPr>
              <w:t>请在文献综述中使用“脚注”标出引用的文献，方法为：找到word左上角的“引用”→插入脚注→直接复制或打字抄写文献的信息</w:t>
            </w:r>
          </w:p>
        </w:tc>
      </w:tr>
      <w:tr w14:paraId="6C8871BF">
        <w:tc>
          <w:tcPr>
            <w:tcW w:w="8295" w:type="dxa"/>
            <w:gridSpan w:val="2"/>
          </w:tcPr>
          <w:p w14:paraId="1B2A8E89">
            <w:pPr>
              <w:spacing w:line="360" w:lineRule="auto"/>
              <w:rPr>
                <w:rFonts w:ascii="SimSun" w:hAnsi="SimSun" w:eastAsia="SimSun"/>
                <w:b/>
                <w:sz w:val="24"/>
              </w:rPr>
            </w:pPr>
            <w:r>
              <w:rPr>
                <w:rFonts w:hint="eastAsia" w:ascii="SimSun" w:hAnsi="SimSun" w:eastAsia="SimSun"/>
                <w:b/>
                <w:sz w:val="24"/>
              </w:rPr>
              <w:t>2</w:t>
            </w:r>
            <w:r>
              <w:rPr>
                <w:rFonts w:ascii="SimSun" w:hAnsi="SimSun" w:eastAsia="SimSun"/>
                <w:b/>
                <w:sz w:val="24"/>
              </w:rPr>
              <w:t>.</w:t>
            </w:r>
            <w:r>
              <w:rPr>
                <w:rFonts w:hint="eastAsia" w:ascii="SimSun" w:hAnsi="SimSun" w:eastAsia="SimSun"/>
                <w:b/>
                <w:sz w:val="24"/>
              </w:rPr>
              <w:t xml:space="preserve"> 查找资料并将资料总结为文献综述后，我对自己最新选题的概述是：</w:t>
            </w:r>
          </w:p>
          <w:p w14:paraId="4AAADB35">
            <w:pPr>
              <w:pStyle w:val="13"/>
              <w:numPr>
                <w:ilvl w:val="0"/>
                <w:numId w:val="1"/>
              </w:numPr>
              <w:spacing w:line="360" w:lineRule="auto"/>
              <w:ind w:firstLineChars="0"/>
              <w:rPr>
                <w:rFonts w:ascii="SimSun" w:hAnsi="SimSun" w:eastAsia="SimSun"/>
                <w:bCs/>
                <w:sz w:val="24"/>
              </w:rPr>
            </w:pPr>
            <w:r>
              <w:rPr>
                <w:rFonts w:ascii="SimSun" w:hAnsi="SimSun" w:eastAsia="SimSun"/>
                <w:bCs/>
                <w:sz w:val="24"/>
              </w:rPr>
              <w:t>我的研究对象是</w:t>
            </w:r>
            <w:r>
              <w:rPr>
                <w:rFonts w:hint="eastAsia" w:ascii="SimSun" w:hAnsi="SimSun" w:eastAsia="SimSun"/>
                <w:bCs/>
                <w:sz w:val="24"/>
              </w:rPr>
              <w:t>：</w:t>
            </w:r>
            <w:r>
              <w:rPr>
                <w:rFonts w:hint="eastAsia" w:ascii="SimSun" w:hAnsi="SimSun" w:eastAsia="SimSun"/>
                <w:bCs/>
                <w:sz w:val="24"/>
                <w:lang w:eastAsia="zh-CN"/>
              </w:rPr>
              <w:t>《</w:t>
            </w:r>
            <w:r>
              <w:rPr>
                <w:rFonts w:hint="eastAsia" w:ascii="SimSun" w:hAnsi="SimSun" w:eastAsia="SimSun"/>
                <w:bCs/>
                <w:sz w:val="24"/>
                <w:lang w:val="en-US" w:eastAsia="zh-CN"/>
              </w:rPr>
              <w:t>葬送的芙莉莲》</w:t>
            </w:r>
          </w:p>
          <w:p w14:paraId="66FED2D8">
            <w:pPr>
              <w:pStyle w:val="13"/>
              <w:numPr>
                <w:ilvl w:val="0"/>
                <w:numId w:val="1"/>
              </w:numPr>
              <w:spacing w:line="360" w:lineRule="auto"/>
              <w:ind w:firstLineChars="0"/>
              <w:rPr>
                <w:rFonts w:ascii="SimSun" w:hAnsi="SimSun" w:eastAsia="SimSun"/>
                <w:bCs/>
                <w:sz w:val="24"/>
              </w:rPr>
            </w:pPr>
            <w:r>
              <w:rPr>
                <w:rFonts w:ascii="SimSun" w:hAnsi="SimSun" w:eastAsia="SimSun"/>
                <w:bCs/>
                <w:sz w:val="24"/>
              </w:rPr>
              <w:t>我的研究问题是</w:t>
            </w:r>
            <w:r>
              <w:rPr>
                <w:rFonts w:hint="eastAsia" w:ascii="SimSun" w:hAnsi="SimSun" w:eastAsia="SimSun"/>
                <w:bCs/>
                <w:sz w:val="24"/>
              </w:rPr>
              <w:t>：日本动漫中长生者与短寿者之间的关系结构如何产生浪漫意义</w:t>
            </w:r>
            <w:r>
              <w:rPr>
                <w:rFonts w:hint="eastAsia" w:ascii="SimSun" w:hAnsi="SimSun" w:eastAsia="SimSun"/>
                <w:bCs/>
                <w:sz w:val="24"/>
                <w:lang w:eastAsia="zh-CN"/>
              </w:rPr>
              <w:t>？</w:t>
            </w:r>
          </w:p>
          <w:p w14:paraId="1CDEB8AF">
            <w:pPr>
              <w:pStyle w:val="13"/>
              <w:numPr>
                <w:ilvl w:val="0"/>
                <w:numId w:val="1"/>
              </w:numPr>
              <w:spacing w:line="360" w:lineRule="auto"/>
              <w:ind w:firstLineChars="0"/>
              <w:rPr>
                <w:rFonts w:ascii="SimSun" w:hAnsi="SimSun" w:eastAsia="SimSun"/>
                <w:bCs/>
                <w:sz w:val="24"/>
              </w:rPr>
            </w:pPr>
            <w:r>
              <w:rPr>
                <w:rFonts w:ascii="SimSun" w:hAnsi="SimSun" w:eastAsia="SimSun"/>
                <w:bCs/>
                <w:sz w:val="24"/>
              </w:rPr>
              <w:t>学界一般认为</w:t>
            </w:r>
            <w:r>
              <w:rPr>
                <w:rFonts w:hint="eastAsia" w:ascii="SimSun" w:hAnsi="SimSun" w:eastAsia="SimSun"/>
                <w:bCs/>
                <w:sz w:val="24"/>
              </w:rPr>
              <w:t>：</w:t>
            </w:r>
            <w:r>
              <w:rPr>
                <w:rFonts w:hint="eastAsia" w:ascii="SimSun" w:hAnsi="SimSun" w:eastAsia="SimSun" w:cs="Arial (正文 CS 字体)"/>
                <w:sz w:val="24"/>
                <w:lang w:val="en-US" w:eastAsia="zh-CN"/>
              </w:rPr>
              <w:t>跨种族</w:t>
            </w:r>
            <w:r>
              <w:rPr>
                <w:rFonts w:hint="default" w:ascii="SimSun" w:hAnsi="SimSun" w:eastAsia="SimSun" w:cs="Arial (正文 CS 字体)"/>
                <w:sz w:val="24"/>
              </w:rPr>
              <w:t>爱情</w:t>
            </w:r>
            <w:r>
              <w:rPr>
                <w:rFonts w:hint="eastAsia" w:ascii="SimSun" w:hAnsi="SimSun" w:eastAsia="SimSun" w:cs="Arial (正文 CS 字体)"/>
                <w:sz w:val="24"/>
                <w:lang w:val="en-US" w:eastAsia="zh-CN"/>
              </w:rPr>
              <w:t>悲剧</w:t>
            </w:r>
            <w:r>
              <w:rPr>
                <w:rFonts w:hint="default" w:ascii="SimSun" w:hAnsi="SimSun" w:eastAsia="SimSun" w:cs="Arial (正文 CS 字体)"/>
                <w:sz w:val="24"/>
              </w:rPr>
              <w:t>叙事</w:t>
            </w:r>
            <w:r>
              <w:rPr>
                <w:rFonts w:hint="eastAsia" w:ascii="SimSun" w:hAnsi="SimSun" w:eastAsia="SimSun"/>
                <w:bCs/>
                <w:sz w:val="24"/>
              </w:rPr>
              <w:t>产生浪漫意义</w:t>
            </w:r>
            <w:r>
              <w:rPr>
                <w:rFonts w:hint="eastAsia" w:ascii="SimSun" w:hAnsi="SimSun" w:eastAsia="SimSun"/>
                <w:bCs/>
                <w:sz w:val="24"/>
                <w:lang w:val="en-US" w:eastAsia="zh-CN"/>
              </w:rPr>
              <w:t>的路径主要为强调永生与跨物种的绝对隔离与营造</w:t>
            </w:r>
            <w:r>
              <w:rPr>
                <w:rFonts w:hint="eastAsia" w:ascii="SimSun" w:hAnsi="SimSun" w:eastAsia="SimSun"/>
                <w:bCs/>
                <w:sz w:val="24"/>
              </w:rPr>
              <w:t>“物哀”美学的氛围</w:t>
            </w:r>
            <w:r>
              <w:rPr>
                <w:rFonts w:hint="eastAsia" w:ascii="SimSun" w:hAnsi="SimSun" w:eastAsia="SimSun"/>
                <w:bCs/>
                <w:sz w:val="24"/>
                <w:lang w:val="en-US" w:eastAsia="zh-CN"/>
              </w:rPr>
              <w:t>。</w:t>
            </w:r>
          </w:p>
          <w:p w14:paraId="09ADD31B">
            <w:pPr>
              <w:pStyle w:val="13"/>
              <w:numPr>
                <w:ilvl w:val="0"/>
                <w:numId w:val="1"/>
              </w:numPr>
              <w:spacing w:line="360" w:lineRule="auto"/>
              <w:ind w:firstLineChars="0"/>
              <w:rPr>
                <w:rFonts w:ascii="SimSun" w:hAnsi="SimSun" w:eastAsia="SimSun"/>
                <w:bCs/>
                <w:sz w:val="24"/>
              </w:rPr>
            </w:pPr>
            <w:r>
              <w:rPr>
                <w:rFonts w:ascii="SimSun" w:hAnsi="SimSun" w:eastAsia="SimSun"/>
                <w:bCs/>
                <w:sz w:val="24"/>
              </w:rPr>
              <w:t>而我认为</w:t>
            </w:r>
            <w:r>
              <w:rPr>
                <w:rFonts w:hint="eastAsia" w:ascii="SimSun" w:hAnsi="SimSun" w:eastAsia="SimSun"/>
                <w:bCs/>
                <w:sz w:val="24"/>
              </w:rPr>
              <w:t>：《芙莉莲》通过"相似第三者"的反复出现，使芙莉莲不断重新解码辛美尔留下的延迟信号，从而在漫长时间维度上持续生产而非一次性完成浪漫意义——这与学界强调的"物哀美学"和"绝对隔离"路径有本质区别，后者都预设浪漫意义在别离瞬间</w:t>
            </w:r>
            <w:bookmarkStart w:id="0" w:name="_GoBack"/>
            <w:bookmarkEnd w:id="0"/>
            <w:r>
              <w:rPr>
                <w:rFonts w:hint="eastAsia" w:ascii="SimSun" w:hAnsi="SimSun" w:eastAsia="SimSun"/>
                <w:bCs/>
                <w:sz w:val="24"/>
              </w:rPr>
              <w:t>完成，而《芙莉莲》的机制是浪漫意义的持续生产而非瞬间爆发</w:t>
            </w:r>
            <w:r>
              <w:rPr>
                <w:rFonts w:hint="eastAsia" w:ascii="SimSun" w:hAnsi="SimSun" w:eastAsia="SimSun"/>
                <w:bCs/>
                <w:sz w:val="24"/>
                <w:lang w:val="en-US" w:eastAsia="zh-CN"/>
              </w:rPr>
              <w:t>。</w:t>
            </w:r>
          </w:p>
        </w:tc>
      </w:tr>
    </w:tbl>
    <w:p w14:paraId="6E0D2443">
      <w:pPr>
        <w:spacing w:line="360" w:lineRule="auto"/>
        <w:rPr>
          <w:rFonts w:ascii="SimSun" w:hAnsi="SimSun" w:eastAsia="SimSun"/>
          <w:bCs/>
          <w:sz w:val="24"/>
        </w:rPr>
      </w:pPr>
    </w:p>
    <w:p w14:paraId="4C641B05">
      <w:pPr>
        <w:spacing w:line="360" w:lineRule="auto"/>
        <w:rPr>
          <w:rFonts w:ascii="SimSun" w:hAnsi="SimSun" w:eastAsia="SimSun"/>
          <w:b/>
          <w:sz w:val="24"/>
        </w:rPr>
      </w:pPr>
      <w:r>
        <w:rPr>
          <w:rFonts w:hint="eastAsia" w:ascii="SimSun" w:hAnsi="SimSun" w:eastAsia="SimSun"/>
          <w:b/>
          <w:sz w:val="24"/>
        </w:rPr>
        <w:t>以下是文献综述内容：</w:t>
      </w:r>
    </w:p>
    <w:p w14:paraId="4F112227">
      <w:pPr>
        <w:pStyle w:val="13"/>
        <w:spacing w:line="360" w:lineRule="auto"/>
        <w:ind w:left="357" w:firstLine="480"/>
        <w:rPr>
          <w:rFonts w:hint="default" w:ascii="SimSun" w:hAnsi="SimSun" w:eastAsia="SimSun" w:cs="Arial (正文 CS 字体)"/>
          <w:sz w:val="24"/>
        </w:rPr>
      </w:pPr>
      <w:r>
        <w:rPr>
          <w:rFonts w:hint="default" w:ascii="SimSun" w:hAnsi="SimSun" w:eastAsia="SimSun" w:cs="Arial (正文 CS 字体)"/>
          <w:sz w:val="24"/>
        </w:rPr>
        <w:t>一、寿命论与永生假设</w:t>
      </w:r>
    </w:p>
    <w:p w14:paraId="5EFA1E42">
      <w:pPr>
        <w:pStyle w:val="13"/>
        <w:spacing w:line="360" w:lineRule="auto"/>
        <w:ind w:left="357" w:firstLine="480"/>
        <w:rPr>
          <w:rFonts w:hint="default" w:ascii="SimSun" w:hAnsi="SimSun" w:eastAsia="SimSun" w:cs="Arial (正文 CS 字体)"/>
          <w:sz w:val="24"/>
        </w:rPr>
      </w:pPr>
      <w:r>
        <w:rPr>
          <w:rFonts w:hint="default" w:ascii="SimSun" w:hAnsi="SimSun" w:eastAsia="SimSun" w:cs="Arial (正文 CS 字体)"/>
          <w:sz w:val="24"/>
        </w:rPr>
        <w:t>在日本动漫中，“寿命论”通常指长生种（如精灵）与人类因生存时差而产生的必然悲剧。Laura Nuffer指出，异类婚姻长期以来是日本文学和民间传说的核心主题，通过对日本文学《权头》等的分析，揭示“被禁止的窥视”对异类婚姻的摧毁性影响</w:t>
      </w:r>
      <w:r>
        <w:rPr>
          <w:rStyle w:val="5"/>
          <w:rFonts w:hint="default" w:ascii="SimSun" w:hAnsi="SimSun" w:eastAsia="SimSun" w:cs="Arial (正文 CS 字体)"/>
          <w:sz w:val="24"/>
        </w:rPr>
        <w:footnoteReference w:id="0"/>
      </w:r>
      <w:r>
        <w:rPr>
          <w:rFonts w:hint="default" w:ascii="SimSun" w:hAnsi="SimSun" w:eastAsia="SimSun" w:cs="Arial (正文 CS 字体)"/>
          <w:sz w:val="24"/>
        </w:rPr>
        <w:t>。然而，寿命论的剧情张力来源于永生与短寿的必然悲剧，而非不同族类的“禁忌”问题。</w:t>
      </w:r>
    </w:p>
    <w:p w14:paraId="0AEECAC0">
      <w:pPr>
        <w:pStyle w:val="13"/>
        <w:spacing w:line="360" w:lineRule="auto"/>
        <w:ind w:left="357" w:firstLine="480"/>
        <w:rPr>
          <w:rFonts w:hint="default" w:ascii="SimSun" w:hAnsi="SimSun" w:eastAsia="SimSun" w:cs="Arial (正文 CS 字体)"/>
          <w:sz w:val="24"/>
        </w:rPr>
      </w:pPr>
      <w:r>
        <w:rPr>
          <w:rFonts w:hint="default" w:ascii="SimSun" w:hAnsi="SimSun" w:eastAsia="SimSun" w:cs="Arial (正文 CS 字体)"/>
          <w:sz w:val="24"/>
        </w:rPr>
        <w:t>在关于永生的研究中，Williams在《马克若普洛斯事件：对永生之百无聊赖的反思》中提出，永生会导致不可避免的无聊</w:t>
      </w:r>
      <w:r>
        <w:rPr>
          <w:rStyle w:val="5"/>
          <w:rFonts w:hint="default" w:ascii="SimSun" w:hAnsi="SimSun" w:eastAsia="SimSun" w:cs="Arial (正文 CS 字体)"/>
          <w:sz w:val="24"/>
        </w:rPr>
        <w:footnoteReference w:id="1"/>
      </w:r>
      <w:r>
        <w:rPr>
          <w:rFonts w:hint="default" w:ascii="SimSun" w:hAnsi="SimSun" w:eastAsia="SimSun" w:cs="Arial (正文 CS 字体)"/>
          <w:sz w:val="24"/>
        </w:rPr>
        <w:t>；而以John Martin Fischer和Wisnewski为代表的学者主张永生的前景并非如威廉姆斯所描绘的那样黯淡，一种包含丰富、可变、可重复的愉悦与体验的永生，对于像我们这样的生物来说，并非本质上是糟糕或无意义的</w:t>
      </w:r>
      <w:r>
        <w:rPr>
          <w:rStyle w:val="5"/>
          <w:rFonts w:hint="default" w:ascii="SimSun" w:hAnsi="SimSun" w:eastAsia="SimSun" w:cs="Arial (正文 CS 字体)"/>
          <w:sz w:val="24"/>
        </w:rPr>
        <w:footnoteReference w:id="2"/>
      </w:r>
      <w:r>
        <w:rPr>
          <w:rStyle w:val="5"/>
          <w:rFonts w:hint="default" w:ascii="SimSun" w:hAnsi="SimSun" w:eastAsia="SimSun" w:cs="Arial (正文 CS 字体)"/>
          <w:sz w:val="24"/>
        </w:rPr>
        <w:footnoteReference w:id="3"/>
      </w:r>
      <w:r>
        <w:rPr>
          <w:rFonts w:hint="default" w:ascii="SimSun" w:hAnsi="SimSun" w:eastAsia="SimSun" w:cs="Arial (正文 CS 字体)"/>
          <w:sz w:val="24"/>
        </w:rPr>
        <w:t>。而“寿命论”在永生假设的多样性中选择了以爱情等羁绊为主线，使得对永生者的研究具有独特价值。</w:t>
      </w:r>
    </w:p>
    <w:p w14:paraId="7B83B911">
      <w:pPr>
        <w:pStyle w:val="13"/>
        <w:spacing w:line="360" w:lineRule="auto"/>
        <w:ind w:left="357" w:firstLine="480"/>
        <w:rPr>
          <w:rFonts w:hint="default" w:ascii="SimSun" w:hAnsi="SimSun" w:eastAsia="SimSun" w:cs="Arial (正文 CS 字体)"/>
          <w:sz w:val="24"/>
        </w:rPr>
      </w:pPr>
    </w:p>
    <w:p w14:paraId="59220546">
      <w:pPr>
        <w:pStyle w:val="13"/>
        <w:spacing w:line="360" w:lineRule="auto"/>
        <w:ind w:left="357" w:firstLine="480"/>
        <w:rPr>
          <w:rFonts w:hint="default" w:ascii="SimSun" w:hAnsi="SimSun" w:eastAsia="SimSun" w:cs="Arial (正文 CS 字体)"/>
          <w:sz w:val="24"/>
        </w:rPr>
      </w:pPr>
      <w:r>
        <w:rPr>
          <w:rFonts w:hint="default" w:ascii="SimSun" w:hAnsi="SimSun" w:eastAsia="SimSun" w:cs="Arial (正文 CS 字体)"/>
          <w:sz w:val="24"/>
        </w:rPr>
        <w:t>二、物哀审美与死亡意义</w:t>
      </w:r>
    </w:p>
    <w:p w14:paraId="6513B02C">
      <w:pPr>
        <w:pStyle w:val="13"/>
        <w:spacing w:line="360" w:lineRule="auto"/>
        <w:ind w:left="357" w:firstLine="480"/>
        <w:rPr>
          <w:rFonts w:hint="default" w:ascii="SimSun" w:hAnsi="SimSun" w:eastAsia="SimSun" w:cs="Arial (正文 CS 字体)"/>
          <w:sz w:val="24"/>
        </w:rPr>
      </w:pPr>
      <w:r>
        <w:rPr>
          <w:rFonts w:hint="default" w:ascii="SimSun" w:hAnsi="SimSun" w:eastAsia="SimSun" w:cs="Arial (正文 CS 字体)"/>
          <w:sz w:val="24"/>
        </w:rPr>
        <w:t>日本文化中的“物哀”强调万物转瞬即逝的瞬间具有最高审美价值。在动漫领域，盛葭月系统分析了新海诚如何在主题、叙事、视听语言等层面，具体地融合并发展了“物哀”与“侘寂”</w:t>
      </w:r>
      <w:r>
        <w:rPr>
          <w:rStyle w:val="5"/>
          <w:rFonts w:hint="default" w:ascii="SimSun" w:hAnsi="SimSun" w:eastAsia="SimSun" w:cs="Arial (正文 CS 字体)"/>
          <w:sz w:val="24"/>
        </w:rPr>
        <w:footnoteReference w:id="4"/>
      </w:r>
      <w:r>
        <w:rPr>
          <w:rFonts w:hint="default" w:ascii="SimSun" w:hAnsi="SimSun" w:eastAsia="SimSun" w:cs="Arial (正文 CS 字体)"/>
          <w:sz w:val="24"/>
        </w:rPr>
        <w:t>。刘超指出，日本动漫通过“末日浩劫”放大“死”、通过“人机合体”等扩展“生”，在这种生死议题的极端化与交替叙事中，将“物哀”中“充满矛盾的愉悦感”发扬到了极致</w:t>
      </w:r>
      <w:r>
        <w:rPr>
          <w:rStyle w:val="5"/>
          <w:rFonts w:hint="default" w:ascii="SimSun" w:hAnsi="SimSun" w:eastAsia="SimSun" w:cs="Arial (正文 CS 字体)"/>
          <w:sz w:val="24"/>
        </w:rPr>
        <w:footnoteReference w:id="5"/>
      </w:r>
      <w:r>
        <w:rPr>
          <w:rFonts w:hint="default" w:ascii="SimSun" w:hAnsi="SimSun" w:eastAsia="SimSun" w:cs="Arial (正文 CS 字体)"/>
          <w:sz w:val="24"/>
        </w:rPr>
        <w:t>。</w:t>
      </w:r>
    </w:p>
    <w:p w14:paraId="4FC9EFA0">
      <w:pPr>
        <w:pStyle w:val="13"/>
        <w:spacing w:line="360" w:lineRule="auto"/>
        <w:ind w:left="357" w:firstLine="480"/>
        <w:rPr>
          <w:rFonts w:hint="default" w:ascii="SimSun" w:hAnsi="SimSun" w:eastAsia="SimSun" w:cs="Arial (正文 CS 字体)"/>
          <w:sz w:val="24"/>
        </w:rPr>
      </w:pPr>
      <w:r>
        <w:rPr>
          <w:rFonts w:hint="default" w:ascii="SimSun" w:hAnsi="SimSun" w:eastAsia="SimSun" w:cs="Arial (正文 CS 字体)"/>
          <w:sz w:val="24"/>
        </w:rPr>
        <w:t>“寿命论”同样是物哀美学的一种载体，通过与永生相比转瞬即逝的生命渲染悲剧感，上升为跨种族爱情中崇高的浪漫感。现有的物哀研究往往聚焦于“逝去”的，而寿命论命题提供了永生的具体对照样本，具有独特的研究价值。</w:t>
      </w:r>
    </w:p>
    <w:p w14:paraId="28066D29">
      <w:pPr>
        <w:pStyle w:val="13"/>
        <w:spacing w:line="360" w:lineRule="auto"/>
        <w:ind w:left="357" w:firstLine="480"/>
        <w:rPr>
          <w:rFonts w:hint="default" w:ascii="SimSun" w:hAnsi="SimSun" w:eastAsia="SimSun" w:cs="Arial (正文 CS 字体)"/>
          <w:sz w:val="24"/>
        </w:rPr>
      </w:pPr>
    </w:p>
    <w:p w14:paraId="1CC5DDD6">
      <w:pPr>
        <w:pStyle w:val="13"/>
        <w:spacing w:line="360" w:lineRule="auto"/>
        <w:ind w:left="357" w:firstLine="480"/>
        <w:rPr>
          <w:rFonts w:hint="default" w:ascii="SimSun" w:hAnsi="SimSun" w:eastAsia="SimSun" w:cs="Arial (正文 CS 字体)"/>
          <w:sz w:val="24"/>
        </w:rPr>
      </w:pPr>
      <w:r>
        <w:rPr>
          <w:rFonts w:hint="default" w:ascii="SimSun" w:hAnsi="SimSun" w:eastAsia="SimSun" w:cs="Arial (正文 CS 字体)"/>
          <w:sz w:val="24"/>
        </w:rPr>
        <w:t>三、《葬送的芙莉莲》</w:t>
      </w:r>
    </w:p>
    <w:p w14:paraId="15B13CD1">
      <w:pPr>
        <w:pStyle w:val="13"/>
        <w:spacing w:line="360" w:lineRule="auto"/>
        <w:ind w:left="357" w:firstLine="480"/>
        <w:rPr>
          <w:rFonts w:hint="default" w:ascii="SimSun" w:hAnsi="SimSun" w:eastAsia="SimSun" w:cs="Arial (正文 CS 字体)"/>
          <w:sz w:val="24"/>
        </w:rPr>
      </w:pPr>
      <w:r>
        <w:rPr>
          <w:rFonts w:hint="default" w:ascii="SimSun" w:hAnsi="SimSun" w:eastAsia="SimSun" w:cs="Arial (正文 CS 字体)"/>
          <w:sz w:val="24"/>
        </w:rPr>
        <w:t>已有研究表明，“寿命论”在《芙莉莲》中有特别的体现，勇者辛美尔的死亡成为了芙莉莲</w:t>
      </w:r>
      <w:r>
        <w:rPr>
          <w:rFonts w:hint="eastAsia" w:ascii="SimSun" w:hAnsi="SimSun" w:eastAsia="SimSun" w:cs="Arial (正文 CS 字体)"/>
          <w:sz w:val="24"/>
          <w:lang w:val="en-US" w:eastAsia="zh-CN"/>
        </w:rPr>
        <w:t>情感觉醒</w:t>
      </w:r>
      <w:r>
        <w:rPr>
          <w:rFonts w:hint="default" w:ascii="SimSun" w:hAnsi="SimSun" w:eastAsia="SimSun" w:cs="Arial (正文 CS 字体)"/>
          <w:sz w:val="24"/>
        </w:rPr>
        <w:t>过程的起点。短寿者的死亡赋予了生者意志，迫使长生者重新理解生命的情感重量。研究强调，这种以情感修复为核心的叙事，为女性英雄角色提供了不同于传统男性英雄旅程的发展模型</w:t>
      </w:r>
      <w:r>
        <w:rPr>
          <w:rStyle w:val="5"/>
          <w:rFonts w:hint="default" w:ascii="SimSun" w:hAnsi="SimSun" w:eastAsia="SimSun" w:cs="Arial (正文 CS 字体)"/>
          <w:sz w:val="24"/>
        </w:rPr>
        <w:footnoteReference w:id="6"/>
      </w:r>
      <w:r>
        <w:rPr>
          <w:rFonts w:hint="default" w:ascii="SimSun" w:hAnsi="SimSun" w:eastAsia="SimSun" w:cs="Arial (正文 CS 字体)"/>
          <w:sz w:val="24"/>
        </w:rPr>
        <w:t>。</w:t>
      </w:r>
    </w:p>
    <w:p w14:paraId="6DC1C789">
      <w:pPr>
        <w:pStyle w:val="13"/>
        <w:spacing w:line="360" w:lineRule="auto"/>
        <w:ind w:left="357" w:firstLine="480"/>
        <w:rPr>
          <w:rFonts w:hint="default" w:ascii="SimSun" w:hAnsi="SimSun" w:eastAsia="SimSun" w:cs="Arial (正文 CS 字体)"/>
          <w:sz w:val="24"/>
        </w:rPr>
      </w:pPr>
    </w:p>
    <w:p w14:paraId="5AEC184A">
      <w:pPr>
        <w:pStyle w:val="13"/>
        <w:spacing w:line="360" w:lineRule="auto"/>
        <w:ind w:left="357" w:firstLine="480"/>
        <w:rPr>
          <w:rFonts w:ascii="SimSun" w:hAnsi="SimSun" w:eastAsia="SimSun" w:cs="Arial (正文 CS 字体)"/>
          <w:sz w:val="24"/>
        </w:rPr>
      </w:pPr>
      <w:r>
        <w:rPr>
          <w:rFonts w:hint="default" w:ascii="SimSun" w:hAnsi="SimSun" w:eastAsia="SimSun" w:cs="Arial (正文 CS 字体)"/>
          <w:sz w:val="24"/>
        </w:rPr>
        <w:t>现有</w:t>
      </w:r>
      <w:r>
        <w:rPr>
          <w:rFonts w:hint="eastAsia" w:ascii="SimSun" w:hAnsi="SimSun" w:eastAsia="SimSun" w:cs="Arial (正文 CS 字体)"/>
          <w:sz w:val="24"/>
          <w:lang w:val="en-US" w:eastAsia="zh-CN"/>
        </w:rPr>
        <w:t>观点展示了跨种族</w:t>
      </w:r>
      <w:r>
        <w:rPr>
          <w:rFonts w:hint="default" w:ascii="SimSun" w:hAnsi="SimSun" w:eastAsia="SimSun" w:cs="Arial (正文 CS 字体)"/>
          <w:sz w:val="24"/>
        </w:rPr>
        <w:t>爱情</w:t>
      </w:r>
      <w:r>
        <w:rPr>
          <w:rFonts w:hint="eastAsia" w:ascii="SimSun" w:hAnsi="SimSun" w:eastAsia="SimSun" w:cs="Arial (正文 CS 字体)"/>
          <w:sz w:val="24"/>
          <w:lang w:val="en-US" w:eastAsia="zh-CN"/>
        </w:rPr>
        <w:t>悲剧</w:t>
      </w:r>
      <w:r>
        <w:rPr>
          <w:rFonts w:hint="default" w:ascii="SimSun" w:hAnsi="SimSun" w:eastAsia="SimSun" w:cs="Arial (正文 CS 字体)"/>
          <w:sz w:val="24"/>
        </w:rPr>
        <w:t>叙事产生浪漫意义的</w:t>
      </w:r>
      <w:r>
        <w:rPr>
          <w:rFonts w:hint="eastAsia" w:ascii="SimSun" w:hAnsi="SimSun" w:eastAsia="SimSun" w:cs="Arial (正文 CS 字体)"/>
          <w:sz w:val="24"/>
          <w:lang w:val="en-US" w:eastAsia="zh-CN"/>
        </w:rPr>
        <w:t>可能</w:t>
      </w:r>
      <w:r>
        <w:rPr>
          <w:rFonts w:hint="default" w:ascii="SimSun" w:hAnsi="SimSun" w:eastAsia="SimSun" w:cs="Arial (正文 CS 字体)"/>
          <w:sz w:val="24"/>
        </w:rPr>
        <w:t>路径</w:t>
      </w:r>
      <w:r>
        <w:rPr>
          <w:rFonts w:hint="eastAsia" w:ascii="SimSun" w:hAnsi="SimSun" w:eastAsia="SimSun" w:cs="Arial (正文 CS 字体)"/>
          <w:sz w:val="24"/>
          <w:lang w:eastAsia="zh-CN"/>
        </w:rPr>
        <w:t>，</w:t>
      </w:r>
      <w:r>
        <w:rPr>
          <w:rFonts w:hint="default" w:ascii="SimSun" w:hAnsi="SimSun" w:eastAsia="SimSun" w:cs="Arial (正文 CS 字体)"/>
          <w:sz w:val="24"/>
        </w:rPr>
        <w:t>主要为强调永生与跨物种的绝对隔离与营造“物哀”美学的氛围。</w:t>
      </w:r>
      <w:r>
        <w:rPr>
          <w:rFonts w:hint="eastAsia" w:ascii="SimSun" w:hAnsi="SimSun" w:eastAsia="SimSun" w:cs="Arial (正文 CS 字体)"/>
          <w:sz w:val="24"/>
          <w:lang w:val="en-US" w:eastAsia="zh-CN"/>
        </w:rPr>
        <w:t>现有研究对《葬送的芙莉莲》的研究也仅限于</w:t>
      </w:r>
      <w:r>
        <w:rPr>
          <w:rFonts w:hint="default" w:ascii="SimSun" w:hAnsi="SimSun" w:eastAsia="SimSun" w:cs="Arial (正文 CS 字体)"/>
          <w:sz w:val="24"/>
        </w:rPr>
        <w:t>情感修复为核心的叙事</w:t>
      </w:r>
      <w:r>
        <w:rPr>
          <w:rFonts w:hint="eastAsia" w:ascii="SimSun" w:hAnsi="SimSun" w:eastAsia="SimSun" w:cs="Arial (正文 CS 字体)"/>
          <w:sz w:val="24"/>
          <w:lang w:val="en-US" w:eastAsia="zh-CN"/>
        </w:rPr>
        <w:t>模型</w:t>
      </w:r>
      <w:r>
        <w:rPr>
          <w:rFonts w:hint="eastAsia" w:ascii="SimSun" w:hAnsi="SimSun" w:eastAsia="SimSun" w:cs="Arial (正文 CS 字体)"/>
          <w:sz w:val="24"/>
          <w:lang w:eastAsia="zh-CN"/>
        </w:rPr>
        <w:t>。</w:t>
      </w:r>
      <w:r>
        <w:rPr>
          <w:rFonts w:hint="default" w:ascii="SimSun" w:hAnsi="SimSun" w:eastAsia="SimSun" w:cs="Arial (正文 CS 字体)"/>
          <w:sz w:val="24"/>
        </w:rPr>
        <w:t>鲜有研究分析日本动漫中长生者与短寿者之间的关系结构如何产生浪漫意义。</w:t>
      </w:r>
    </w:p>
    <w:p w14:paraId="19079917">
      <w:pPr>
        <w:pStyle w:val="13"/>
        <w:spacing w:line="360" w:lineRule="auto"/>
        <w:ind w:left="357" w:firstLine="480"/>
        <w:rPr>
          <w:rFonts w:ascii="SimSun" w:hAnsi="SimSun" w:eastAsia="SimSun" w:cs="Arial (正文 CS 字体)"/>
          <w:sz w:val="24"/>
        </w:rPr>
      </w:pPr>
    </w:p>
    <w:p w14:paraId="4049057B">
      <w:pPr>
        <w:pStyle w:val="13"/>
        <w:spacing w:line="360" w:lineRule="auto"/>
        <w:ind w:left="357" w:firstLine="480"/>
        <w:rPr>
          <w:rFonts w:ascii="SimSun" w:hAnsi="SimSun" w:eastAsia="SimSun" w:cs="Arial (正文 CS 字体)"/>
          <w:sz w:val="24"/>
        </w:rPr>
      </w:pPr>
    </w:p>
    <w:sectPr>
      <w:headerReference r:id="rId4" w:type="default"/>
      <w:pgSz w:w="11900" w:h="16840"/>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Arial (正文 CS 字体)">
    <w:altName w:val="Arial"/>
    <w:panose1 w:val="020B0604020202020204"/>
    <w:charset w:val="86"/>
    <w:family w:val="roman"/>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r>
        <w:separator/>
      </w:r>
    </w:p>
  </w:footnote>
  <w:footnote w:type="continuationSeparator" w:id="15">
    <w:p>
      <w:r>
        <w:continuationSeparator/>
      </w:r>
    </w:p>
  </w:footnote>
  <w:footnote w:id="0">
    <w:p w14:paraId="3EF02771">
      <w:pPr>
        <w:pStyle w:val="6"/>
        <w:snapToGrid w:val="0"/>
      </w:pPr>
      <w:r>
        <w:rPr>
          <w:rStyle w:val="5"/>
        </w:rPr>
        <w:footnoteRef/>
      </w:r>
      <w:r>
        <w:t xml:space="preserve"> </w:t>
      </w:r>
      <w:r>
        <w:rPr>
          <w:rFonts w:hint="default"/>
        </w:rPr>
        <w:t>Nuffer, L. (2014). Of Mice and Maidens: Ideologies of Interspecies Romance in Late Medieval and Early Modern Japan (Doctoral dissertation, University of Pennsylvania).</w:t>
      </w:r>
    </w:p>
  </w:footnote>
  <w:footnote w:id="1">
    <w:p w14:paraId="586D5C71">
      <w:pPr>
        <w:pStyle w:val="6"/>
        <w:snapToGrid w:val="0"/>
      </w:pPr>
      <w:r>
        <w:rPr>
          <w:rStyle w:val="5"/>
        </w:rPr>
        <w:footnoteRef/>
      </w:r>
      <w:r>
        <w:t xml:space="preserve"> </w:t>
      </w:r>
      <w:r>
        <w:rPr>
          <w:rFonts w:hint="default"/>
        </w:rPr>
        <w:t>Williams, B. (1973). The Makropulos case: reflections on the tedium of immortality.</w:t>
      </w:r>
    </w:p>
  </w:footnote>
  <w:footnote w:id="2">
    <w:p w14:paraId="210F4782">
      <w:pPr>
        <w:pStyle w:val="6"/>
        <w:snapToGrid w:val="0"/>
        <w:rPr>
          <w:rFonts w:hint="default"/>
        </w:rPr>
      </w:pPr>
      <w:r>
        <w:rPr>
          <w:rStyle w:val="5"/>
        </w:rPr>
        <w:footnoteRef/>
      </w:r>
      <w:r>
        <w:t xml:space="preserve"> </w:t>
      </w:r>
      <w:r>
        <w:rPr>
          <w:rFonts w:hint="default"/>
        </w:rPr>
        <w:t>Fischer, J. M. (1994). Why immortality is not so bad. International journal of philosophical studies, 2(2), 257-270.</w:t>
      </w:r>
    </w:p>
    <w:p w14:paraId="4814E314">
      <w:pPr>
        <w:pStyle w:val="6"/>
        <w:snapToGrid w:val="0"/>
      </w:pPr>
    </w:p>
  </w:footnote>
  <w:footnote w:id="3">
    <w:p w14:paraId="058409D3">
      <w:pPr>
        <w:pStyle w:val="6"/>
        <w:snapToGrid w:val="0"/>
      </w:pPr>
      <w:r>
        <w:rPr>
          <w:rStyle w:val="5"/>
        </w:rPr>
        <w:footnoteRef/>
      </w:r>
      <w:r>
        <w:t xml:space="preserve"> </w:t>
      </w:r>
      <w:r>
        <w:rPr>
          <w:rFonts w:hint="default"/>
        </w:rPr>
        <w:t>Burley, M. (2009). Immortality and boredom: a response to Wisnewski. International journal for philosophy of religion, 65(2), 77-85.</w:t>
      </w:r>
    </w:p>
  </w:footnote>
  <w:footnote w:id="4">
    <w:p w14:paraId="02BDAC68">
      <w:pPr>
        <w:pStyle w:val="6"/>
        <w:snapToGrid w:val="0"/>
      </w:pPr>
      <w:r>
        <w:rPr>
          <w:rStyle w:val="5"/>
        </w:rPr>
        <w:footnoteRef/>
      </w:r>
      <w:r>
        <w:t xml:space="preserve"> </w:t>
      </w:r>
      <w:r>
        <w:rPr>
          <w:rFonts w:hint="default"/>
        </w:rPr>
        <w:t>盛葭月. (2021). 物哀与侘寂: 新海诚动画电影审美研究 (Master's thesis, 上海师范大学).</w:t>
      </w:r>
    </w:p>
  </w:footnote>
  <w:footnote w:id="5">
    <w:p w14:paraId="28E9C0F5">
      <w:pPr>
        <w:pStyle w:val="6"/>
        <w:snapToGrid w:val="0"/>
      </w:pPr>
      <w:r>
        <w:rPr>
          <w:rStyle w:val="5"/>
        </w:rPr>
        <w:footnoteRef/>
      </w:r>
      <w:r>
        <w:t xml:space="preserve"> </w:t>
      </w:r>
      <w:r>
        <w:rPr>
          <w:rFonts w:hint="default"/>
        </w:rPr>
        <w:t>刘超. (2015). 日本动漫的未来想象与 “物哀” 美学. 艺术百家, 31(4), 235-236.</w:t>
      </w:r>
    </w:p>
  </w:footnote>
  <w:footnote w:id="6">
    <w:p w14:paraId="35BF1F9F">
      <w:pPr>
        <w:pStyle w:val="6"/>
        <w:snapToGrid w:val="0"/>
      </w:pPr>
      <w:r>
        <w:rPr>
          <w:rStyle w:val="5"/>
        </w:rPr>
        <w:footnoteRef/>
      </w:r>
      <w:r>
        <w:t xml:space="preserve"> </w:t>
      </w:r>
      <w:r>
        <w:rPr>
          <w:rFonts w:hint="default"/>
        </w:rPr>
        <w:t>Sun, J. L., &amp; Huang, Z. J. An Exploration of Individuation, Mourning, and Self-Healing Processes in the Anime Frieren: Beyond Journey's End Through Jungian Psychology and Narrative Analysis.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F03EE">
    <w:pPr>
      <w:pStyle w:val="7"/>
    </w:pPr>
    <w:r>
      <w:rPr>
        <w:rFonts w:hint="eastAsia"/>
      </w:rPr>
      <w:t>写作与沟通·文学中的爱情</w:t>
    </w:r>
    <w:r>
      <w:rPr>
        <w:rFonts w:hint="eastAsia"/>
      </w:rPr>
      <w:ptab w:relativeTo="margin" w:alignment="center" w:leader="none"/>
    </w:r>
    <w:r>
      <w:ptab w:relativeTo="margin" w:alignment="right" w:leader="none"/>
    </w:r>
    <w:r>
      <w:rPr>
        <w:rFonts w:hint="eastAsia"/>
      </w:rPr>
      <w:t>第3讲作业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91640"/>
    <w:multiLevelType w:val="multilevel"/>
    <w:tmpl w:val="06B91640"/>
    <w:lvl w:ilvl="0" w:tentative="0">
      <w:start w:val="1"/>
      <w:numFmt w:val="decimalEnclosedCircle"/>
      <w:lvlText w:val="%1"/>
      <w:lvlJc w:val="left"/>
      <w:pPr>
        <w:ind w:left="420" w:hanging="420"/>
      </w:pPr>
      <w:rPr>
        <w:rFonts w:hint="default"/>
        <w:b w:val="0"/>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4"/>
    <w:footnote w:id="15"/>
  </w:foot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563"/>
    <w:rsid w:val="00003395"/>
    <w:rsid w:val="00003BAD"/>
    <w:rsid w:val="00011D0A"/>
    <w:rsid w:val="00033B01"/>
    <w:rsid w:val="00037E0F"/>
    <w:rsid w:val="00050690"/>
    <w:rsid w:val="00051AAD"/>
    <w:rsid w:val="00072462"/>
    <w:rsid w:val="000764BC"/>
    <w:rsid w:val="00096FC6"/>
    <w:rsid w:val="00097093"/>
    <w:rsid w:val="000A2025"/>
    <w:rsid w:val="000A3338"/>
    <w:rsid w:val="000D16C5"/>
    <w:rsid w:val="000D65E7"/>
    <w:rsid w:val="00100A23"/>
    <w:rsid w:val="001016C4"/>
    <w:rsid w:val="0010528A"/>
    <w:rsid w:val="00130562"/>
    <w:rsid w:val="00157104"/>
    <w:rsid w:val="0016093A"/>
    <w:rsid w:val="00167D16"/>
    <w:rsid w:val="00173252"/>
    <w:rsid w:val="00190E01"/>
    <w:rsid w:val="001928A1"/>
    <w:rsid w:val="001967A5"/>
    <w:rsid w:val="00197C0C"/>
    <w:rsid w:val="00197E76"/>
    <w:rsid w:val="001A74D7"/>
    <w:rsid w:val="001C1931"/>
    <w:rsid w:val="001C2DA6"/>
    <w:rsid w:val="001C6E93"/>
    <w:rsid w:val="001D5E23"/>
    <w:rsid w:val="001E3F8B"/>
    <w:rsid w:val="00201665"/>
    <w:rsid w:val="00203295"/>
    <w:rsid w:val="00212514"/>
    <w:rsid w:val="00212F4D"/>
    <w:rsid w:val="0022622A"/>
    <w:rsid w:val="0023486C"/>
    <w:rsid w:val="00235FF4"/>
    <w:rsid w:val="00240072"/>
    <w:rsid w:val="002523F3"/>
    <w:rsid w:val="002572C4"/>
    <w:rsid w:val="00257F97"/>
    <w:rsid w:val="00271603"/>
    <w:rsid w:val="00271663"/>
    <w:rsid w:val="00280E5B"/>
    <w:rsid w:val="0028706D"/>
    <w:rsid w:val="00297723"/>
    <w:rsid w:val="002A6A7C"/>
    <w:rsid w:val="002C0747"/>
    <w:rsid w:val="002C402B"/>
    <w:rsid w:val="002C7885"/>
    <w:rsid w:val="002D00A8"/>
    <w:rsid w:val="002D10AB"/>
    <w:rsid w:val="002D1A4E"/>
    <w:rsid w:val="002E072D"/>
    <w:rsid w:val="002E406C"/>
    <w:rsid w:val="00310B18"/>
    <w:rsid w:val="00344FFB"/>
    <w:rsid w:val="003565FA"/>
    <w:rsid w:val="00363AE3"/>
    <w:rsid w:val="00367C25"/>
    <w:rsid w:val="00375ECC"/>
    <w:rsid w:val="0038659B"/>
    <w:rsid w:val="003A2DD4"/>
    <w:rsid w:val="003A5082"/>
    <w:rsid w:val="003A5CF5"/>
    <w:rsid w:val="003B33C6"/>
    <w:rsid w:val="003D16D5"/>
    <w:rsid w:val="003D18FC"/>
    <w:rsid w:val="003E01AD"/>
    <w:rsid w:val="003E77F2"/>
    <w:rsid w:val="003F04F9"/>
    <w:rsid w:val="003F4165"/>
    <w:rsid w:val="003F697B"/>
    <w:rsid w:val="00412C2A"/>
    <w:rsid w:val="00425F98"/>
    <w:rsid w:val="0043173B"/>
    <w:rsid w:val="00431F5A"/>
    <w:rsid w:val="00436CD5"/>
    <w:rsid w:val="00440A38"/>
    <w:rsid w:val="00445A6C"/>
    <w:rsid w:val="00486686"/>
    <w:rsid w:val="00492B0E"/>
    <w:rsid w:val="004B0757"/>
    <w:rsid w:val="004B7E21"/>
    <w:rsid w:val="004E2724"/>
    <w:rsid w:val="004E66B1"/>
    <w:rsid w:val="0050064C"/>
    <w:rsid w:val="00517AA5"/>
    <w:rsid w:val="005261C2"/>
    <w:rsid w:val="00531AF5"/>
    <w:rsid w:val="00563563"/>
    <w:rsid w:val="00565285"/>
    <w:rsid w:val="0059075E"/>
    <w:rsid w:val="005B2F28"/>
    <w:rsid w:val="005B64F2"/>
    <w:rsid w:val="005B71D2"/>
    <w:rsid w:val="005E1914"/>
    <w:rsid w:val="005E696F"/>
    <w:rsid w:val="0060313F"/>
    <w:rsid w:val="00603874"/>
    <w:rsid w:val="00637A04"/>
    <w:rsid w:val="0065436C"/>
    <w:rsid w:val="00662E61"/>
    <w:rsid w:val="00664DE2"/>
    <w:rsid w:val="006667D1"/>
    <w:rsid w:val="00686BC4"/>
    <w:rsid w:val="00691F8F"/>
    <w:rsid w:val="006A2690"/>
    <w:rsid w:val="006A7BB4"/>
    <w:rsid w:val="006B1F68"/>
    <w:rsid w:val="006C2E68"/>
    <w:rsid w:val="006F7EAB"/>
    <w:rsid w:val="00710E2F"/>
    <w:rsid w:val="00715C19"/>
    <w:rsid w:val="007263E5"/>
    <w:rsid w:val="00731968"/>
    <w:rsid w:val="00735B18"/>
    <w:rsid w:val="00736697"/>
    <w:rsid w:val="0075257E"/>
    <w:rsid w:val="00753EEF"/>
    <w:rsid w:val="00770491"/>
    <w:rsid w:val="007831E5"/>
    <w:rsid w:val="00787777"/>
    <w:rsid w:val="00797A80"/>
    <w:rsid w:val="007B0999"/>
    <w:rsid w:val="007B0D6F"/>
    <w:rsid w:val="007C5562"/>
    <w:rsid w:val="007D0514"/>
    <w:rsid w:val="00801BFF"/>
    <w:rsid w:val="00803E05"/>
    <w:rsid w:val="00811F63"/>
    <w:rsid w:val="00815146"/>
    <w:rsid w:val="00826F91"/>
    <w:rsid w:val="00827824"/>
    <w:rsid w:val="0084649A"/>
    <w:rsid w:val="00847EFC"/>
    <w:rsid w:val="00850A29"/>
    <w:rsid w:val="0085244A"/>
    <w:rsid w:val="00867DEB"/>
    <w:rsid w:val="00874310"/>
    <w:rsid w:val="0087548F"/>
    <w:rsid w:val="008C272E"/>
    <w:rsid w:val="008E0554"/>
    <w:rsid w:val="008F169B"/>
    <w:rsid w:val="008F2594"/>
    <w:rsid w:val="008F3A48"/>
    <w:rsid w:val="008F59D5"/>
    <w:rsid w:val="008F711A"/>
    <w:rsid w:val="008F7CAF"/>
    <w:rsid w:val="00926835"/>
    <w:rsid w:val="00932265"/>
    <w:rsid w:val="00936C88"/>
    <w:rsid w:val="00954837"/>
    <w:rsid w:val="009568CB"/>
    <w:rsid w:val="00956BE6"/>
    <w:rsid w:val="00962C34"/>
    <w:rsid w:val="0096548F"/>
    <w:rsid w:val="00970594"/>
    <w:rsid w:val="0098233B"/>
    <w:rsid w:val="009939F7"/>
    <w:rsid w:val="009C42F2"/>
    <w:rsid w:val="00A10E13"/>
    <w:rsid w:val="00A17173"/>
    <w:rsid w:val="00A37A3F"/>
    <w:rsid w:val="00A440FA"/>
    <w:rsid w:val="00A5493F"/>
    <w:rsid w:val="00A64A2D"/>
    <w:rsid w:val="00A772B7"/>
    <w:rsid w:val="00A8661A"/>
    <w:rsid w:val="00AB38B6"/>
    <w:rsid w:val="00AB700E"/>
    <w:rsid w:val="00AD0403"/>
    <w:rsid w:val="00AE0C34"/>
    <w:rsid w:val="00AF0831"/>
    <w:rsid w:val="00AF6B83"/>
    <w:rsid w:val="00B00685"/>
    <w:rsid w:val="00B068D1"/>
    <w:rsid w:val="00B0732E"/>
    <w:rsid w:val="00B145CC"/>
    <w:rsid w:val="00B219B0"/>
    <w:rsid w:val="00B44109"/>
    <w:rsid w:val="00B461AF"/>
    <w:rsid w:val="00B60F77"/>
    <w:rsid w:val="00B665DE"/>
    <w:rsid w:val="00B84AAF"/>
    <w:rsid w:val="00B9150F"/>
    <w:rsid w:val="00B977B4"/>
    <w:rsid w:val="00B97818"/>
    <w:rsid w:val="00BB1584"/>
    <w:rsid w:val="00BB49A0"/>
    <w:rsid w:val="00BC1333"/>
    <w:rsid w:val="00BC48E5"/>
    <w:rsid w:val="00BC7F2A"/>
    <w:rsid w:val="00BE1982"/>
    <w:rsid w:val="00BE5014"/>
    <w:rsid w:val="00BF0A6C"/>
    <w:rsid w:val="00BF218B"/>
    <w:rsid w:val="00BF28D4"/>
    <w:rsid w:val="00BF2B33"/>
    <w:rsid w:val="00BF5D7C"/>
    <w:rsid w:val="00C05766"/>
    <w:rsid w:val="00C20BA5"/>
    <w:rsid w:val="00C24713"/>
    <w:rsid w:val="00C561B6"/>
    <w:rsid w:val="00C7450E"/>
    <w:rsid w:val="00C76ED9"/>
    <w:rsid w:val="00C85AB0"/>
    <w:rsid w:val="00C87FD4"/>
    <w:rsid w:val="00CA0B9F"/>
    <w:rsid w:val="00CA3EC6"/>
    <w:rsid w:val="00CA69BE"/>
    <w:rsid w:val="00CB62EA"/>
    <w:rsid w:val="00CB6A5C"/>
    <w:rsid w:val="00CB7A02"/>
    <w:rsid w:val="00CC650B"/>
    <w:rsid w:val="00CD032A"/>
    <w:rsid w:val="00CD3E5C"/>
    <w:rsid w:val="00CE0401"/>
    <w:rsid w:val="00CE5639"/>
    <w:rsid w:val="00CF342D"/>
    <w:rsid w:val="00D042A7"/>
    <w:rsid w:val="00D10110"/>
    <w:rsid w:val="00D14D21"/>
    <w:rsid w:val="00D30FFB"/>
    <w:rsid w:val="00D378C0"/>
    <w:rsid w:val="00D414AF"/>
    <w:rsid w:val="00D4207B"/>
    <w:rsid w:val="00D61967"/>
    <w:rsid w:val="00D619F4"/>
    <w:rsid w:val="00D66E1C"/>
    <w:rsid w:val="00D724A4"/>
    <w:rsid w:val="00D7293B"/>
    <w:rsid w:val="00D734C9"/>
    <w:rsid w:val="00D7366D"/>
    <w:rsid w:val="00D77BA4"/>
    <w:rsid w:val="00D82ABB"/>
    <w:rsid w:val="00D83C86"/>
    <w:rsid w:val="00D961DB"/>
    <w:rsid w:val="00DA5475"/>
    <w:rsid w:val="00DB2014"/>
    <w:rsid w:val="00DB4E3E"/>
    <w:rsid w:val="00DB7871"/>
    <w:rsid w:val="00DC3153"/>
    <w:rsid w:val="00DC7759"/>
    <w:rsid w:val="00DF442B"/>
    <w:rsid w:val="00E0101C"/>
    <w:rsid w:val="00E0203D"/>
    <w:rsid w:val="00E049D0"/>
    <w:rsid w:val="00E1306D"/>
    <w:rsid w:val="00E224D4"/>
    <w:rsid w:val="00E2427C"/>
    <w:rsid w:val="00E27F32"/>
    <w:rsid w:val="00E34C8F"/>
    <w:rsid w:val="00E43BA1"/>
    <w:rsid w:val="00E44B36"/>
    <w:rsid w:val="00E46BD5"/>
    <w:rsid w:val="00E46EF2"/>
    <w:rsid w:val="00E6194A"/>
    <w:rsid w:val="00E70879"/>
    <w:rsid w:val="00E90A6D"/>
    <w:rsid w:val="00EA1EBB"/>
    <w:rsid w:val="00EA4B28"/>
    <w:rsid w:val="00EB0F82"/>
    <w:rsid w:val="00EB6031"/>
    <w:rsid w:val="00EC220F"/>
    <w:rsid w:val="00ED3EF3"/>
    <w:rsid w:val="00ED7EBD"/>
    <w:rsid w:val="00EF0322"/>
    <w:rsid w:val="00EF0E36"/>
    <w:rsid w:val="00F07853"/>
    <w:rsid w:val="00F07CDE"/>
    <w:rsid w:val="00F202A9"/>
    <w:rsid w:val="00F218B6"/>
    <w:rsid w:val="00F41FA6"/>
    <w:rsid w:val="00F4361C"/>
    <w:rsid w:val="00F52189"/>
    <w:rsid w:val="00F60C43"/>
    <w:rsid w:val="00F64644"/>
    <w:rsid w:val="00F661F9"/>
    <w:rsid w:val="00F66715"/>
    <w:rsid w:val="00F839C8"/>
    <w:rsid w:val="00F87F52"/>
    <w:rsid w:val="00F94403"/>
    <w:rsid w:val="00FA45F2"/>
    <w:rsid w:val="00FB120B"/>
    <w:rsid w:val="00FB5698"/>
    <w:rsid w:val="00FB61F3"/>
    <w:rsid w:val="00FC00D1"/>
    <w:rsid w:val="00FC2293"/>
    <w:rsid w:val="00FC3673"/>
    <w:rsid w:val="00FC452C"/>
    <w:rsid w:val="00FC648A"/>
    <w:rsid w:val="00FD241F"/>
    <w:rsid w:val="00FD31AC"/>
    <w:rsid w:val="00FD466B"/>
    <w:rsid w:val="00FE719F"/>
    <w:rsid w:val="377FE979"/>
    <w:rsid w:val="9DFC50FB"/>
    <w:rsid w:val="FBF74E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2"/>
    <w:unhideWhenUsed/>
    <w:uiPriority w:val="99"/>
    <w:pPr>
      <w:tabs>
        <w:tab w:val="center" w:pos="4153"/>
        <w:tab w:val="right" w:pos="8306"/>
      </w:tabs>
      <w:snapToGrid w:val="0"/>
      <w:jc w:val="left"/>
    </w:pPr>
    <w:rPr>
      <w:sz w:val="18"/>
      <w:szCs w:val="18"/>
    </w:rPr>
  </w:style>
  <w:style w:type="character" w:styleId="5">
    <w:name w:val="footnote reference"/>
    <w:basedOn w:val="2"/>
    <w:semiHidden/>
    <w:unhideWhenUsed/>
    <w:uiPriority w:val="99"/>
    <w:rPr>
      <w:vertAlign w:val="superscript"/>
    </w:rPr>
  </w:style>
  <w:style w:type="paragraph" w:styleId="6">
    <w:name w:val="footnote text"/>
    <w:basedOn w:val="1"/>
    <w:link w:val="14"/>
    <w:semiHidden/>
    <w:unhideWhenUsed/>
    <w:uiPriority w:val="99"/>
    <w:pPr>
      <w:snapToGrid w:val="0"/>
      <w:jc w:val="left"/>
    </w:pPr>
    <w:rPr>
      <w:sz w:val="18"/>
      <w:szCs w:val="18"/>
    </w:rPr>
  </w:style>
  <w:style w:type="paragraph" w:styleId="7">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2"/>
    <w:qFormat/>
    <w:uiPriority w:val="0"/>
    <w:rPr>
      <w:b/>
      <w:bCs/>
    </w:rPr>
  </w:style>
  <w:style w:type="table" w:styleId="10">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眉 字符"/>
    <w:basedOn w:val="2"/>
    <w:link w:val="7"/>
    <w:uiPriority w:val="99"/>
    <w:rPr>
      <w:sz w:val="18"/>
      <w:szCs w:val="18"/>
    </w:rPr>
  </w:style>
  <w:style w:type="character" w:customStyle="1" w:styleId="12">
    <w:name w:val="页脚 字符"/>
    <w:basedOn w:val="2"/>
    <w:link w:val="4"/>
    <w:uiPriority w:val="99"/>
    <w:rPr>
      <w:sz w:val="18"/>
      <w:szCs w:val="18"/>
    </w:rPr>
  </w:style>
  <w:style w:type="paragraph" w:styleId="13">
    <w:name w:val="List Paragraph"/>
    <w:basedOn w:val="1"/>
    <w:qFormat/>
    <w:uiPriority w:val="34"/>
    <w:pPr>
      <w:ind w:firstLine="420" w:firstLineChars="200"/>
    </w:pPr>
  </w:style>
  <w:style w:type="character" w:customStyle="1" w:styleId="14">
    <w:name w:val="脚注文本 字符"/>
    <w:basedOn w:val="2"/>
    <w:link w:val="6"/>
    <w:semiHidden/>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216CA020-2A42-4D3F-9C25-097334788861}">
  <ds:schemaRefs/>
</ds:datastoreItem>
</file>

<file path=docProps/app.xml><?xml version="1.0" encoding="utf-8"?>
<Properties xmlns="http://schemas.openxmlformats.org/officeDocument/2006/extended-properties" xmlns:vt="http://schemas.openxmlformats.org/officeDocument/2006/docPropsVTypes">
  <Template>Normal.dotm</Template>
  <Pages>3</Pages>
  <Words>54</Words>
  <Characters>309</Characters>
  <Lines>2</Lines>
  <Paragraphs>1</Paragraphs>
  <TotalTime>31</TotalTime>
  <ScaleCrop>false</ScaleCrop>
  <LinksUpToDate>false</LinksUpToDate>
  <CharactersWithSpaces>362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2019-09-20T03:26:00Z</dcterms:created>
  <dc:creator>Microsoft Office 用户</dc:creator>
  <cp:lastModifiedBy>楼诗雨(2025013092)</cp:lastModifiedBy>
  <dcterms:modified xsi:type="dcterms:W3CDTF">2026-03-24T11:58:33Z</dcterms:modified>
  <cp:revision>406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B95E205DC38F6C7C80F2BB69CDAA75DB_42</vt:lpwstr>
  </property>
</Properties>
</file>