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DOSSIER DE FINANCEMENT</w:t>
      </w:r>
    </w:p>
    <w:p>
      <w:r>
        <w:t xml:space="preserve"/>
      </w:r>
    </w:p>
    <w:p>
      <w:pPr>
        <w:jc w:val="center"/>
      </w:pPr>
      <w:r>
        <w:rPr>
          <w:color w:val="2E75B6"/>
          <w:sz w:val="32"/>
          <w:szCs w:val="32"/>
        </w:rPr>
        <w:t xml:space="preserve">Acquisition immobilière dans l'ancien avec travaux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sz w:val="28"/>
          <w:szCs w:val="28"/>
        </w:rPr>
        <w:t xml:space="preserve">Note de synthèse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M. UBERTALLI Sonny</w:t>
      </w:r>
    </w:p>
    <w:p>
      <w:pPr>
        <w:jc w:val="center"/>
      </w:pPr>
      <w:r>
        <w:rPr>
          <w:b/>
          <w:bCs/>
          <w:sz w:val="28"/>
          <w:szCs w:val="28"/>
        </w:rPr>
        <w:t xml:space="preserve">Mme SCHNEIDER Nina</w:t>
      </w:r>
    </w:p>
    <w:p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Les Sapineaux — 511 Le Fay — 73120 Courchevel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Édité en mai 2026</w:t>
      </w:r>
    </w:p>
    <w:p>
      <w:r>
        <w:br w:type="page"/>
      </w:r>
    </w:p>
    <w:p>
      <w:pPr>
        <w:pStyle w:val="Heading1"/>
      </w:pPr>
      <w:r>
        <w:t xml:space="preserve">1. Présentation du foyer</w:t>
      </w:r>
    </w:p>
    <w:p>
      <w:pPr>
        <w:pStyle w:val="Heading2"/>
      </w:pPr>
      <w:r>
        <w:t xml:space="preserve">Co-emprunteurs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M. UBERTALLI Sonny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Mme SCHNEIDER Nina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23/07/1988 (37 ans)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29/02/1992 (33 ans)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Albertville (73)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Allemagne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Statut professionnel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CDI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CDI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Composition du foyer</w:t>
      </w:r>
    </w:p>
    <w:p>
      <w:pPr>
        <w:pStyle w:val="ListParagraph"/>
        <w:numPr>
          <w:ilvl w:val="0"/>
          <w:numId w:val="2"/>
        </w:numPr>
      </w:pPr>
      <w:r>
        <w:t xml:space="preserve">Couple marié</w:t>
      </w:r>
    </w:p>
    <w:p>
      <w:pPr>
        <w:pStyle w:val="ListParagraph"/>
        <w:numPr>
          <w:ilvl w:val="0"/>
          <w:numId w:val="2"/>
        </w:numPr>
      </w:pPr>
      <w:r>
        <w:t xml:space="preserve">2 enfants à charge : Charly (né en novembre 2022) et Tom (né en novembre 2025)</w:t>
      </w:r>
    </w:p>
    <w:p>
      <w:pPr>
        <w:pStyle w:val="ListParagraph"/>
        <w:numPr>
          <w:ilvl w:val="0"/>
          <w:numId w:val="2"/>
        </w:numPr>
      </w:pPr>
      <w:r>
        <w:t xml:space="preserve">Foyer fiscal : 2,5 parts en 2024 (sera ajusté à 3 parts au prochain avis)</w:t>
      </w:r>
    </w:p>
    <w:p>
      <w:r>
        <w:t xml:space="preserve"/>
      </w:r>
    </w:p>
    <w:p>
      <w:pPr>
        <w:pStyle w:val="Heading2"/>
      </w:pPr>
      <w:r>
        <w:t xml:space="preserve">Adresse et logement actuel</w:t>
      </w:r>
    </w:p>
    <w:p>
      <w:r>
        <w:t xml:space="preserve">Les Sapineaux, 511 Le Fay, 73120 Courchevel</w:t>
      </w:r>
    </w:p>
    <w:p>
      <w:r>
        <w:rPr>
          <w:i/>
          <w:iCs/>
        </w:rPr>
        <w:t xml:space="preserve">Statut : Propriétaires occupants </w:t>
      </w:r>
    </w:p>
    <w:p>
      <w:r>
        <w:br w:type="page"/>
      </w:r>
    </w:p>
    <w:p>
      <w:pPr>
        <w:pStyle w:val="Heading1"/>
      </w:pPr>
      <w:r>
        <w:t xml:space="preserve">2. Situation professionnelle</w:t>
      </w:r>
    </w:p>
    <w:p>
      <w:r>
        <w:t xml:space="preserve">Les deux co-emprunteurs exercent leur activité professionnelle en station de Courchevel, dans une zone touristique premium à activité économique pérenne. Leurs deux contrats à durée indéterminée constituent la base stable des revenus du foyer.</w:t>
      </w:r>
    </w:p>
    <w:p>
      <w:r>
        <w:t xml:space="preserve"/>
      </w:r>
    </w:p>
    <w:p>
      <w:pPr>
        <w:pStyle w:val="Heading3"/>
      </w:pPr>
      <w:r>
        <w:t xml:space="preserve">M. UBERTALLI Sonny</w:t>
      </w:r>
    </w:p>
    <w:p>
      <w:pPr>
        <w:pStyle w:val="ListParagraph"/>
        <w:numPr>
          <w:ilvl w:val="0"/>
          <w:numId w:val="2"/>
        </w:numPr>
      </w:pPr>
      <w:r>
        <w:t xml:space="preserve">Employeur : SCI La Montagne (siège : Cannes), SIRET 753 133 032 00015</w:t>
      </w:r>
    </w:p>
    <w:p>
      <w:pPr>
        <w:pStyle w:val="ListParagraph"/>
        <w:numPr>
          <w:ilvl w:val="0"/>
          <w:numId w:val="2"/>
        </w:numPr>
      </w:pPr>
      <w:r>
        <w:t xml:space="preserve">Poste : Assistant Manager, catégorie A, coefficient 660</w:t>
      </w:r>
    </w:p>
    <w:p>
      <w:pPr>
        <w:pStyle w:val="ListParagraph"/>
        <w:numPr>
          <w:ilvl w:val="0"/>
          <w:numId w:val="2"/>
        </w:numPr>
      </w:pPr>
      <w:r>
        <w:t xml:space="preserve">CDI signé le 1er décembre 2021 — soit plus de 4 ans et 5 mois d'ancienneté</w:t>
      </w:r>
    </w:p>
    <w:p>
      <w:pPr>
        <w:pStyle w:val="ListParagraph"/>
        <w:numPr>
          <w:ilvl w:val="0"/>
          <w:numId w:val="2"/>
        </w:numPr>
      </w:pPr>
      <w:r>
        <w:t xml:space="preserve">Salaire de base 2026 : 3 659,53 € brut mensuel (incluant prime d'ancienneté). Salaire net imposable annuel 2025 : 49 873 €.</w:t>
      </w:r>
    </w:p>
    <w:p>
      <w:pPr>
        <w:pStyle w:val="Heading3"/>
      </w:pPr>
      <w:r>
        <w:t xml:space="preserve">Mme SCHNEIDER Nina</w:t>
      </w:r>
    </w:p>
    <w:p>
      <w:pPr>
        <w:pStyle w:val="ListParagraph"/>
        <w:numPr>
          <w:ilvl w:val="0"/>
          <w:numId w:val="2"/>
        </w:numPr>
      </w:pPr>
      <w:r>
        <w:t xml:space="preserve">Employeur : SAS La Montagne (siège : Paris), SIRET 803 266 626 00016</w:t>
      </w:r>
    </w:p>
    <w:p>
      <w:pPr>
        <w:pStyle w:val="ListParagraph"/>
        <w:numPr>
          <w:ilvl w:val="0"/>
          <w:numId w:val="2"/>
        </w:numPr>
      </w:pPr>
      <w:r>
        <w:t xml:space="preserve">Poste : Employée de maison, catégorie A, coefficient 593</w:t>
      </w:r>
    </w:p>
    <w:p>
      <w:pPr>
        <w:pStyle w:val="ListParagraph"/>
        <w:numPr>
          <w:ilvl w:val="0"/>
          <w:numId w:val="2"/>
        </w:numPr>
      </w:pPr>
      <w:r>
        <w:t xml:space="preserve">CDI signé le 1er décembre 2021 — soit plus de 4 ans et 5 mois d'ancienneté</w:t>
      </w:r>
    </w:p>
    <w:p>
      <w:pPr>
        <w:pStyle w:val="ListParagraph"/>
        <w:numPr>
          <w:ilvl w:val="0"/>
          <w:numId w:val="2"/>
        </w:numPr>
      </w:pPr>
      <w:r>
        <w:t xml:space="preserve">Salaire net imposable annuel 2025 : 19 437 € (revenu réduit lié au congé maternité de fin d'année 2025 — reprise effective d'activité au cours du printemps 2026)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Note : Les deux contrats sont signés avec deux entités juridiques distinctes (SAS et SCI), aux sièges sociaux et URSSAF différents, garantissant une indépendance juridique des contrats de travail.</w:t>
      </w:r>
    </w:p>
    <w:p>
      <w:r>
        <w:t xml:space="preserve"/>
      </w:r>
    </w:p>
    <w:p>
      <w:pPr>
        <w:pStyle w:val="Heading1"/>
      </w:pPr>
      <w:r>
        <w:t xml:space="preserve">3. Situation financière</w:t>
      </w:r>
    </w:p>
    <w:p>
      <w:pPr>
        <w:pStyle w:val="Heading2"/>
      </w:pPr>
      <w:r>
        <w:t xml:space="preserve">Évolution des revenus du foyer (3 dernières années)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Année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Sonny (€)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Nina (€)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 (€)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Revenus 2023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43 417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18 024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61 441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Revenus 2024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47 586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26 998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74 584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Revenus 2025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49 873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19 437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69 310</w:t>
            </w:r>
          </w:p>
        </w:tc>
      </w:tr>
    </w:tbl>
    <w:p>
      <w:r>
        <w:t xml:space="preserve"/>
      </w:r>
    </w:p>
    <w:p>
      <w:r>
        <w:rPr>
          <w:i/>
          <w:iCs/>
          <w:sz w:val="18"/>
          <w:szCs w:val="18"/>
        </w:rPr>
        <w:t xml:space="preserve">Sources : Avis d'imposition 2024 et 2025, Déclaration des revenus 2025 (en pièces jointes)</w:t>
      </w:r>
    </w:p>
    <w:p>
      <w:r>
        <w:rPr>
          <w:i/>
          <w:iCs/>
          <w:sz w:val="20"/>
          <w:szCs w:val="20"/>
        </w:rPr>
        <w:t xml:space="preserve">Note : la baisse des revenus de Mme SCHNEIDER en 2025 correspond à la période du congé maternité (naissance du second enfant en novembre 2025). Le retour à plein temps est effectif et les revenus sont attendus en hausse en 2026.</w:t>
      </w:r>
    </w:p>
    <w:p>
      <w:r>
        <w:t xml:space="preserve"/>
      </w:r>
    </w:p>
    <w:p>
      <w:pPr>
        <w:pStyle w:val="Heading2"/>
      </w:pPr>
      <w:r>
        <w:t xml:space="preserve">Activité de location meublée non professionnelle (LMNP)</w:t>
      </w:r>
    </w:p>
    <w:p>
      <w:r>
        <w:t xml:space="preserve">Le foyer exerce, en complément de l'activité salariée, une activité de location meublée saisonnière déclarée fiscalement (statut LMNP, régime réel simplifié, télétransmission BIC). Cette activité génère un cash-flow positif après remboursement du crédit en cours.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Élément (exercice 2025)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Montant (€)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Revenus locatifs encaissés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21 326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Charges déductibles décaissées (hors amortissements)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(6 426)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Cash-flow d'exploitation avant crédit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14 900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Mensualités du crédit en cours (12 mois)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(8 491)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Cash-flow net après crédit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≈ 6 400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Résultat fiscal (après amortissements)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i/>
          <w:iCs/>
          <w:sz w:val="18"/>
          <w:szCs w:val="18"/>
        </w:rPr>
        <w:t xml:space="preserve">Sources : Bilan de propriété Les Sapineaux 2025, déclaration 2042-Cpro, en pièces jointes.</w:t>
      </w:r>
    </w:p>
    <w:p>
      <w:r>
        <w:t xml:space="preserve"/>
      </w:r>
    </w:p>
    <w:p>
      <w:pPr>
        <w:pStyle w:val="Heading1"/>
      </w:pPr>
      <w:r>
        <w:t xml:space="preserve">4. Crédit immobilier en cours</w:t>
      </w:r>
    </w:p>
    <w:p>
      <w:r>
        <w:t xml:space="preserve">Un prêt immobilier a été contracté en octobre 2024 pour le financement de notre résidence actuelle. Les échéances sont honorées sans incident depuis l'origine.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Établissement prêteur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Crédit Agricole des Savoie (agence Bozel)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 de mise en place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octobre 2024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Montant initial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141 801 €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Taux nominal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3,47 % fixe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Durée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300 mois (25 ans)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Mensualité hors assurance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707,61 €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Capital restant dû (mai 2026)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≈ 135 998 €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Incidents de paiement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Aucun</w:t>
            </w:r>
          </w:p>
        </w:tc>
      </w:tr>
    </w:tbl>
    <w:p>
      <w:r>
        <w:t xml:space="preserve"/>
      </w:r>
    </w:p>
    <w:p>
      <w:r>
        <w:rPr>
          <w:i/>
          <w:iCs/>
          <w:sz w:val="18"/>
          <w:szCs w:val="18"/>
        </w:rPr>
        <w:t xml:space="preserve">Sources : Avis de réalisation et tableau d'amortissement du 29/10/2024 (en pièces jointes)</w:t>
      </w:r>
    </w:p>
    <w:p>
      <w:r>
        <w:br w:type="page"/>
      </w:r>
    </w:p>
    <w:p>
      <w:pPr>
        <w:pStyle w:val="Heading1"/>
      </w:pPr>
      <w:r>
        <w:t xml:space="preserve">5. Taux d'endettement actuel</w:t>
      </w:r>
    </w:p>
    <w:p>
      <w:r>
        <w:t xml:space="preserve">Le calcul ci-dessous est présenté à titre indicatif et sera affiné lors de l'instruction du dossier sur la base des bulletins de salaire à jour.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Élément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Montant mensuel (€)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Salaires nets imposables (moyenne 2024-2025) ÷ 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≈ 6 000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Salaires nets à payer estimés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≈ 6 200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Mensualité crédit en cours (avec assurance estimée)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≈ 740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9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Taux d'endettement actuel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9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≈ 12 %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Le taux d'endettement actuel est sensiblement inférieur au seuil HCSF de 35 %. La capacité d'emprunt complémentaire est ainsi préservée.</w:t>
      </w:r>
    </w:p>
    <w:p>
      <w:r>
        <w:t xml:space="preserve"/>
      </w:r>
    </w:p>
    <w:p>
      <w:pPr>
        <w:pStyle w:val="Heading1"/>
      </w:pPr>
      <w:r>
        <w:t xml:space="preserve">6. Objet de la demande</w:t>
      </w:r>
    </w:p>
    <w:p>
      <w:pPr>
        <w:pStyle w:val="Heading2"/>
      </w:pPr>
      <w:r>
        <w:t xml:space="preserve">Nature de la demande</w:t>
      </w:r>
    </w:p>
    <w:p>
      <w:r>
        <w:t xml:space="preserve">Nous sollicitons une simulation chiffrée de notre capacité d'emprunt afin d'orienter notre recherche d'un bien immobilier dans une enveloppe budgétaire réaliste. Cette simulation servira de base à notre projet d'acquisition à venir.</w:t>
      </w:r>
    </w:p>
    <w:p>
      <w:r>
        <w:t xml:space="preserve"/>
      </w:r>
    </w:p>
    <w:p>
      <w:pPr>
        <w:pStyle w:val="Heading2"/>
      </w:pPr>
      <w:r>
        <w:t xml:space="preserve">Apport personnel mobilisable</w:t>
      </w:r>
    </w:p>
    <w:p>
      <w:pPr>
        <w:pStyle w:val="ListParagraph"/>
        <w:numPr>
          <w:ilvl w:val="0"/>
          <w:numId w:val="2"/>
        </w:numPr>
      </w:pPr>
      <w:r>
        <w:t xml:space="preserve">Apport disponible : 30 000 €</w:t>
      </w:r>
    </w:p>
    <w:p>
      <w:pPr>
        <w:pStyle w:val="ListParagraph"/>
        <w:numPr>
          <w:ilvl w:val="0"/>
          <w:numId w:val="2"/>
        </w:numPr>
      </w:pPr>
      <w:r>
        <w:t xml:space="preserve">Origine : épargne du foyer et produit de cession d'un véhicule de collection</w:t>
      </w:r>
    </w:p>
    <w:p>
      <w:pPr>
        <w:pStyle w:val="ListParagraph"/>
        <w:numPr>
          <w:ilvl w:val="0"/>
          <w:numId w:val="2"/>
        </w:numPr>
      </w:pPr>
      <w:r>
        <w:t xml:space="preserve">Épargne résiduelle conservée après apport : valeurs mobilières et liquidités, soit une réserve de précaution adaptée</w:t>
      </w:r>
    </w:p>
    <w:p>
      <w:r>
        <w:t xml:space="preserve"/>
      </w:r>
    </w:p>
    <w:p>
      <w:pPr>
        <w:pStyle w:val="Heading2"/>
      </w:pPr>
      <w:r>
        <w:t xml:space="preserve">Éléments demandés</w:t>
      </w:r>
    </w:p>
    <w:p>
      <w:pPr>
        <w:pStyle w:val="ListParagraph"/>
        <w:numPr>
          <w:ilvl w:val="0"/>
          <w:numId w:val="2"/>
        </w:numPr>
      </w:pPr>
      <w:r>
        <w:t xml:space="preserve">Montant maximal d'emprunt envisageable dans le respect du seuil HCSF de 35 % d'endettement</w:t>
      </w:r>
    </w:p>
    <w:p>
      <w:pPr>
        <w:pStyle w:val="ListParagraph"/>
        <w:numPr>
          <w:ilvl w:val="0"/>
          <w:numId w:val="2"/>
        </w:numPr>
      </w:pPr>
      <w:r>
        <w:t xml:space="preserve">Plusieurs scénarios de durée (15 ans, 20 ans, 25 ans) avec mensualités correspondantes</w:t>
      </w:r>
    </w:p>
    <w:p>
      <w:pPr>
        <w:pStyle w:val="ListParagraph"/>
        <w:numPr>
          <w:ilvl w:val="0"/>
          <w:numId w:val="2"/>
        </w:numPr>
      </w:pPr>
      <w:r>
        <w:t xml:space="preserve">Taux indicatif applicable à notre profil et coût total du crédit</w:t>
      </w:r>
    </w:p>
    <w:p>
      <w:pPr>
        <w:pStyle w:val="ListParagraph"/>
        <w:numPr>
          <w:ilvl w:val="0"/>
          <w:numId w:val="2"/>
        </w:numPr>
      </w:pPr>
      <w:r>
        <w:t xml:space="preserve">Conditions associées : assurance emprunteur (avec étude de la délégation), garantie (caution mutuelle privilégiée), frais de dossier, modularité des échéances</w:t>
      </w:r>
    </w:p>
    <w:p>
      <w:pPr>
        <w:pStyle w:val="ListParagraph"/>
        <w:numPr>
          <w:ilvl w:val="0"/>
          <w:numId w:val="2"/>
        </w:numPr>
      </w:pPr>
      <w:r>
        <w:t xml:space="preserve">Méthode de prise en compte des revenus locatifs LMNP existants — application possible de la méthode différentielle au regard du cash-flow positif dégagé après le crédit en cours</w:t>
      </w:r>
    </w:p>
    <w:p>
      <w:r>
        <w:br w:type="page"/>
      </w:r>
    </w:p>
    <w:p>
      <w:pPr>
        <w:pStyle w:val="Heading1"/>
      </w:pPr>
      <w:r>
        <w:t xml:space="preserve">7. Synthèse — points forts du dossier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Couple marié, deux enfants à charge, foyer stable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Deux contrats à durée indéterminée signés sans période d'essai depuis le 1er décembre 2021 (4 ans et 5 mois d'ancienneté), chez deux entités juridiques distinctes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Activité salariée en station premium (Courchevel) — secteur touristique haut de gamme à activité économique pérenne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Propriétaires de la résidence actuelle, prêt en cours honoré sans incident depuis octobre 2024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Activité LMNP rentable et déclarée : cash-flow net positif d'environ 6 400 € par an après remboursement intégral du crédit existant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Taux d'endettement actuel d'environ 12 %, très en deçà du seuil HCSF de 35 %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 fiscale en règle : déclarations à jour (régime réel simplifié BIC pour LMNP, télétransmission), comptes bancaires déclarés selon les obligations en vigueur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Patrimoine financier diversifié (épargne bancaire, valeurs mobilières)</w:t>
      </w:r>
    </w:p>
    <w:p>
      <w:r>
        <w:t xml:space="preserve"/>
      </w:r>
    </w:p>
    <w:p>
      <w:r>
        <w:rPr>
          <w:i/>
          <w:iCs/>
        </w:rPr>
        <w:t xml:space="preserve">Nous restons à votre disposition pour examiner ensemble ce dossier et apporter toute précision utile.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UBERTALLI / SCHNEIDER — Dossier de financement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synthèse - Dossier de financement</dc:title>
  <dc:creator>UBERTALLI Sonny / SCHNEIDER Nina</dc:creator>
  <cp:lastModifiedBy>Un-named</cp:lastModifiedBy>
  <cp:revision>1</cp:revision>
  <dcterms:created xsi:type="dcterms:W3CDTF">2026-05-01T15:22:29.481Z</dcterms:created>
  <dcterms:modified xsi:type="dcterms:W3CDTF">2026-05-01T15:22:29.481Z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