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68142" w14:textId="77777777" w:rsidR="000F683A" w:rsidRDefault="000F683A" w:rsidP="000F683A">
      <w:pPr>
        <w:spacing w:line="480" w:lineRule="auto"/>
        <w:outlineLvl w:val="2"/>
        <w:rPr>
          <w:rFonts w:ascii="Times New Roman" w:eastAsia="Times New Roman" w:hAnsi="Times New Roman" w:cs="Times New Roman"/>
          <w:b/>
          <w:bCs/>
          <w:kern w:val="0"/>
          <w14:ligatures w14:val="none"/>
        </w:rPr>
      </w:pPr>
    </w:p>
    <w:p w14:paraId="13D86773" w14:textId="77777777" w:rsidR="000F683A" w:rsidRDefault="000F683A" w:rsidP="000F683A">
      <w:pPr>
        <w:spacing w:line="480" w:lineRule="auto"/>
        <w:outlineLvl w:val="2"/>
        <w:rPr>
          <w:rFonts w:ascii="Times New Roman" w:eastAsia="Times New Roman" w:hAnsi="Times New Roman" w:cs="Times New Roman"/>
          <w:b/>
          <w:bCs/>
          <w:kern w:val="0"/>
          <w14:ligatures w14:val="none"/>
        </w:rPr>
      </w:pPr>
    </w:p>
    <w:p w14:paraId="17504DB4" w14:textId="77777777" w:rsidR="000F683A" w:rsidRDefault="000F683A" w:rsidP="000F683A">
      <w:pPr>
        <w:spacing w:line="480" w:lineRule="auto"/>
        <w:outlineLvl w:val="2"/>
        <w:rPr>
          <w:rFonts w:ascii="Times New Roman" w:eastAsia="Times New Roman" w:hAnsi="Times New Roman" w:cs="Times New Roman"/>
          <w:b/>
          <w:bCs/>
          <w:kern w:val="0"/>
          <w14:ligatures w14:val="none"/>
        </w:rPr>
      </w:pPr>
    </w:p>
    <w:p w14:paraId="67BFB367" w14:textId="77777777" w:rsidR="000F683A" w:rsidRDefault="000F683A" w:rsidP="000F683A">
      <w:pPr>
        <w:spacing w:line="480" w:lineRule="auto"/>
        <w:outlineLvl w:val="2"/>
        <w:rPr>
          <w:rFonts w:ascii="Times New Roman" w:eastAsia="Times New Roman" w:hAnsi="Times New Roman" w:cs="Times New Roman"/>
          <w:b/>
          <w:bCs/>
          <w:kern w:val="0"/>
          <w14:ligatures w14:val="none"/>
        </w:rPr>
      </w:pPr>
    </w:p>
    <w:p w14:paraId="53CD92BE" w14:textId="77777777" w:rsidR="00E86830" w:rsidRDefault="00E86830" w:rsidP="000F683A">
      <w:pPr>
        <w:spacing w:line="480" w:lineRule="auto"/>
        <w:outlineLvl w:val="2"/>
      </w:pPr>
    </w:p>
    <w:p w14:paraId="199FC6B2" w14:textId="77777777" w:rsidR="00E86830" w:rsidRDefault="00E86830" w:rsidP="000F683A">
      <w:pPr>
        <w:spacing w:line="480" w:lineRule="auto"/>
        <w:outlineLvl w:val="2"/>
      </w:pPr>
    </w:p>
    <w:p w14:paraId="336D282A" w14:textId="11EA3680" w:rsidR="000F683A" w:rsidRPr="00E86830" w:rsidRDefault="00E86830" w:rsidP="000F683A">
      <w:pPr>
        <w:spacing w:line="480" w:lineRule="auto"/>
        <w:outlineLvl w:val="2"/>
        <w:rPr>
          <w:rFonts w:ascii="Times New Roman" w:eastAsia="Times New Roman" w:hAnsi="Times New Roman" w:cs="Times New Roman"/>
          <w:b/>
          <w:bCs/>
          <w:kern w:val="0"/>
          <w14:ligatures w14:val="none"/>
        </w:rPr>
      </w:pPr>
      <w:r w:rsidRPr="00E86830">
        <w:rPr>
          <w:rFonts w:ascii="Times New Roman" w:hAnsi="Times New Roman" w:cs="Times New Roman"/>
        </w:rPr>
        <w:t>PCI-DSS SAQ-D Compliance: A Section-by-Section Guide to Secure Payment Practices</w:t>
      </w:r>
    </w:p>
    <w:p w14:paraId="14D9CB1F" w14:textId="77777777" w:rsidR="000F683A" w:rsidRDefault="000F683A" w:rsidP="000F683A">
      <w:pPr>
        <w:spacing w:line="480" w:lineRule="auto"/>
        <w:outlineLvl w:val="2"/>
        <w:rPr>
          <w:rFonts w:ascii="Times New Roman" w:eastAsia="Times New Roman" w:hAnsi="Times New Roman" w:cs="Times New Roman"/>
          <w:b/>
          <w:bCs/>
          <w:kern w:val="0"/>
          <w14:ligatures w14:val="none"/>
        </w:rPr>
      </w:pPr>
    </w:p>
    <w:p w14:paraId="267050C7" w14:textId="77777777" w:rsidR="000F683A" w:rsidRDefault="000F683A" w:rsidP="000F683A">
      <w:pPr>
        <w:spacing w:line="480" w:lineRule="auto"/>
        <w:outlineLvl w:val="2"/>
        <w:rPr>
          <w:rFonts w:ascii="Times New Roman" w:eastAsia="Times New Roman" w:hAnsi="Times New Roman" w:cs="Times New Roman"/>
          <w:b/>
          <w:bCs/>
          <w:kern w:val="0"/>
          <w14:ligatures w14:val="none"/>
        </w:rPr>
      </w:pPr>
    </w:p>
    <w:p w14:paraId="146B3A4B" w14:textId="77777777" w:rsidR="000F683A" w:rsidRDefault="000F683A" w:rsidP="000F683A">
      <w:pPr>
        <w:spacing w:line="480" w:lineRule="auto"/>
        <w:outlineLvl w:val="2"/>
        <w:rPr>
          <w:rFonts w:ascii="Times New Roman" w:eastAsia="Times New Roman" w:hAnsi="Times New Roman" w:cs="Times New Roman"/>
          <w:b/>
          <w:bCs/>
          <w:kern w:val="0"/>
          <w14:ligatures w14:val="none"/>
        </w:rPr>
      </w:pPr>
    </w:p>
    <w:p w14:paraId="7A7FCDBA" w14:textId="77777777" w:rsidR="000F683A" w:rsidRDefault="000F683A" w:rsidP="000F683A">
      <w:pPr>
        <w:spacing w:line="480" w:lineRule="auto"/>
        <w:outlineLvl w:val="2"/>
        <w:rPr>
          <w:rFonts w:ascii="Times New Roman" w:eastAsia="Times New Roman" w:hAnsi="Times New Roman" w:cs="Times New Roman"/>
          <w:b/>
          <w:bCs/>
          <w:kern w:val="0"/>
          <w14:ligatures w14:val="none"/>
        </w:rPr>
      </w:pPr>
    </w:p>
    <w:p w14:paraId="046FC575" w14:textId="77777777" w:rsidR="000F683A" w:rsidRDefault="000F683A" w:rsidP="000F683A">
      <w:pPr>
        <w:spacing w:line="480" w:lineRule="auto"/>
        <w:outlineLvl w:val="2"/>
        <w:rPr>
          <w:rFonts w:ascii="Times New Roman" w:eastAsia="Times New Roman" w:hAnsi="Times New Roman" w:cs="Times New Roman"/>
          <w:b/>
          <w:bCs/>
          <w:kern w:val="0"/>
          <w14:ligatures w14:val="none"/>
        </w:rPr>
      </w:pPr>
    </w:p>
    <w:p w14:paraId="6EB7D89E" w14:textId="77777777" w:rsidR="000F683A" w:rsidRDefault="000F683A" w:rsidP="000F683A">
      <w:pPr>
        <w:spacing w:line="480" w:lineRule="auto"/>
        <w:outlineLvl w:val="2"/>
        <w:rPr>
          <w:rFonts w:ascii="Times New Roman" w:eastAsia="Times New Roman" w:hAnsi="Times New Roman" w:cs="Times New Roman"/>
          <w:b/>
          <w:bCs/>
          <w:kern w:val="0"/>
          <w14:ligatures w14:val="none"/>
        </w:rPr>
      </w:pPr>
    </w:p>
    <w:p w14:paraId="390C8118" w14:textId="77777777" w:rsidR="000F683A" w:rsidRDefault="000F683A" w:rsidP="000F683A">
      <w:pPr>
        <w:spacing w:line="480" w:lineRule="auto"/>
        <w:outlineLvl w:val="2"/>
        <w:rPr>
          <w:rFonts w:ascii="Times New Roman" w:eastAsia="Times New Roman" w:hAnsi="Times New Roman" w:cs="Times New Roman"/>
          <w:b/>
          <w:bCs/>
          <w:kern w:val="0"/>
          <w14:ligatures w14:val="none"/>
        </w:rPr>
      </w:pPr>
    </w:p>
    <w:p w14:paraId="244CE730" w14:textId="77777777" w:rsidR="000F683A" w:rsidRDefault="000F683A" w:rsidP="000F683A">
      <w:pPr>
        <w:spacing w:line="480" w:lineRule="auto"/>
        <w:outlineLvl w:val="2"/>
        <w:rPr>
          <w:rFonts w:ascii="Times New Roman" w:eastAsia="Times New Roman" w:hAnsi="Times New Roman" w:cs="Times New Roman"/>
          <w:b/>
          <w:bCs/>
          <w:kern w:val="0"/>
          <w14:ligatures w14:val="none"/>
        </w:rPr>
      </w:pPr>
    </w:p>
    <w:p w14:paraId="7C1C6E5C" w14:textId="77777777" w:rsidR="000F683A" w:rsidRDefault="000F683A" w:rsidP="000F683A">
      <w:pPr>
        <w:spacing w:line="480" w:lineRule="auto"/>
        <w:outlineLvl w:val="2"/>
        <w:rPr>
          <w:rFonts w:ascii="Times New Roman" w:eastAsia="Times New Roman" w:hAnsi="Times New Roman" w:cs="Times New Roman"/>
          <w:b/>
          <w:bCs/>
          <w:kern w:val="0"/>
          <w14:ligatures w14:val="none"/>
        </w:rPr>
      </w:pPr>
    </w:p>
    <w:p w14:paraId="6EA015E8" w14:textId="77777777" w:rsidR="000F683A" w:rsidRDefault="000F683A" w:rsidP="000F683A">
      <w:pPr>
        <w:spacing w:line="480" w:lineRule="auto"/>
        <w:outlineLvl w:val="2"/>
        <w:rPr>
          <w:rFonts w:ascii="Times New Roman" w:eastAsia="Times New Roman" w:hAnsi="Times New Roman" w:cs="Times New Roman"/>
          <w:b/>
          <w:bCs/>
          <w:kern w:val="0"/>
          <w14:ligatures w14:val="none"/>
        </w:rPr>
      </w:pPr>
    </w:p>
    <w:p w14:paraId="41DCA1C8" w14:textId="77777777" w:rsidR="000F683A" w:rsidRDefault="000F683A" w:rsidP="000F683A">
      <w:pPr>
        <w:spacing w:line="480" w:lineRule="auto"/>
        <w:rPr>
          <w:rFonts w:ascii="Times New Roman" w:eastAsia="Times New Roman" w:hAnsi="Times New Roman" w:cs="Times New Roman"/>
          <w:b/>
          <w:bCs/>
          <w:kern w:val="0"/>
          <w14:ligatures w14:val="none"/>
        </w:rPr>
      </w:pPr>
    </w:p>
    <w:p w14:paraId="3D455145" w14:textId="2CD9FD71" w:rsidR="000F683A" w:rsidRPr="002F34C4" w:rsidRDefault="000F683A" w:rsidP="000F683A">
      <w:pPr>
        <w:spacing w:line="480" w:lineRule="auto"/>
        <w:jc w:val="center"/>
        <w:rPr>
          <w:rFonts w:ascii="Times New Roman" w:hAnsi="Times New Roman" w:cs="Times New Roman"/>
        </w:rPr>
      </w:pPr>
      <w:r w:rsidRPr="002F34C4">
        <w:rPr>
          <w:rFonts w:ascii="Times New Roman" w:hAnsi="Times New Roman" w:cs="Times New Roman"/>
        </w:rPr>
        <w:t>Nelson Morales</w:t>
      </w:r>
    </w:p>
    <w:p w14:paraId="274B899A" w14:textId="77777777" w:rsidR="000F683A" w:rsidRPr="002F34C4" w:rsidRDefault="000F683A" w:rsidP="000F683A">
      <w:pPr>
        <w:spacing w:line="480" w:lineRule="auto"/>
        <w:jc w:val="center"/>
        <w:rPr>
          <w:rFonts w:ascii="Times New Roman" w:hAnsi="Times New Roman" w:cs="Times New Roman"/>
        </w:rPr>
      </w:pPr>
      <w:r w:rsidRPr="002F34C4">
        <w:rPr>
          <w:rFonts w:ascii="Times New Roman" w:hAnsi="Times New Roman" w:cs="Times New Roman"/>
        </w:rPr>
        <w:t>Purdue University Global</w:t>
      </w:r>
    </w:p>
    <w:p w14:paraId="17EAA201" w14:textId="144B7976" w:rsidR="000F683A" w:rsidRPr="002F34C4" w:rsidRDefault="000F683A" w:rsidP="000F683A">
      <w:pPr>
        <w:spacing w:line="480" w:lineRule="auto"/>
        <w:jc w:val="center"/>
        <w:rPr>
          <w:rFonts w:ascii="Times New Roman" w:hAnsi="Times New Roman" w:cs="Times New Roman"/>
        </w:rPr>
      </w:pPr>
      <w:r w:rsidRPr="002F34C4">
        <w:rPr>
          <w:rFonts w:ascii="Times New Roman" w:hAnsi="Times New Roman" w:cs="Times New Roman"/>
        </w:rPr>
        <w:t>NMorales _IT591_Unit</w:t>
      </w:r>
      <w:r>
        <w:rPr>
          <w:rFonts w:ascii="Times New Roman" w:hAnsi="Times New Roman" w:cs="Times New Roman"/>
        </w:rPr>
        <w:t>6</w:t>
      </w:r>
    </w:p>
    <w:p w14:paraId="1F55B7AA" w14:textId="77777777" w:rsidR="000F683A" w:rsidRPr="002F34C4" w:rsidRDefault="000F683A" w:rsidP="000F683A">
      <w:pPr>
        <w:spacing w:line="480" w:lineRule="auto"/>
        <w:jc w:val="center"/>
        <w:rPr>
          <w:rFonts w:ascii="Times New Roman" w:hAnsi="Times New Roman" w:cs="Times New Roman"/>
        </w:rPr>
      </w:pPr>
      <w:r w:rsidRPr="002F34C4">
        <w:rPr>
          <w:rFonts w:ascii="Times New Roman" w:hAnsi="Times New Roman" w:cs="Times New Roman"/>
        </w:rPr>
        <w:t>Prof. Young</w:t>
      </w:r>
    </w:p>
    <w:p w14:paraId="3673AA2F" w14:textId="4837454E" w:rsidR="000F683A" w:rsidRPr="002F34C4" w:rsidRDefault="000F683A" w:rsidP="000F683A">
      <w:pPr>
        <w:spacing w:line="480" w:lineRule="auto"/>
        <w:jc w:val="center"/>
        <w:rPr>
          <w:rFonts w:ascii="Times New Roman" w:hAnsi="Times New Roman" w:cs="Times New Roman"/>
        </w:rPr>
      </w:pPr>
      <w:r w:rsidRPr="002F34C4">
        <w:rPr>
          <w:rFonts w:ascii="Times New Roman" w:hAnsi="Times New Roman" w:cs="Times New Roman"/>
        </w:rPr>
        <w:t>January 1</w:t>
      </w:r>
      <w:r>
        <w:rPr>
          <w:rFonts w:ascii="Times New Roman" w:hAnsi="Times New Roman" w:cs="Times New Roman"/>
        </w:rPr>
        <w:t>7</w:t>
      </w:r>
      <w:r w:rsidRPr="002F34C4">
        <w:rPr>
          <w:rFonts w:ascii="Times New Roman" w:hAnsi="Times New Roman" w:cs="Times New Roman"/>
        </w:rPr>
        <w:t>, 2024</w:t>
      </w:r>
    </w:p>
    <w:p w14:paraId="17D4D3AF" w14:textId="77777777" w:rsidR="00353A1D" w:rsidRDefault="00353A1D" w:rsidP="00353A1D">
      <w:pPr>
        <w:pStyle w:val="NormalWeb"/>
      </w:pPr>
      <w:r>
        <w:rPr>
          <w:rStyle w:val="Strong"/>
          <w:rFonts w:eastAsiaTheme="majorEastAsia"/>
        </w:rPr>
        <w:lastRenderedPageBreak/>
        <w:t>Table of Contents</w:t>
      </w:r>
    </w:p>
    <w:p w14:paraId="5AC997A5" w14:textId="77777777" w:rsidR="00353A1D" w:rsidRDefault="00353A1D" w:rsidP="00353A1D">
      <w:pPr>
        <w:pStyle w:val="NormalWeb"/>
        <w:numPr>
          <w:ilvl w:val="0"/>
          <w:numId w:val="19"/>
        </w:numPr>
        <w:spacing w:line="360" w:lineRule="auto"/>
      </w:pPr>
      <w:r>
        <w:t>Abstract</w:t>
      </w:r>
    </w:p>
    <w:p w14:paraId="02CB8231" w14:textId="77777777" w:rsidR="00353A1D" w:rsidRDefault="00353A1D" w:rsidP="00353A1D">
      <w:pPr>
        <w:pStyle w:val="NormalWeb"/>
        <w:numPr>
          <w:ilvl w:val="0"/>
          <w:numId w:val="19"/>
        </w:numPr>
        <w:spacing w:line="360" w:lineRule="auto"/>
      </w:pPr>
      <w:r>
        <w:t>Introduction</w:t>
      </w:r>
    </w:p>
    <w:p w14:paraId="544E3ED5" w14:textId="77777777" w:rsidR="00353A1D" w:rsidRDefault="00353A1D" w:rsidP="00353A1D">
      <w:pPr>
        <w:pStyle w:val="NormalWeb"/>
        <w:numPr>
          <w:ilvl w:val="0"/>
          <w:numId w:val="19"/>
        </w:numPr>
        <w:spacing w:line="360" w:lineRule="auto"/>
      </w:pPr>
      <w:r>
        <w:t>Section 3: Safeguarding Stored Cardholder Data</w:t>
      </w:r>
    </w:p>
    <w:p w14:paraId="58CD5197" w14:textId="77777777" w:rsidR="00353A1D" w:rsidRDefault="00353A1D" w:rsidP="00353A1D">
      <w:pPr>
        <w:pStyle w:val="NormalWeb"/>
        <w:numPr>
          <w:ilvl w:val="1"/>
          <w:numId w:val="19"/>
        </w:numPr>
        <w:spacing w:line="360" w:lineRule="auto"/>
      </w:pPr>
      <w:r>
        <w:t>Ensuring Data Protection</w:t>
      </w:r>
    </w:p>
    <w:p w14:paraId="57BFE106" w14:textId="77777777" w:rsidR="00353A1D" w:rsidRDefault="00353A1D" w:rsidP="00353A1D">
      <w:pPr>
        <w:pStyle w:val="NormalWeb"/>
        <w:numPr>
          <w:ilvl w:val="1"/>
          <w:numId w:val="19"/>
        </w:numPr>
        <w:spacing w:line="360" w:lineRule="auto"/>
      </w:pPr>
      <w:r>
        <w:t>Secure Cryptographic Key Management</w:t>
      </w:r>
    </w:p>
    <w:p w14:paraId="772894D8" w14:textId="77777777" w:rsidR="00353A1D" w:rsidRDefault="00353A1D" w:rsidP="00353A1D">
      <w:pPr>
        <w:pStyle w:val="NormalWeb"/>
        <w:numPr>
          <w:ilvl w:val="1"/>
          <w:numId w:val="19"/>
        </w:numPr>
        <w:spacing w:line="360" w:lineRule="auto"/>
      </w:pPr>
      <w:r>
        <w:t>Implementing Encryption, Truncation, and Tokenization</w:t>
      </w:r>
    </w:p>
    <w:p w14:paraId="6AE3115C" w14:textId="77777777" w:rsidR="00353A1D" w:rsidRDefault="00353A1D" w:rsidP="00353A1D">
      <w:pPr>
        <w:pStyle w:val="NormalWeb"/>
        <w:numPr>
          <w:ilvl w:val="1"/>
          <w:numId w:val="19"/>
        </w:numPr>
        <w:spacing w:line="360" w:lineRule="auto"/>
      </w:pPr>
      <w:r>
        <w:t>Continuous Monitoring and Audits</w:t>
      </w:r>
    </w:p>
    <w:p w14:paraId="241DF008" w14:textId="77777777" w:rsidR="00353A1D" w:rsidRDefault="00353A1D" w:rsidP="00353A1D">
      <w:pPr>
        <w:pStyle w:val="NormalWeb"/>
        <w:numPr>
          <w:ilvl w:val="0"/>
          <w:numId w:val="19"/>
        </w:numPr>
        <w:spacing w:line="360" w:lineRule="auto"/>
      </w:pPr>
      <w:r>
        <w:t>Section 8: Managing System Access through Identification and Authentication</w:t>
      </w:r>
    </w:p>
    <w:p w14:paraId="2B8E3541" w14:textId="77777777" w:rsidR="00353A1D" w:rsidRDefault="00353A1D" w:rsidP="00353A1D">
      <w:pPr>
        <w:pStyle w:val="NormalWeb"/>
        <w:numPr>
          <w:ilvl w:val="1"/>
          <w:numId w:val="19"/>
        </w:numPr>
        <w:spacing w:line="360" w:lineRule="auto"/>
      </w:pPr>
      <w:r>
        <w:t>Unique User Identification</w:t>
      </w:r>
    </w:p>
    <w:p w14:paraId="099DC9FF" w14:textId="77777777" w:rsidR="00353A1D" w:rsidRDefault="00353A1D" w:rsidP="00353A1D">
      <w:pPr>
        <w:pStyle w:val="NormalWeb"/>
        <w:numPr>
          <w:ilvl w:val="1"/>
          <w:numId w:val="19"/>
        </w:numPr>
        <w:spacing w:line="360" w:lineRule="auto"/>
      </w:pPr>
      <w:r>
        <w:t>Two-Factor Authentication Implementation</w:t>
      </w:r>
    </w:p>
    <w:p w14:paraId="055AE4C7" w14:textId="77777777" w:rsidR="00353A1D" w:rsidRDefault="00353A1D" w:rsidP="00353A1D">
      <w:pPr>
        <w:pStyle w:val="NormalWeb"/>
        <w:numPr>
          <w:ilvl w:val="1"/>
          <w:numId w:val="19"/>
        </w:numPr>
        <w:spacing w:line="360" w:lineRule="auto"/>
      </w:pPr>
      <w:r>
        <w:t>Account Lockout Mechanisms</w:t>
      </w:r>
    </w:p>
    <w:p w14:paraId="0B074F0F" w14:textId="77777777" w:rsidR="00353A1D" w:rsidRDefault="00353A1D" w:rsidP="00353A1D">
      <w:pPr>
        <w:pStyle w:val="NormalWeb"/>
        <w:numPr>
          <w:ilvl w:val="1"/>
          <w:numId w:val="19"/>
        </w:numPr>
        <w:spacing w:line="360" w:lineRule="auto"/>
      </w:pPr>
      <w:r>
        <w:t>Periodic Access Reviews</w:t>
      </w:r>
    </w:p>
    <w:p w14:paraId="32709EBC" w14:textId="77777777" w:rsidR="00353A1D" w:rsidRDefault="00353A1D" w:rsidP="00353A1D">
      <w:pPr>
        <w:pStyle w:val="NormalWeb"/>
        <w:numPr>
          <w:ilvl w:val="0"/>
          <w:numId w:val="19"/>
        </w:numPr>
        <w:spacing w:line="360" w:lineRule="auto"/>
      </w:pPr>
      <w:r>
        <w:t>Section 9: Controlling Physical Access to Cardholder Data</w:t>
      </w:r>
    </w:p>
    <w:p w14:paraId="25865330" w14:textId="77777777" w:rsidR="00353A1D" w:rsidRDefault="00353A1D" w:rsidP="00353A1D">
      <w:pPr>
        <w:pStyle w:val="NormalWeb"/>
        <w:numPr>
          <w:ilvl w:val="1"/>
          <w:numId w:val="19"/>
        </w:numPr>
        <w:spacing w:line="360" w:lineRule="auto"/>
      </w:pPr>
      <w:r>
        <w:t>Physical Access Controls</w:t>
      </w:r>
    </w:p>
    <w:p w14:paraId="2D321774" w14:textId="77777777" w:rsidR="00353A1D" w:rsidRDefault="00353A1D" w:rsidP="00353A1D">
      <w:pPr>
        <w:pStyle w:val="NormalWeb"/>
        <w:numPr>
          <w:ilvl w:val="1"/>
          <w:numId w:val="19"/>
        </w:numPr>
        <w:spacing w:line="360" w:lineRule="auto"/>
      </w:pPr>
      <w:r>
        <w:t>Secure Media Backup Storage</w:t>
      </w:r>
    </w:p>
    <w:p w14:paraId="75BA8DC3" w14:textId="77777777" w:rsidR="00353A1D" w:rsidRDefault="00353A1D" w:rsidP="00353A1D">
      <w:pPr>
        <w:pStyle w:val="NormalWeb"/>
        <w:numPr>
          <w:ilvl w:val="1"/>
          <w:numId w:val="19"/>
        </w:numPr>
        <w:spacing w:line="360" w:lineRule="auto"/>
      </w:pPr>
      <w:r>
        <w:t>Visitor Authorization and Escort Procedures</w:t>
      </w:r>
    </w:p>
    <w:p w14:paraId="10DD5CC4" w14:textId="77777777" w:rsidR="00353A1D" w:rsidRDefault="00353A1D" w:rsidP="00353A1D">
      <w:pPr>
        <w:pStyle w:val="NormalWeb"/>
        <w:numPr>
          <w:ilvl w:val="1"/>
          <w:numId w:val="19"/>
        </w:numPr>
        <w:spacing w:line="360" w:lineRule="auto"/>
      </w:pPr>
      <w:r>
        <w:t>Physical Security Audits</w:t>
      </w:r>
    </w:p>
    <w:p w14:paraId="173C8679" w14:textId="77777777" w:rsidR="00353A1D" w:rsidRDefault="00353A1D" w:rsidP="00353A1D">
      <w:pPr>
        <w:pStyle w:val="NormalWeb"/>
        <w:numPr>
          <w:ilvl w:val="0"/>
          <w:numId w:val="19"/>
        </w:numPr>
        <w:spacing w:line="360" w:lineRule="auto"/>
      </w:pPr>
      <w:r>
        <w:t>Section 10: Monitoring and Tracking Access to Data and Network Resources</w:t>
      </w:r>
    </w:p>
    <w:p w14:paraId="07FF9D70" w14:textId="77777777" w:rsidR="00353A1D" w:rsidRDefault="00353A1D" w:rsidP="00353A1D">
      <w:pPr>
        <w:pStyle w:val="NormalWeb"/>
        <w:numPr>
          <w:ilvl w:val="1"/>
          <w:numId w:val="19"/>
        </w:numPr>
        <w:spacing w:line="360" w:lineRule="auto"/>
      </w:pPr>
      <w:r>
        <w:t>Logging Access Attempts</w:t>
      </w:r>
    </w:p>
    <w:p w14:paraId="74477E1E" w14:textId="77777777" w:rsidR="00353A1D" w:rsidRDefault="00353A1D" w:rsidP="00353A1D">
      <w:pPr>
        <w:pStyle w:val="NormalWeb"/>
        <w:numPr>
          <w:ilvl w:val="1"/>
          <w:numId w:val="19"/>
        </w:numPr>
        <w:spacing w:line="360" w:lineRule="auto"/>
      </w:pPr>
      <w:r>
        <w:t>Periodic Log Reviews and Data Retention</w:t>
      </w:r>
    </w:p>
    <w:p w14:paraId="75BE3A15" w14:textId="77777777" w:rsidR="00353A1D" w:rsidRDefault="00353A1D" w:rsidP="00353A1D">
      <w:pPr>
        <w:pStyle w:val="NormalWeb"/>
        <w:numPr>
          <w:ilvl w:val="1"/>
          <w:numId w:val="19"/>
        </w:numPr>
        <w:spacing w:line="360" w:lineRule="auto"/>
      </w:pPr>
      <w:r>
        <w:t>Audit Log Protection</w:t>
      </w:r>
    </w:p>
    <w:p w14:paraId="1DC73B21" w14:textId="77777777" w:rsidR="00353A1D" w:rsidRDefault="00353A1D" w:rsidP="00353A1D">
      <w:pPr>
        <w:pStyle w:val="NormalWeb"/>
        <w:numPr>
          <w:ilvl w:val="1"/>
          <w:numId w:val="19"/>
        </w:numPr>
        <w:spacing w:line="360" w:lineRule="auto"/>
      </w:pPr>
      <w:r>
        <w:t>Automated Monitoring Solutions</w:t>
      </w:r>
    </w:p>
    <w:p w14:paraId="7F34326F" w14:textId="77777777" w:rsidR="00353A1D" w:rsidRDefault="00353A1D" w:rsidP="00353A1D">
      <w:pPr>
        <w:pStyle w:val="NormalWeb"/>
        <w:numPr>
          <w:ilvl w:val="0"/>
          <w:numId w:val="19"/>
        </w:numPr>
        <w:spacing w:line="360" w:lineRule="auto"/>
      </w:pPr>
      <w:r>
        <w:t>Conclusion</w:t>
      </w:r>
    </w:p>
    <w:p w14:paraId="107FB72D" w14:textId="77777777" w:rsidR="00353A1D" w:rsidRDefault="00353A1D" w:rsidP="00353A1D">
      <w:pPr>
        <w:pStyle w:val="NormalWeb"/>
        <w:numPr>
          <w:ilvl w:val="0"/>
          <w:numId w:val="19"/>
        </w:numPr>
        <w:spacing w:line="360" w:lineRule="auto"/>
      </w:pPr>
      <w:r>
        <w:t>References</w:t>
      </w:r>
    </w:p>
    <w:p w14:paraId="345C3806" w14:textId="77777777" w:rsidR="00353A1D" w:rsidRDefault="00353A1D" w:rsidP="00353A1D">
      <w:pPr>
        <w:pStyle w:val="NormalWeb"/>
        <w:spacing w:line="480" w:lineRule="auto"/>
        <w:rPr>
          <w:rStyle w:val="Strong"/>
          <w:rFonts w:eastAsiaTheme="majorEastAsia"/>
        </w:rPr>
      </w:pPr>
    </w:p>
    <w:p w14:paraId="72BB2004" w14:textId="77777777" w:rsidR="00353A1D" w:rsidRDefault="00353A1D" w:rsidP="00353A1D">
      <w:pPr>
        <w:pStyle w:val="NormalWeb"/>
        <w:spacing w:line="480" w:lineRule="auto"/>
        <w:rPr>
          <w:rStyle w:val="Strong"/>
          <w:rFonts w:eastAsiaTheme="majorEastAsia"/>
        </w:rPr>
      </w:pPr>
    </w:p>
    <w:p w14:paraId="1D143A38" w14:textId="77777777" w:rsidR="00353A1D" w:rsidRDefault="00353A1D" w:rsidP="00353A1D">
      <w:pPr>
        <w:pStyle w:val="NormalWeb"/>
        <w:spacing w:line="480" w:lineRule="auto"/>
        <w:rPr>
          <w:rStyle w:val="Strong"/>
          <w:rFonts w:eastAsiaTheme="majorEastAsia"/>
        </w:rPr>
      </w:pPr>
    </w:p>
    <w:p w14:paraId="690F45C9" w14:textId="09F52835" w:rsidR="00353A1D" w:rsidRDefault="00353A1D" w:rsidP="00353A1D">
      <w:pPr>
        <w:pStyle w:val="NormalWeb"/>
        <w:spacing w:line="480" w:lineRule="auto"/>
      </w:pPr>
      <w:r>
        <w:rPr>
          <w:rStyle w:val="Strong"/>
          <w:rFonts w:eastAsiaTheme="majorEastAsia"/>
        </w:rPr>
        <w:lastRenderedPageBreak/>
        <w:t>Abstract</w:t>
      </w:r>
      <w:r>
        <w:t xml:space="preserve"> </w:t>
      </w:r>
    </w:p>
    <w:p w14:paraId="3007C2A5" w14:textId="2F68F86D" w:rsidR="00353A1D" w:rsidRDefault="00353A1D" w:rsidP="00353A1D">
      <w:pPr>
        <w:pStyle w:val="NormalWeb"/>
        <w:spacing w:line="480" w:lineRule="auto"/>
      </w:pPr>
      <w:r>
        <w:t>The Payment Card Industry Data Security Standard (PCI-DSS) is a comprehensive framework developed to ensure the security of payment card information. Organizations that process, store, or transmit cardholder data are required to adhere to these standards. Among the self-assessment options available, the Self-Assessment Questionnaire D (SAQ-D) is one of the most detailed, catering to businesses with intricate data management processes. This document explores four primary sections of SAQ-D: securing stored cardholder data (Section 3), managing access to system components (Section 8), controlling physical access to sensitive areas (Section 9), and monitoring access to network resources (Section 10). Each section covers essential security measures such as encryption, authentication controls, physical safeguards, and logging mechanisms. Achieving compliance requires ongoing security investments, regular audits, and proactive threat management.</w:t>
      </w:r>
    </w:p>
    <w:p w14:paraId="7B0E92D0" w14:textId="77777777" w:rsidR="00353A1D" w:rsidRDefault="00353A1D" w:rsidP="00353A1D">
      <w:pPr>
        <w:pStyle w:val="NormalWeb"/>
        <w:spacing w:line="480" w:lineRule="auto"/>
        <w:rPr>
          <w:rStyle w:val="Strong"/>
          <w:rFonts w:eastAsiaTheme="majorEastAsia"/>
        </w:rPr>
      </w:pPr>
    </w:p>
    <w:p w14:paraId="537F983B" w14:textId="77777777" w:rsidR="00353A1D" w:rsidRDefault="00353A1D" w:rsidP="00353A1D">
      <w:pPr>
        <w:pStyle w:val="NormalWeb"/>
        <w:spacing w:line="480" w:lineRule="auto"/>
        <w:rPr>
          <w:rStyle w:val="Strong"/>
          <w:rFonts w:eastAsiaTheme="majorEastAsia"/>
        </w:rPr>
      </w:pPr>
    </w:p>
    <w:p w14:paraId="5476F62B" w14:textId="77777777" w:rsidR="00353A1D" w:rsidRDefault="00353A1D" w:rsidP="00353A1D">
      <w:pPr>
        <w:pStyle w:val="NormalWeb"/>
        <w:spacing w:line="480" w:lineRule="auto"/>
        <w:rPr>
          <w:rStyle w:val="Strong"/>
          <w:rFonts w:eastAsiaTheme="majorEastAsia"/>
        </w:rPr>
      </w:pPr>
    </w:p>
    <w:p w14:paraId="015876BA" w14:textId="77777777" w:rsidR="00353A1D" w:rsidRDefault="00353A1D" w:rsidP="00353A1D">
      <w:pPr>
        <w:pStyle w:val="NormalWeb"/>
        <w:spacing w:line="480" w:lineRule="auto"/>
        <w:rPr>
          <w:rStyle w:val="Strong"/>
          <w:rFonts w:eastAsiaTheme="majorEastAsia"/>
        </w:rPr>
      </w:pPr>
    </w:p>
    <w:p w14:paraId="66C6244E" w14:textId="77777777" w:rsidR="00353A1D" w:rsidRDefault="00353A1D" w:rsidP="00353A1D">
      <w:pPr>
        <w:pStyle w:val="NormalWeb"/>
        <w:spacing w:line="480" w:lineRule="auto"/>
        <w:rPr>
          <w:rStyle w:val="Strong"/>
          <w:rFonts w:eastAsiaTheme="majorEastAsia"/>
        </w:rPr>
      </w:pPr>
    </w:p>
    <w:p w14:paraId="71A7E797" w14:textId="77777777" w:rsidR="00353A1D" w:rsidRDefault="00353A1D" w:rsidP="00353A1D">
      <w:pPr>
        <w:pStyle w:val="NormalWeb"/>
        <w:spacing w:line="480" w:lineRule="auto"/>
        <w:rPr>
          <w:rStyle w:val="Strong"/>
          <w:rFonts w:eastAsiaTheme="majorEastAsia"/>
        </w:rPr>
      </w:pPr>
    </w:p>
    <w:p w14:paraId="48F5F346" w14:textId="77777777" w:rsidR="00353A1D" w:rsidRDefault="00353A1D" w:rsidP="00353A1D">
      <w:pPr>
        <w:pStyle w:val="NormalWeb"/>
        <w:spacing w:line="480" w:lineRule="auto"/>
        <w:rPr>
          <w:rStyle w:val="Strong"/>
          <w:rFonts w:eastAsiaTheme="majorEastAsia"/>
        </w:rPr>
      </w:pPr>
    </w:p>
    <w:p w14:paraId="62EAC9EC" w14:textId="65AC6221" w:rsidR="00353A1D" w:rsidRDefault="00353A1D" w:rsidP="00DE7AA2">
      <w:pPr>
        <w:pStyle w:val="NormalWeb"/>
        <w:spacing w:line="480" w:lineRule="auto"/>
        <w:jc w:val="center"/>
      </w:pPr>
      <w:r>
        <w:rPr>
          <w:rStyle w:val="Strong"/>
          <w:rFonts w:eastAsiaTheme="majorEastAsia"/>
        </w:rPr>
        <w:lastRenderedPageBreak/>
        <w:t>Introduction</w:t>
      </w:r>
    </w:p>
    <w:p w14:paraId="7F91A3A2" w14:textId="77777777" w:rsidR="00C638D0" w:rsidRDefault="00C638D0" w:rsidP="00C638D0">
      <w:pPr>
        <w:pStyle w:val="NormalWeb"/>
        <w:spacing w:line="480" w:lineRule="auto"/>
      </w:pPr>
      <w:r>
        <w:t>The Payment Card Industry Data Security Standard (PCI-DSS) offers a comprehensive framework aimed at safeguarding payment card data against unauthorized access and potential breaches. Compliance with PCI-DSS is essential for businesses that process, store, or transmit cardholder information to ensure that sensitive financial data is protected throughout its lifecycle. The standard encompasses a wide array of security measures designed to address technical, operational, and procedural vulnerabilities within an organization's payment infrastructure.</w:t>
      </w:r>
    </w:p>
    <w:p w14:paraId="113F778A" w14:textId="77777777" w:rsidR="00C638D0" w:rsidRDefault="00C638D0" w:rsidP="00C638D0">
      <w:pPr>
        <w:pStyle w:val="NormalWeb"/>
        <w:spacing w:line="480" w:lineRule="auto"/>
      </w:pPr>
      <w:r>
        <w:t>The Self-Assessment Questionnaire D (SAQ-D) serves as a vital compliance tool for businesses with complex payment processing environments. It provides a structured methodology to assess an organization's adherence to PCI-DSS requirements, covering various aspects such as encryption, authentication, and access control. The SAQ-D assessment is particularly relevant for entities that handle a significant volume of payment transactions or operate within an intricate IT ecosystem that includes multiple touchpoints for cardholder data.</w:t>
      </w:r>
    </w:p>
    <w:p w14:paraId="4AD99C02" w14:textId="77777777" w:rsidR="00C638D0" w:rsidRDefault="00C638D0" w:rsidP="00C638D0">
      <w:pPr>
        <w:pStyle w:val="NormalWeb"/>
        <w:spacing w:line="480" w:lineRule="auto"/>
      </w:pPr>
      <w:r>
        <w:t>Achieving compliance with PCI-DSS through the SAQ-D assessment requires a holistic approach that integrates security best practices across all operational levels. This includes the implementation of robust data protection measures, stringent access control policies, effective physical security protocols, and continuous monitoring to detect and respond to security threats. Businesses must also establish clear governance structures and training programs to ensure all employees are aware of their roles in maintaining compliance.</w:t>
      </w:r>
    </w:p>
    <w:p w14:paraId="34C30BAF" w14:textId="204D1B47" w:rsidR="00353A1D" w:rsidRPr="00C638D0" w:rsidRDefault="00C638D0" w:rsidP="00C638D0">
      <w:pPr>
        <w:pStyle w:val="NormalWeb"/>
        <w:spacing w:line="480" w:lineRule="auto"/>
      </w:pPr>
      <w:r>
        <w:t xml:space="preserve">Furthermore, compliance with PCI-DSS is not a one-time effort but an ongoing commitment that necessitates regular assessments and updates in response to evolving cyber threats and regulatory </w:t>
      </w:r>
      <w:r>
        <w:lastRenderedPageBreak/>
        <w:t xml:space="preserve">changes. Organizations must remain vigilant by conducting periodic risk evaluations and adapting their security strategies to address emerging challenges </w:t>
      </w:r>
      <w:r w:rsidR="00353A1D">
        <w:t>(PCI Security Standards Council, 2024).</w:t>
      </w:r>
    </w:p>
    <w:p w14:paraId="39A406F3" w14:textId="77777777" w:rsidR="00353A1D" w:rsidRDefault="00353A1D" w:rsidP="00DE7AA2">
      <w:pPr>
        <w:pStyle w:val="NormalWeb"/>
        <w:spacing w:line="480" w:lineRule="auto"/>
        <w:jc w:val="center"/>
      </w:pPr>
      <w:r>
        <w:rPr>
          <w:rStyle w:val="Strong"/>
          <w:rFonts w:eastAsiaTheme="majorEastAsia"/>
        </w:rPr>
        <w:t>Section 3: Safeguarding Stored Cardholder Data</w:t>
      </w:r>
    </w:p>
    <w:p w14:paraId="64AB71F7" w14:textId="77777777" w:rsidR="00353A1D" w:rsidRDefault="00353A1D" w:rsidP="00353A1D">
      <w:pPr>
        <w:pStyle w:val="NormalWeb"/>
        <w:spacing w:line="480" w:lineRule="auto"/>
      </w:pPr>
      <w:r>
        <w:t>This section emphasizes the critical importance of securing stored payment card data to prevent unauthorized access and misuse. Proper safeguards help mitigate fraud risks and regulatory penalties. Essential measures include encryption, tokenization, and truncation to protect sensitive information (PCI Security Standards Council, 2024).</w:t>
      </w:r>
    </w:p>
    <w:p w14:paraId="203FFAD5" w14:textId="77777777" w:rsidR="00353A1D" w:rsidRDefault="00353A1D" w:rsidP="00353A1D">
      <w:pPr>
        <w:pStyle w:val="NormalWeb"/>
        <w:spacing w:line="480" w:lineRule="auto"/>
      </w:pPr>
      <w:r>
        <w:t>Key considerations include:</w:t>
      </w:r>
    </w:p>
    <w:p w14:paraId="518678A5" w14:textId="77777777" w:rsidR="00353A1D" w:rsidRDefault="00353A1D" w:rsidP="00353A1D">
      <w:pPr>
        <w:pStyle w:val="NormalWeb"/>
        <w:numPr>
          <w:ilvl w:val="0"/>
          <w:numId w:val="24"/>
        </w:numPr>
        <w:spacing w:line="480" w:lineRule="auto"/>
      </w:pPr>
      <w:r>
        <w:t>Prohibiting the storage of sensitive authentication data after authorization.</w:t>
      </w:r>
    </w:p>
    <w:p w14:paraId="2ECF45C8" w14:textId="77777777" w:rsidR="00353A1D" w:rsidRDefault="00353A1D" w:rsidP="00353A1D">
      <w:pPr>
        <w:pStyle w:val="NormalWeb"/>
        <w:numPr>
          <w:ilvl w:val="0"/>
          <w:numId w:val="24"/>
        </w:numPr>
        <w:spacing w:line="480" w:lineRule="auto"/>
      </w:pPr>
      <w:r>
        <w:t>Implementing secure storage solutions with restricted access to cryptographic keys.</w:t>
      </w:r>
    </w:p>
    <w:p w14:paraId="60B4DC73" w14:textId="77777777" w:rsidR="00353A1D" w:rsidRDefault="00353A1D" w:rsidP="00353A1D">
      <w:pPr>
        <w:pStyle w:val="NormalWeb"/>
        <w:numPr>
          <w:ilvl w:val="0"/>
          <w:numId w:val="24"/>
        </w:numPr>
        <w:spacing w:line="480" w:lineRule="auto"/>
      </w:pPr>
      <w:r>
        <w:t>Employing encryption techniques to ensure stored data remains unreadable.</w:t>
      </w:r>
    </w:p>
    <w:p w14:paraId="157A1CF8" w14:textId="77777777" w:rsidR="00353A1D" w:rsidRDefault="00353A1D" w:rsidP="00353A1D">
      <w:pPr>
        <w:pStyle w:val="NormalWeb"/>
        <w:numPr>
          <w:ilvl w:val="0"/>
          <w:numId w:val="24"/>
        </w:numPr>
        <w:spacing w:line="480" w:lineRule="auto"/>
      </w:pPr>
      <w:r>
        <w:t>Establishing data retention policies that outline how long specific data must be kept before secure disposal.</w:t>
      </w:r>
    </w:p>
    <w:p w14:paraId="08B60CDF" w14:textId="77777777" w:rsidR="00353A1D" w:rsidRDefault="00353A1D" w:rsidP="00353A1D">
      <w:pPr>
        <w:pStyle w:val="NormalWeb"/>
        <w:numPr>
          <w:ilvl w:val="0"/>
          <w:numId w:val="24"/>
        </w:numPr>
        <w:spacing w:line="480" w:lineRule="auto"/>
      </w:pPr>
      <w:r>
        <w:t>Conducting periodic risk assessments to identify vulnerabilities related to stored data.</w:t>
      </w:r>
    </w:p>
    <w:p w14:paraId="4B187205" w14:textId="77777777" w:rsidR="00353A1D" w:rsidRDefault="00353A1D" w:rsidP="00353A1D">
      <w:pPr>
        <w:pStyle w:val="NormalWeb"/>
        <w:spacing w:line="480" w:lineRule="auto"/>
      </w:pPr>
      <w:r>
        <w:t>Organizations should also perform routine audits and implement monitoring mechanisms to detect potential security breaches.</w:t>
      </w:r>
    </w:p>
    <w:p w14:paraId="03DB0DB3" w14:textId="77777777" w:rsidR="00353A1D" w:rsidRDefault="00353A1D" w:rsidP="00DE7AA2">
      <w:pPr>
        <w:pStyle w:val="NormalWeb"/>
        <w:spacing w:line="480" w:lineRule="auto"/>
        <w:jc w:val="center"/>
      </w:pPr>
      <w:r>
        <w:rPr>
          <w:rStyle w:val="Strong"/>
          <w:rFonts w:eastAsiaTheme="majorEastAsia"/>
        </w:rPr>
        <w:t>Section 8: Managing System Access through Identification and Authentication</w:t>
      </w:r>
    </w:p>
    <w:p w14:paraId="05A94461" w14:textId="77777777" w:rsidR="00353A1D" w:rsidRDefault="00353A1D" w:rsidP="00353A1D">
      <w:pPr>
        <w:pStyle w:val="NormalWeb"/>
        <w:spacing w:line="480" w:lineRule="auto"/>
      </w:pPr>
      <w:r>
        <w:t xml:space="preserve">This section mandates strong access control mechanisms to ensure only authorized personnel have access to systems managing cardholder data. Unique identifiers and multi-factor </w:t>
      </w:r>
      <w:r>
        <w:lastRenderedPageBreak/>
        <w:t>authentication techniques enhance security and accountability (PCI Security Standards Council, 2024).</w:t>
      </w:r>
    </w:p>
    <w:p w14:paraId="49B0E121" w14:textId="77777777" w:rsidR="00353A1D" w:rsidRDefault="00353A1D" w:rsidP="00353A1D">
      <w:pPr>
        <w:pStyle w:val="NormalWeb"/>
        <w:spacing w:line="480" w:lineRule="auto"/>
      </w:pPr>
      <w:r>
        <w:t>Key compliance factors include:</w:t>
      </w:r>
    </w:p>
    <w:p w14:paraId="21B9890E" w14:textId="77777777" w:rsidR="00353A1D" w:rsidRDefault="00353A1D" w:rsidP="00353A1D">
      <w:pPr>
        <w:pStyle w:val="NormalWeb"/>
        <w:numPr>
          <w:ilvl w:val="0"/>
          <w:numId w:val="25"/>
        </w:numPr>
        <w:spacing w:line="480" w:lineRule="auto"/>
      </w:pPr>
      <w:r>
        <w:t>Assigning unique user IDs to enable traceability.</w:t>
      </w:r>
    </w:p>
    <w:p w14:paraId="65CB9E4C" w14:textId="77777777" w:rsidR="00353A1D" w:rsidRDefault="00353A1D" w:rsidP="00353A1D">
      <w:pPr>
        <w:pStyle w:val="NormalWeb"/>
        <w:numPr>
          <w:ilvl w:val="0"/>
          <w:numId w:val="25"/>
        </w:numPr>
        <w:spacing w:line="480" w:lineRule="auto"/>
      </w:pPr>
      <w:r>
        <w:t>Enforcing two-factor authentication (2FA) for remote access.</w:t>
      </w:r>
    </w:p>
    <w:p w14:paraId="4F84BD00" w14:textId="77777777" w:rsidR="00353A1D" w:rsidRDefault="00353A1D" w:rsidP="00353A1D">
      <w:pPr>
        <w:pStyle w:val="NormalWeb"/>
        <w:numPr>
          <w:ilvl w:val="0"/>
          <w:numId w:val="25"/>
        </w:numPr>
        <w:spacing w:line="480" w:lineRule="auto"/>
      </w:pPr>
      <w:r>
        <w:t>Implementing account lockout policies after repeated failed login attempts.</w:t>
      </w:r>
    </w:p>
    <w:p w14:paraId="3253785A" w14:textId="77777777" w:rsidR="00353A1D" w:rsidRDefault="00353A1D" w:rsidP="00353A1D">
      <w:pPr>
        <w:pStyle w:val="NormalWeb"/>
        <w:numPr>
          <w:ilvl w:val="0"/>
          <w:numId w:val="25"/>
        </w:numPr>
        <w:spacing w:line="480" w:lineRule="auto"/>
      </w:pPr>
      <w:r>
        <w:t>Regular password changes and implementing strong password policies.</w:t>
      </w:r>
    </w:p>
    <w:p w14:paraId="473CD5E2" w14:textId="77777777" w:rsidR="00353A1D" w:rsidRDefault="00353A1D" w:rsidP="00353A1D">
      <w:pPr>
        <w:pStyle w:val="NormalWeb"/>
        <w:numPr>
          <w:ilvl w:val="0"/>
          <w:numId w:val="25"/>
        </w:numPr>
        <w:spacing w:line="480" w:lineRule="auto"/>
      </w:pPr>
      <w:r>
        <w:t>Using role-based access control (RBAC) to ensure users only have access to the data necessary for their job functions.</w:t>
      </w:r>
    </w:p>
    <w:p w14:paraId="03E619FE" w14:textId="77777777" w:rsidR="00353A1D" w:rsidRDefault="00353A1D" w:rsidP="00353A1D">
      <w:pPr>
        <w:pStyle w:val="NormalWeb"/>
        <w:spacing w:line="480" w:lineRule="auto"/>
      </w:pPr>
      <w:r>
        <w:t>Regular access reviews and timely user deactivations further bolster security controls.</w:t>
      </w:r>
    </w:p>
    <w:p w14:paraId="2D7FE56A" w14:textId="77777777" w:rsidR="00353A1D" w:rsidRDefault="00353A1D" w:rsidP="00DE7AA2">
      <w:pPr>
        <w:pStyle w:val="NormalWeb"/>
        <w:spacing w:line="480" w:lineRule="auto"/>
        <w:jc w:val="center"/>
      </w:pPr>
      <w:r>
        <w:rPr>
          <w:rStyle w:val="Strong"/>
          <w:rFonts w:eastAsiaTheme="majorEastAsia"/>
        </w:rPr>
        <w:t>Section 9: Controlling Physical Access to Cardholder Data</w:t>
      </w:r>
    </w:p>
    <w:p w14:paraId="1E90D991" w14:textId="77777777" w:rsidR="00353A1D" w:rsidRDefault="00353A1D" w:rsidP="00353A1D">
      <w:pPr>
        <w:pStyle w:val="NormalWeb"/>
        <w:spacing w:line="480" w:lineRule="auto"/>
      </w:pPr>
      <w:r>
        <w:t>Controlling physical access to systems storing payment card data is essential to prevent unauthorized access. Organizations must implement stringent access controls to safeguard sensitive environments (PCI Security Standards Council, 2024).</w:t>
      </w:r>
    </w:p>
    <w:p w14:paraId="35F76326" w14:textId="77777777" w:rsidR="00353A1D" w:rsidRDefault="00353A1D" w:rsidP="00353A1D">
      <w:pPr>
        <w:pStyle w:val="NormalWeb"/>
        <w:spacing w:line="480" w:lineRule="auto"/>
      </w:pPr>
      <w:r>
        <w:t>Critical focus areas include:</w:t>
      </w:r>
    </w:p>
    <w:p w14:paraId="6EA3699D" w14:textId="77777777" w:rsidR="00353A1D" w:rsidRDefault="00353A1D" w:rsidP="00353A1D">
      <w:pPr>
        <w:pStyle w:val="NormalWeb"/>
        <w:numPr>
          <w:ilvl w:val="0"/>
          <w:numId w:val="26"/>
        </w:numPr>
        <w:spacing w:line="480" w:lineRule="auto"/>
      </w:pPr>
      <w:r>
        <w:t>Utilizing keycards and biometric access systems.</w:t>
      </w:r>
    </w:p>
    <w:p w14:paraId="0E17B0D0" w14:textId="77777777" w:rsidR="00353A1D" w:rsidRDefault="00353A1D" w:rsidP="00353A1D">
      <w:pPr>
        <w:pStyle w:val="NormalWeb"/>
        <w:numPr>
          <w:ilvl w:val="0"/>
          <w:numId w:val="26"/>
        </w:numPr>
        <w:spacing w:line="480" w:lineRule="auto"/>
      </w:pPr>
      <w:r>
        <w:t>Securing media backups and limiting access to authorized personnel.</w:t>
      </w:r>
    </w:p>
    <w:p w14:paraId="3DE6C9F2" w14:textId="77777777" w:rsidR="00353A1D" w:rsidRDefault="00353A1D" w:rsidP="00353A1D">
      <w:pPr>
        <w:pStyle w:val="NormalWeb"/>
        <w:numPr>
          <w:ilvl w:val="0"/>
          <w:numId w:val="26"/>
        </w:numPr>
        <w:spacing w:line="480" w:lineRule="auto"/>
      </w:pPr>
      <w:r>
        <w:t>Enforcing visitor access policies and maintaining visitor logs.</w:t>
      </w:r>
    </w:p>
    <w:p w14:paraId="59DE0D19" w14:textId="77777777" w:rsidR="00353A1D" w:rsidRDefault="00353A1D" w:rsidP="00353A1D">
      <w:pPr>
        <w:pStyle w:val="NormalWeb"/>
        <w:numPr>
          <w:ilvl w:val="0"/>
          <w:numId w:val="26"/>
        </w:numPr>
        <w:spacing w:line="480" w:lineRule="auto"/>
      </w:pPr>
      <w:r>
        <w:t>Conducting background checks for personnel with access to sensitive areas.</w:t>
      </w:r>
    </w:p>
    <w:p w14:paraId="36A95D29" w14:textId="77777777" w:rsidR="00353A1D" w:rsidRDefault="00353A1D" w:rsidP="00353A1D">
      <w:pPr>
        <w:pStyle w:val="NormalWeb"/>
        <w:numPr>
          <w:ilvl w:val="0"/>
          <w:numId w:val="26"/>
        </w:numPr>
        <w:spacing w:line="480" w:lineRule="auto"/>
      </w:pPr>
      <w:r>
        <w:t>Installing surveillance cameras to monitor entry points and secure areas.</w:t>
      </w:r>
    </w:p>
    <w:p w14:paraId="1A67C903" w14:textId="77777777" w:rsidR="00353A1D" w:rsidRDefault="00353A1D" w:rsidP="00353A1D">
      <w:pPr>
        <w:pStyle w:val="NormalWeb"/>
        <w:numPr>
          <w:ilvl w:val="0"/>
          <w:numId w:val="26"/>
        </w:numPr>
        <w:spacing w:line="480" w:lineRule="auto"/>
      </w:pPr>
      <w:r>
        <w:lastRenderedPageBreak/>
        <w:t>Training employees on physical security protocols and response procedures.</w:t>
      </w:r>
    </w:p>
    <w:p w14:paraId="1A9726C6" w14:textId="77777777" w:rsidR="00353A1D" w:rsidRDefault="00353A1D" w:rsidP="00353A1D">
      <w:pPr>
        <w:pStyle w:val="NormalWeb"/>
        <w:spacing w:line="480" w:lineRule="auto"/>
      </w:pPr>
      <w:r>
        <w:t>Routine physical security audits and surveillance enhance overall protection.</w:t>
      </w:r>
    </w:p>
    <w:p w14:paraId="33B733A0" w14:textId="77777777" w:rsidR="00353A1D" w:rsidRDefault="00353A1D" w:rsidP="00DE7AA2">
      <w:pPr>
        <w:pStyle w:val="NormalWeb"/>
        <w:spacing w:line="480" w:lineRule="auto"/>
        <w:jc w:val="center"/>
      </w:pPr>
      <w:r>
        <w:rPr>
          <w:rStyle w:val="Strong"/>
          <w:rFonts w:eastAsiaTheme="majorEastAsia"/>
        </w:rPr>
        <w:t>Section 10: Monitoring and Tracking Access to Data and Network Resources</w:t>
      </w:r>
    </w:p>
    <w:p w14:paraId="164455B9" w14:textId="77777777" w:rsidR="00353A1D" w:rsidRDefault="00353A1D" w:rsidP="00353A1D">
      <w:pPr>
        <w:pStyle w:val="NormalWeb"/>
        <w:spacing w:line="480" w:lineRule="auto"/>
      </w:pPr>
      <w:r>
        <w:t>Monitoring and tracking system activities are crucial for detecting unauthorized access and potential security threats. Logging and reviewing access activities help maintain compliance and support forensic investigations (PCI Security Standards Council, 2024).</w:t>
      </w:r>
    </w:p>
    <w:p w14:paraId="56995074" w14:textId="77777777" w:rsidR="00353A1D" w:rsidRDefault="00353A1D" w:rsidP="00353A1D">
      <w:pPr>
        <w:pStyle w:val="NormalWeb"/>
        <w:spacing w:line="480" w:lineRule="auto"/>
      </w:pPr>
      <w:r>
        <w:t>Important considerations include:</w:t>
      </w:r>
    </w:p>
    <w:p w14:paraId="52B05F76" w14:textId="77777777" w:rsidR="00353A1D" w:rsidRDefault="00353A1D" w:rsidP="00353A1D">
      <w:pPr>
        <w:pStyle w:val="NormalWeb"/>
        <w:numPr>
          <w:ilvl w:val="0"/>
          <w:numId w:val="27"/>
        </w:numPr>
        <w:spacing w:line="480" w:lineRule="auto"/>
      </w:pPr>
      <w:r>
        <w:t>Logging all access attempts to cardholder data.</w:t>
      </w:r>
    </w:p>
    <w:p w14:paraId="534B0C3B" w14:textId="77777777" w:rsidR="00353A1D" w:rsidRDefault="00353A1D" w:rsidP="00353A1D">
      <w:pPr>
        <w:pStyle w:val="NormalWeb"/>
        <w:numPr>
          <w:ilvl w:val="0"/>
          <w:numId w:val="27"/>
        </w:numPr>
        <w:spacing w:line="480" w:lineRule="auto"/>
      </w:pPr>
      <w:r>
        <w:t>Retaining logs for a minimum of one year for audit purposes.</w:t>
      </w:r>
    </w:p>
    <w:p w14:paraId="01210F86" w14:textId="77777777" w:rsidR="00353A1D" w:rsidRDefault="00353A1D" w:rsidP="00353A1D">
      <w:pPr>
        <w:pStyle w:val="NormalWeb"/>
        <w:numPr>
          <w:ilvl w:val="0"/>
          <w:numId w:val="27"/>
        </w:numPr>
        <w:spacing w:line="480" w:lineRule="auto"/>
      </w:pPr>
      <w:r>
        <w:t>Restricting access to audit logs to prevent unauthorized changes.</w:t>
      </w:r>
    </w:p>
    <w:p w14:paraId="6C5D4438" w14:textId="77777777" w:rsidR="00353A1D" w:rsidRDefault="00353A1D" w:rsidP="00353A1D">
      <w:pPr>
        <w:pStyle w:val="NormalWeb"/>
        <w:numPr>
          <w:ilvl w:val="0"/>
          <w:numId w:val="27"/>
        </w:numPr>
        <w:spacing w:line="480" w:lineRule="auto"/>
      </w:pPr>
      <w:r>
        <w:t>Utilizing security automation tools to analyze log data and detect anomalies.</w:t>
      </w:r>
    </w:p>
    <w:p w14:paraId="510F0F8E" w14:textId="77777777" w:rsidR="00353A1D" w:rsidRDefault="00353A1D" w:rsidP="00353A1D">
      <w:pPr>
        <w:pStyle w:val="NormalWeb"/>
        <w:numPr>
          <w:ilvl w:val="0"/>
          <w:numId w:val="27"/>
        </w:numPr>
        <w:spacing w:line="480" w:lineRule="auto"/>
      </w:pPr>
      <w:r>
        <w:t>Implementing alerts for suspicious activities such as repeated failed login attempts.</w:t>
      </w:r>
    </w:p>
    <w:p w14:paraId="49D49F84" w14:textId="77777777" w:rsidR="00353A1D" w:rsidRDefault="00353A1D" w:rsidP="00353A1D">
      <w:pPr>
        <w:pStyle w:val="NormalWeb"/>
        <w:numPr>
          <w:ilvl w:val="0"/>
          <w:numId w:val="27"/>
        </w:numPr>
        <w:spacing w:line="480" w:lineRule="auto"/>
      </w:pPr>
      <w:r>
        <w:t>Establishing an incident response plan to address detected security breaches promptly.</w:t>
      </w:r>
    </w:p>
    <w:p w14:paraId="7CF85820" w14:textId="77777777" w:rsidR="00353A1D" w:rsidRDefault="00353A1D" w:rsidP="00353A1D">
      <w:pPr>
        <w:pStyle w:val="NormalWeb"/>
        <w:spacing w:line="480" w:lineRule="auto"/>
      </w:pPr>
      <w:r>
        <w:t>Automated solutions such as Security Information and Event Management (SIEM) systems improve monitoring efficiency.</w:t>
      </w:r>
    </w:p>
    <w:p w14:paraId="6671DADB" w14:textId="77777777" w:rsidR="00353A1D" w:rsidRDefault="00353A1D" w:rsidP="00DE7AA2">
      <w:pPr>
        <w:pStyle w:val="NormalWeb"/>
        <w:spacing w:line="480" w:lineRule="auto"/>
        <w:jc w:val="center"/>
      </w:pPr>
      <w:r>
        <w:rPr>
          <w:rStyle w:val="Strong"/>
          <w:rFonts w:eastAsiaTheme="majorEastAsia"/>
        </w:rPr>
        <w:t>Conclusion</w:t>
      </w:r>
    </w:p>
    <w:p w14:paraId="61997493" w14:textId="77777777" w:rsidR="00353A1D" w:rsidRDefault="00353A1D" w:rsidP="00353A1D">
      <w:pPr>
        <w:pStyle w:val="NormalWeb"/>
        <w:spacing w:line="480" w:lineRule="auto"/>
      </w:pPr>
      <w:r>
        <w:t xml:space="preserve">Achieving PCI-DSS compliance is an ongoing process that necessitates a comprehensive approach encompassing technological, procedural, and physical security controls. Organizations must dedicate substantial resources to continuously improve their security posture, adapting to </w:t>
      </w:r>
      <w:r>
        <w:lastRenderedPageBreak/>
        <w:t>new threats and regulatory changes. Investing in modern security tools such as encryption solutions, multi-factor authentication, and automated monitoring systems is essential to maintaining a secure environment.</w:t>
      </w:r>
    </w:p>
    <w:p w14:paraId="3827E492" w14:textId="67346F29" w:rsidR="00353A1D" w:rsidRDefault="00353A1D" w:rsidP="00353A1D">
      <w:pPr>
        <w:pStyle w:val="NormalWeb"/>
        <w:spacing w:line="480" w:lineRule="auto"/>
      </w:pPr>
      <w:r>
        <w:t>In addition to technological advancements, fostering a culture of compliance within the organization is equally critical. This requires ongoing training programs to educate employees about security policies and procedures, ensuring they remain vigilant against potential threats. Furthermore, businesses should conduct regular assessments and internal audits to identify areas of improvement and address vulnerabilities before they can be exploited.</w:t>
      </w:r>
    </w:p>
    <w:p w14:paraId="6D787E04" w14:textId="77777777" w:rsidR="00353A1D" w:rsidRDefault="00353A1D" w:rsidP="00353A1D">
      <w:pPr>
        <w:pStyle w:val="NormalWeb"/>
        <w:spacing w:line="480" w:lineRule="auto"/>
      </w:pPr>
      <w:r>
        <w:t>Adherence to PCI-DSS standards also involves establishing clear policies and procedures that guide employees in their daily operations, creating accountability and consistency across the organization. By implementing a proactive security strategy and integrating compliance into daily business operations, organizations can effectively protect cardholder data and maintain customer confidence.</w:t>
      </w:r>
    </w:p>
    <w:p w14:paraId="42875C82" w14:textId="77777777" w:rsidR="00353A1D" w:rsidRDefault="00353A1D" w:rsidP="00353A1D">
      <w:pPr>
        <w:pStyle w:val="NormalWeb"/>
        <w:spacing w:line="480" w:lineRule="auto"/>
      </w:pPr>
      <w:r>
        <w:t>Finally, collaboration with industry stakeholders, third-party vendors, and regulatory bodies can provide valuable insights and guidance in navigating the complexities of compliance. By staying informed of the latest security trends and best practices, organizations can remain resilient against evolving threats and ensure sustained compliance with PCI-DSS requirements.</w:t>
      </w:r>
    </w:p>
    <w:p w14:paraId="14E07C6D" w14:textId="77777777" w:rsidR="00353A1D" w:rsidRDefault="00353A1D" w:rsidP="00353A1D">
      <w:pPr>
        <w:pStyle w:val="NormalWeb"/>
        <w:spacing w:line="480" w:lineRule="auto"/>
        <w:rPr>
          <w:rStyle w:val="Strong"/>
          <w:rFonts w:eastAsiaTheme="majorEastAsia"/>
        </w:rPr>
      </w:pPr>
    </w:p>
    <w:p w14:paraId="669CF8A2" w14:textId="77777777" w:rsidR="00353A1D" w:rsidRDefault="00353A1D" w:rsidP="00353A1D">
      <w:pPr>
        <w:pStyle w:val="NormalWeb"/>
        <w:spacing w:line="480" w:lineRule="auto"/>
        <w:rPr>
          <w:rStyle w:val="Strong"/>
          <w:rFonts w:eastAsiaTheme="majorEastAsia"/>
        </w:rPr>
      </w:pPr>
    </w:p>
    <w:p w14:paraId="7B8BEF7E" w14:textId="77777777" w:rsidR="00353A1D" w:rsidRDefault="00353A1D" w:rsidP="00353A1D">
      <w:pPr>
        <w:pStyle w:val="NormalWeb"/>
        <w:spacing w:line="480" w:lineRule="auto"/>
        <w:rPr>
          <w:rStyle w:val="Strong"/>
          <w:rFonts w:eastAsiaTheme="majorEastAsia"/>
        </w:rPr>
      </w:pPr>
    </w:p>
    <w:p w14:paraId="2CD61AD1" w14:textId="7276400C" w:rsidR="00353A1D" w:rsidRDefault="00353A1D" w:rsidP="00DE7AA2">
      <w:pPr>
        <w:pStyle w:val="NormalWeb"/>
        <w:spacing w:line="480" w:lineRule="auto"/>
        <w:jc w:val="center"/>
      </w:pPr>
      <w:r>
        <w:rPr>
          <w:rStyle w:val="Strong"/>
          <w:rFonts w:eastAsiaTheme="majorEastAsia"/>
        </w:rPr>
        <w:lastRenderedPageBreak/>
        <w:t>References</w:t>
      </w:r>
    </w:p>
    <w:p w14:paraId="4C43901F" w14:textId="33268269" w:rsidR="00353A1D" w:rsidRDefault="00353A1D" w:rsidP="00353A1D">
      <w:pPr>
        <w:pStyle w:val="NormalWeb"/>
        <w:spacing w:line="480" w:lineRule="auto"/>
      </w:pPr>
      <w:r>
        <w:t xml:space="preserve">PCI Security Standards Council. (2024). PCI-DSS Self-Assessment Questionnaire D (SAQ-D). </w:t>
      </w:r>
    </w:p>
    <w:p w14:paraId="485BC30C" w14:textId="2647B3A2" w:rsidR="00353A1D" w:rsidRDefault="00353A1D" w:rsidP="00353A1D">
      <w:pPr>
        <w:pStyle w:val="NormalWeb"/>
        <w:spacing w:line="480" w:lineRule="auto"/>
      </w:pPr>
      <w:r>
        <w:tab/>
        <w:t>https://www.pcisecuritystandards.org</w:t>
      </w:r>
    </w:p>
    <w:p w14:paraId="4282A5EA" w14:textId="77777777" w:rsidR="00FF6700" w:rsidRPr="000F683A" w:rsidRDefault="00FF6700" w:rsidP="000F683A">
      <w:pPr>
        <w:spacing w:line="480" w:lineRule="auto"/>
        <w:rPr>
          <w:rFonts w:ascii="Times New Roman" w:hAnsi="Times New Roman" w:cs="Times New Roman"/>
        </w:rPr>
      </w:pPr>
    </w:p>
    <w:sectPr w:rsidR="00FF6700" w:rsidRPr="000F683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D0D70" w14:textId="77777777" w:rsidR="00D570DD" w:rsidRDefault="00D570DD" w:rsidP="00E86830">
      <w:r>
        <w:separator/>
      </w:r>
    </w:p>
  </w:endnote>
  <w:endnote w:type="continuationSeparator" w:id="0">
    <w:p w14:paraId="435C73B7" w14:textId="77777777" w:rsidR="00D570DD" w:rsidRDefault="00D570DD" w:rsidP="00E8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192F8" w14:textId="77777777" w:rsidR="00D570DD" w:rsidRDefault="00D570DD" w:rsidP="00E86830">
      <w:r>
        <w:separator/>
      </w:r>
    </w:p>
  </w:footnote>
  <w:footnote w:type="continuationSeparator" w:id="0">
    <w:p w14:paraId="6D03F4BA" w14:textId="77777777" w:rsidR="00D570DD" w:rsidRDefault="00D570DD" w:rsidP="00E8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35153456"/>
      <w:docPartObj>
        <w:docPartGallery w:val="Page Numbers (Top of Page)"/>
        <w:docPartUnique/>
      </w:docPartObj>
    </w:sdtPr>
    <w:sdtContent>
      <w:p w14:paraId="1CC3B94F" w14:textId="3333D919" w:rsidR="00E86830" w:rsidRDefault="00E86830" w:rsidP="006242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ACF1C5" w14:textId="77777777" w:rsidR="00E86830" w:rsidRDefault="00E86830" w:rsidP="00E868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91707679"/>
      <w:docPartObj>
        <w:docPartGallery w:val="Page Numbers (Top of Page)"/>
        <w:docPartUnique/>
      </w:docPartObj>
    </w:sdtPr>
    <w:sdtContent>
      <w:p w14:paraId="169BF319" w14:textId="5D9C1401" w:rsidR="00E86830" w:rsidRDefault="00E86830" w:rsidP="006242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D78EDB9" w14:textId="32DEEA1F" w:rsidR="00E86830" w:rsidRPr="00E86830" w:rsidRDefault="00E86830" w:rsidP="00E86830">
    <w:pPr>
      <w:pStyle w:val="Header"/>
      <w:ind w:right="360"/>
      <w:rPr>
        <w:rFonts w:ascii="Times New Roman" w:hAnsi="Times New Roman" w:cs="Times New Roman"/>
      </w:rPr>
    </w:pPr>
    <w:r w:rsidRPr="00E86830">
      <w:rPr>
        <w:rFonts w:ascii="Times New Roman" w:hAnsi="Times New Roman" w:cs="Times New Roman"/>
      </w:rPr>
      <w:t>PCI-DSS SAQ-D Compliance: A Section-by-Section Guide to Secure Payment Practices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52EE8"/>
    <w:multiLevelType w:val="multilevel"/>
    <w:tmpl w:val="5930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514A2"/>
    <w:multiLevelType w:val="multilevel"/>
    <w:tmpl w:val="6870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A0604"/>
    <w:multiLevelType w:val="multilevel"/>
    <w:tmpl w:val="EF20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52B59"/>
    <w:multiLevelType w:val="multilevel"/>
    <w:tmpl w:val="5AF6E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710AA"/>
    <w:multiLevelType w:val="multilevel"/>
    <w:tmpl w:val="10165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66386"/>
    <w:multiLevelType w:val="multilevel"/>
    <w:tmpl w:val="8B78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22CCB"/>
    <w:multiLevelType w:val="multilevel"/>
    <w:tmpl w:val="26D6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84468"/>
    <w:multiLevelType w:val="multilevel"/>
    <w:tmpl w:val="2CE0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07BE3"/>
    <w:multiLevelType w:val="multilevel"/>
    <w:tmpl w:val="FAD8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934FF"/>
    <w:multiLevelType w:val="multilevel"/>
    <w:tmpl w:val="C30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2092E"/>
    <w:multiLevelType w:val="multilevel"/>
    <w:tmpl w:val="D1B4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216BE"/>
    <w:multiLevelType w:val="multilevel"/>
    <w:tmpl w:val="3C8A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767E78"/>
    <w:multiLevelType w:val="multilevel"/>
    <w:tmpl w:val="065C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D3D1D"/>
    <w:multiLevelType w:val="multilevel"/>
    <w:tmpl w:val="89C01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1D2AC3"/>
    <w:multiLevelType w:val="multilevel"/>
    <w:tmpl w:val="5EBC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67ACF"/>
    <w:multiLevelType w:val="multilevel"/>
    <w:tmpl w:val="5EF6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870F5"/>
    <w:multiLevelType w:val="multilevel"/>
    <w:tmpl w:val="894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2B6136"/>
    <w:multiLevelType w:val="multilevel"/>
    <w:tmpl w:val="39D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F791D"/>
    <w:multiLevelType w:val="multilevel"/>
    <w:tmpl w:val="5336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E771E4"/>
    <w:multiLevelType w:val="multilevel"/>
    <w:tmpl w:val="3206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E958B7"/>
    <w:multiLevelType w:val="multilevel"/>
    <w:tmpl w:val="34D2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3F7AD9"/>
    <w:multiLevelType w:val="multilevel"/>
    <w:tmpl w:val="3972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ED2429"/>
    <w:multiLevelType w:val="multilevel"/>
    <w:tmpl w:val="DFC0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7F43B8"/>
    <w:multiLevelType w:val="multilevel"/>
    <w:tmpl w:val="6B12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67DE3"/>
    <w:multiLevelType w:val="multilevel"/>
    <w:tmpl w:val="7B00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B35FA"/>
    <w:multiLevelType w:val="multilevel"/>
    <w:tmpl w:val="D13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640F86"/>
    <w:multiLevelType w:val="multilevel"/>
    <w:tmpl w:val="99FC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525446">
    <w:abstractNumId w:val="1"/>
  </w:num>
  <w:num w:numId="2" w16cid:durableId="1242452092">
    <w:abstractNumId w:val="8"/>
  </w:num>
  <w:num w:numId="3" w16cid:durableId="935020420">
    <w:abstractNumId w:val="25"/>
  </w:num>
  <w:num w:numId="4" w16cid:durableId="1297446757">
    <w:abstractNumId w:val="12"/>
  </w:num>
  <w:num w:numId="5" w16cid:durableId="656810573">
    <w:abstractNumId w:val="4"/>
  </w:num>
  <w:num w:numId="6" w16cid:durableId="1843619155">
    <w:abstractNumId w:val="24"/>
  </w:num>
  <w:num w:numId="7" w16cid:durableId="2069837241">
    <w:abstractNumId w:val="20"/>
  </w:num>
  <w:num w:numId="8" w16cid:durableId="390079735">
    <w:abstractNumId w:val="9"/>
  </w:num>
  <w:num w:numId="9" w16cid:durableId="1449087507">
    <w:abstractNumId w:val="17"/>
  </w:num>
  <w:num w:numId="10" w16cid:durableId="1299333772">
    <w:abstractNumId w:val="11"/>
  </w:num>
  <w:num w:numId="11" w16cid:durableId="2021811309">
    <w:abstractNumId w:val="7"/>
  </w:num>
  <w:num w:numId="12" w16cid:durableId="1948926234">
    <w:abstractNumId w:val="21"/>
  </w:num>
  <w:num w:numId="13" w16cid:durableId="1563367829">
    <w:abstractNumId w:val="14"/>
  </w:num>
  <w:num w:numId="14" w16cid:durableId="297496112">
    <w:abstractNumId w:val="10"/>
  </w:num>
  <w:num w:numId="15" w16cid:durableId="1952126655">
    <w:abstractNumId w:val="19"/>
  </w:num>
  <w:num w:numId="16" w16cid:durableId="47921189">
    <w:abstractNumId w:val="15"/>
  </w:num>
  <w:num w:numId="17" w16cid:durableId="1769502134">
    <w:abstractNumId w:val="6"/>
  </w:num>
  <w:num w:numId="18" w16cid:durableId="1496916996">
    <w:abstractNumId w:val="3"/>
  </w:num>
  <w:num w:numId="19" w16cid:durableId="1156412139">
    <w:abstractNumId w:val="13"/>
  </w:num>
  <w:num w:numId="20" w16cid:durableId="544366588">
    <w:abstractNumId w:val="22"/>
  </w:num>
  <w:num w:numId="21" w16cid:durableId="572088402">
    <w:abstractNumId w:val="0"/>
  </w:num>
  <w:num w:numId="22" w16cid:durableId="610433516">
    <w:abstractNumId w:val="26"/>
  </w:num>
  <w:num w:numId="23" w16cid:durableId="674844612">
    <w:abstractNumId w:val="5"/>
  </w:num>
  <w:num w:numId="24" w16cid:durableId="347802691">
    <w:abstractNumId w:val="16"/>
  </w:num>
  <w:num w:numId="25" w16cid:durableId="2074622254">
    <w:abstractNumId w:val="2"/>
  </w:num>
  <w:num w:numId="26" w16cid:durableId="418870712">
    <w:abstractNumId w:val="23"/>
  </w:num>
  <w:num w:numId="27" w16cid:durableId="5026717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3A"/>
    <w:rsid w:val="000F683A"/>
    <w:rsid w:val="00242063"/>
    <w:rsid w:val="00353A1D"/>
    <w:rsid w:val="00733533"/>
    <w:rsid w:val="00815061"/>
    <w:rsid w:val="00882683"/>
    <w:rsid w:val="008A2511"/>
    <w:rsid w:val="00A22D4F"/>
    <w:rsid w:val="00B05BB6"/>
    <w:rsid w:val="00C638D0"/>
    <w:rsid w:val="00D570DD"/>
    <w:rsid w:val="00DE7AA2"/>
    <w:rsid w:val="00E86830"/>
    <w:rsid w:val="00F8526F"/>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6E88A"/>
  <w15:chartTrackingRefBased/>
  <w15:docId w15:val="{6737B292-A372-3045-A1ED-78C9EDFE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8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8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68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68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8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8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8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8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8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8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8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68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68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8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83A"/>
    <w:rPr>
      <w:rFonts w:eastAsiaTheme="majorEastAsia" w:cstheme="majorBidi"/>
      <w:color w:val="272727" w:themeColor="text1" w:themeTint="D8"/>
    </w:rPr>
  </w:style>
  <w:style w:type="paragraph" w:styleId="Title">
    <w:name w:val="Title"/>
    <w:basedOn w:val="Normal"/>
    <w:next w:val="Normal"/>
    <w:link w:val="TitleChar"/>
    <w:uiPriority w:val="10"/>
    <w:qFormat/>
    <w:rsid w:val="000F68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8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8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683A"/>
    <w:rPr>
      <w:i/>
      <w:iCs/>
      <w:color w:val="404040" w:themeColor="text1" w:themeTint="BF"/>
    </w:rPr>
  </w:style>
  <w:style w:type="paragraph" w:styleId="ListParagraph">
    <w:name w:val="List Paragraph"/>
    <w:basedOn w:val="Normal"/>
    <w:uiPriority w:val="34"/>
    <w:qFormat/>
    <w:rsid w:val="000F683A"/>
    <w:pPr>
      <w:ind w:left="720"/>
      <w:contextualSpacing/>
    </w:pPr>
  </w:style>
  <w:style w:type="character" w:styleId="IntenseEmphasis">
    <w:name w:val="Intense Emphasis"/>
    <w:basedOn w:val="DefaultParagraphFont"/>
    <w:uiPriority w:val="21"/>
    <w:qFormat/>
    <w:rsid w:val="000F683A"/>
    <w:rPr>
      <w:i/>
      <w:iCs/>
      <w:color w:val="0F4761" w:themeColor="accent1" w:themeShade="BF"/>
    </w:rPr>
  </w:style>
  <w:style w:type="paragraph" w:styleId="IntenseQuote">
    <w:name w:val="Intense Quote"/>
    <w:basedOn w:val="Normal"/>
    <w:next w:val="Normal"/>
    <w:link w:val="IntenseQuoteChar"/>
    <w:uiPriority w:val="30"/>
    <w:qFormat/>
    <w:rsid w:val="000F6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83A"/>
    <w:rPr>
      <w:i/>
      <w:iCs/>
      <w:color w:val="0F4761" w:themeColor="accent1" w:themeShade="BF"/>
    </w:rPr>
  </w:style>
  <w:style w:type="character" w:styleId="IntenseReference">
    <w:name w:val="Intense Reference"/>
    <w:basedOn w:val="DefaultParagraphFont"/>
    <w:uiPriority w:val="32"/>
    <w:qFormat/>
    <w:rsid w:val="000F683A"/>
    <w:rPr>
      <w:b/>
      <w:bCs/>
      <w:smallCaps/>
      <w:color w:val="0F4761" w:themeColor="accent1" w:themeShade="BF"/>
      <w:spacing w:val="5"/>
    </w:rPr>
  </w:style>
  <w:style w:type="paragraph" w:styleId="NormalWeb">
    <w:name w:val="Normal (Web)"/>
    <w:basedOn w:val="Normal"/>
    <w:uiPriority w:val="99"/>
    <w:semiHidden/>
    <w:unhideWhenUsed/>
    <w:rsid w:val="000F683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683A"/>
    <w:rPr>
      <w:b/>
      <w:bCs/>
    </w:rPr>
  </w:style>
  <w:style w:type="character" w:styleId="Emphasis">
    <w:name w:val="Emphasis"/>
    <w:basedOn w:val="DefaultParagraphFont"/>
    <w:uiPriority w:val="20"/>
    <w:qFormat/>
    <w:rsid w:val="000F683A"/>
    <w:rPr>
      <w:i/>
      <w:iCs/>
    </w:rPr>
  </w:style>
  <w:style w:type="paragraph" w:styleId="Header">
    <w:name w:val="header"/>
    <w:basedOn w:val="Normal"/>
    <w:link w:val="HeaderChar"/>
    <w:uiPriority w:val="99"/>
    <w:unhideWhenUsed/>
    <w:rsid w:val="00E86830"/>
    <w:pPr>
      <w:tabs>
        <w:tab w:val="center" w:pos="4680"/>
        <w:tab w:val="right" w:pos="9360"/>
      </w:tabs>
    </w:pPr>
  </w:style>
  <w:style w:type="character" w:customStyle="1" w:styleId="HeaderChar">
    <w:name w:val="Header Char"/>
    <w:basedOn w:val="DefaultParagraphFont"/>
    <w:link w:val="Header"/>
    <w:uiPriority w:val="99"/>
    <w:rsid w:val="00E86830"/>
  </w:style>
  <w:style w:type="paragraph" w:styleId="Footer">
    <w:name w:val="footer"/>
    <w:basedOn w:val="Normal"/>
    <w:link w:val="FooterChar"/>
    <w:uiPriority w:val="99"/>
    <w:unhideWhenUsed/>
    <w:rsid w:val="00E86830"/>
    <w:pPr>
      <w:tabs>
        <w:tab w:val="center" w:pos="4680"/>
        <w:tab w:val="right" w:pos="9360"/>
      </w:tabs>
    </w:pPr>
  </w:style>
  <w:style w:type="character" w:customStyle="1" w:styleId="FooterChar">
    <w:name w:val="Footer Char"/>
    <w:basedOn w:val="DefaultParagraphFont"/>
    <w:link w:val="Footer"/>
    <w:uiPriority w:val="99"/>
    <w:rsid w:val="00E86830"/>
  </w:style>
  <w:style w:type="character" w:styleId="PageNumber">
    <w:name w:val="page number"/>
    <w:basedOn w:val="DefaultParagraphFont"/>
    <w:uiPriority w:val="99"/>
    <w:semiHidden/>
    <w:unhideWhenUsed/>
    <w:rsid w:val="00E86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97912">
      <w:bodyDiv w:val="1"/>
      <w:marLeft w:val="0"/>
      <w:marRight w:val="0"/>
      <w:marTop w:val="0"/>
      <w:marBottom w:val="0"/>
      <w:divBdr>
        <w:top w:val="none" w:sz="0" w:space="0" w:color="auto"/>
        <w:left w:val="none" w:sz="0" w:space="0" w:color="auto"/>
        <w:bottom w:val="none" w:sz="0" w:space="0" w:color="auto"/>
        <w:right w:val="none" w:sz="0" w:space="0" w:color="auto"/>
      </w:divBdr>
    </w:div>
    <w:div w:id="329217397">
      <w:bodyDiv w:val="1"/>
      <w:marLeft w:val="0"/>
      <w:marRight w:val="0"/>
      <w:marTop w:val="0"/>
      <w:marBottom w:val="0"/>
      <w:divBdr>
        <w:top w:val="none" w:sz="0" w:space="0" w:color="auto"/>
        <w:left w:val="none" w:sz="0" w:space="0" w:color="auto"/>
        <w:bottom w:val="none" w:sz="0" w:space="0" w:color="auto"/>
        <w:right w:val="none" w:sz="0" w:space="0" w:color="auto"/>
      </w:divBdr>
    </w:div>
    <w:div w:id="635718361">
      <w:bodyDiv w:val="1"/>
      <w:marLeft w:val="0"/>
      <w:marRight w:val="0"/>
      <w:marTop w:val="0"/>
      <w:marBottom w:val="0"/>
      <w:divBdr>
        <w:top w:val="none" w:sz="0" w:space="0" w:color="auto"/>
        <w:left w:val="none" w:sz="0" w:space="0" w:color="auto"/>
        <w:bottom w:val="none" w:sz="0" w:space="0" w:color="auto"/>
        <w:right w:val="none" w:sz="0" w:space="0" w:color="auto"/>
      </w:divBdr>
    </w:div>
    <w:div w:id="650136143">
      <w:bodyDiv w:val="1"/>
      <w:marLeft w:val="0"/>
      <w:marRight w:val="0"/>
      <w:marTop w:val="0"/>
      <w:marBottom w:val="0"/>
      <w:divBdr>
        <w:top w:val="none" w:sz="0" w:space="0" w:color="auto"/>
        <w:left w:val="none" w:sz="0" w:space="0" w:color="auto"/>
        <w:bottom w:val="none" w:sz="0" w:space="0" w:color="auto"/>
        <w:right w:val="none" w:sz="0" w:space="0" w:color="auto"/>
      </w:divBdr>
    </w:div>
    <w:div w:id="680854468">
      <w:bodyDiv w:val="1"/>
      <w:marLeft w:val="0"/>
      <w:marRight w:val="0"/>
      <w:marTop w:val="0"/>
      <w:marBottom w:val="0"/>
      <w:divBdr>
        <w:top w:val="none" w:sz="0" w:space="0" w:color="auto"/>
        <w:left w:val="none" w:sz="0" w:space="0" w:color="auto"/>
        <w:bottom w:val="none" w:sz="0" w:space="0" w:color="auto"/>
        <w:right w:val="none" w:sz="0" w:space="0" w:color="auto"/>
      </w:divBdr>
    </w:div>
    <w:div w:id="1069887580">
      <w:bodyDiv w:val="1"/>
      <w:marLeft w:val="0"/>
      <w:marRight w:val="0"/>
      <w:marTop w:val="0"/>
      <w:marBottom w:val="0"/>
      <w:divBdr>
        <w:top w:val="none" w:sz="0" w:space="0" w:color="auto"/>
        <w:left w:val="none" w:sz="0" w:space="0" w:color="auto"/>
        <w:bottom w:val="none" w:sz="0" w:space="0" w:color="auto"/>
        <w:right w:val="none" w:sz="0" w:space="0" w:color="auto"/>
      </w:divBdr>
    </w:div>
    <w:div w:id="1586263375">
      <w:bodyDiv w:val="1"/>
      <w:marLeft w:val="0"/>
      <w:marRight w:val="0"/>
      <w:marTop w:val="0"/>
      <w:marBottom w:val="0"/>
      <w:divBdr>
        <w:top w:val="none" w:sz="0" w:space="0" w:color="auto"/>
        <w:left w:val="none" w:sz="0" w:space="0" w:color="auto"/>
        <w:bottom w:val="none" w:sz="0" w:space="0" w:color="auto"/>
        <w:right w:val="none" w:sz="0" w:space="0" w:color="auto"/>
      </w:divBdr>
    </w:div>
    <w:div w:id="1603994362">
      <w:bodyDiv w:val="1"/>
      <w:marLeft w:val="0"/>
      <w:marRight w:val="0"/>
      <w:marTop w:val="0"/>
      <w:marBottom w:val="0"/>
      <w:divBdr>
        <w:top w:val="none" w:sz="0" w:space="0" w:color="auto"/>
        <w:left w:val="none" w:sz="0" w:space="0" w:color="auto"/>
        <w:bottom w:val="none" w:sz="0" w:space="0" w:color="auto"/>
        <w:right w:val="none" w:sz="0" w:space="0" w:color="auto"/>
      </w:divBdr>
    </w:div>
    <w:div w:id="1674794646">
      <w:bodyDiv w:val="1"/>
      <w:marLeft w:val="0"/>
      <w:marRight w:val="0"/>
      <w:marTop w:val="0"/>
      <w:marBottom w:val="0"/>
      <w:divBdr>
        <w:top w:val="none" w:sz="0" w:space="0" w:color="auto"/>
        <w:left w:val="none" w:sz="0" w:space="0" w:color="auto"/>
        <w:bottom w:val="none" w:sz="0" w:space="0" w:color="auto"/>
        <w:right w:val="none" w:sz="0" w:space="0" w:color="auto"/>
      </w:divBdr>
    </w:div>
    <w:div w:id="1715153883">
      <w:bodyDiv w:val="1"/>
      <w:marLeft w:val="0"/>
      <w:marRight w:val="0"/>
      <w:marTop w:val="0"/>
      <w:marBottom w:val="0"/>
      <w:divBdr>
        <w:top w:val="none" w:sz="0" w:space="0" w:color="auto"/>
        <w:left w:val="none" w:sz="0" w:space="0" w:color="auto"/>
        <w:bottom w:val="none" w:sz="0" w:space="0" w:color="auto"/>
        <w:right w:val="none" w:sz="0" w:space="0" w:color="auto"/>
      </w:divBdr>
    </w:div>
    <w:div w:id="1716664077">
      <w:bodyDiv w:val="1"/>
      <w:marLeft w:val="0"/>
      <w:marRight w:val="0"/>
      <w:marTop w:val="0"/>
      <w:marBottom w:val="0"/>
      <w:divBdr>
        <w:top w:val="none" w:sz="0" w:space="0" w:color="auto"/>
        <w:left w:val="none" w:sz="0" w:space="0" w:color="auto"/>
        <w:bottom w:val="none" w:sz="0" w:space="0" w:color="auto"/>
        <w:right w:val="none" w:sz="0" w:space="0" w:color="auto"/>
      </w:divBdr>
    </w:div>
    <w:div w:id="17869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Nelson</dc:creator>
  <cp:keywords/>
  <dc:description/>
  <cp:lastModifiedBy>Morales, Nelson</cp:lastModifiedBy>
  <cp:revision>3</cp:revision>
  <dcterms:created xsi:type="dcterms:W3CDTF">2025-04-17T01:23:00Z</dcterms:created>
  <dcterms:modified xsi:type="dcterms:W3CDTF">2025-04-17T01:25:00Z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2e0584-010f-4004-8a6a-d5c118c8b4bd_Enabled">
    <vt:lpwstr>true</vt:lpwstr>
  </property>
  <property fmtid="{D5CDD505-2E9C-101B-9397-08002B2CF9AE}" pid="3" name="MSIP_Label_c62e0584-010f-4004-8a6a-d5c118c8b4bd_SetDate">
    <vt:lpwstr>2025-01-20T14:52:04Z</vt:lpwstr>
  </property>
  <property fmtid="{D5CDD505-2E9C-101B-9397-08002B2CF9AE}" pid="4" name="MSIP_Label_c62e0584-010f-4004-8a6a-d5c118c8b4bd_Method">
    <vt:lpwstr>Standard</vt:lpwstr>
  </property>
  <property fmtid="{D5CDD505-2E9C-101B-9397-08002B2CF9AE}" pid="5" name="MSIP_Label_c62e0584-010f-4004-8a6a-d5c118c8b4bd_Name">
    <vt:lpwstr>Internal</vt:lpwstr>
  </property>
  <property fmtid="{D5CDD505-2E9C-101B-9397-08002B2CF9AE}" pid="6" name="MSIP_Label_c62e0584-010f-4004-8a6a-d5c118c8b4bd_SiteId">
    <vt:lpwstr>56b731a8-a2ac-4c32-bf6b-616810e913c6</vt:lpwstr>
  </property>
  <property fmtid="{D5CDD505-2E9C-101B-9397-08002B2CF9AE}" pid="7" name="MSIP_Label_c62e0584-010f-4004-8a6a-d5c118c8b4bd_ActionId">
    <vt:lpwstr>690b8987-6e79-4ad0-974f-247933cc348e</vt:lpwstr>
  </property>
  <property fmtid="{D5CDD505-2E9C-101B-9397-08002B2CF9AE}" pid="8" name="MSIP_Label_c62e0584-010f-4004-8a6a-d5c118c8b4bd_ContentBits">
    <vt:lpwstr>0</vt:lpwstr>
  </property>
  <property fmtid="{D5CDD505-2E9C-101B-9397-08002B2CF9AE}" pid="9" name="MSIP_Label_c62e0584-010f-4004-8a6a-d5c118c8b4bd_Tag">
    <vt:lpwstr>50, 3, 0, 1</vt:lpwstr>
  </property>
</Properties>
</file>