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26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6451600</wp:posOffset>
            </wp:positionH>
            <wp:positionV relativeFrom="page">
              <wp:posOffset>8432800</wp:posOffset>
            </wp:positionV>
            <wp:extent cx="38100" cy="381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6451600</wp:posOffset>
            </wp:positionH>
            <wp:positionV relativeFrom="page">
              <wp:posOffset>8432800</wp:posOffset>
            </wp:positionV>
            <wp:extent cx="38100" cy="381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6032500</wp:posOffset>
            </wp:positionH>
            <wp:positionV relativeFrom="page">
              <wp:posOffset>8153400</wp:posOffset>
            </wp:positionV>
            <wp:extent cx="38100" cy="381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6362700</wp:posOffset>
            </wp:positionH>
            <wp:positionV relativeFrom="page">
              <wp:posOffset>8178800</wp:posOffset>
            </wp:positionV>
            <wp:extent cx="88900" cy="381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6121400</wp:posOffset>
            </wp:positionH>
            <wp:positionV relativeFrom="page">
              <wp:posOffset>8077200</wp:posOffset>
            </wp:positionV>
            <wp:extent cx="38100" cy="635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6286500</wp:posOffset>
            </wp:positionH>
            <wp:positionV relativeFrom="page">
              <wp:posOffset>8039100</wp:posOffset>
            </wp:positionV>
            <wp:extent cx="38100" cy="381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6337300</wp:posOffset>
            </wp:positionH>
            <wp:positionV relativeFrom="page">
              <wp:posOffset>8013700</wp:posOffset>
            </wp:positionV>
            <wp:extent cx="38100" cy="381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6172200</wp:posOffset>
            </wp:positionH>
            <wp:positionV relativeFrom="page">
              <wp:posOffset>8013700</wp:posOffset>
            </wp:positionV>
            <wp:extent cx="38100" cy="889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6121400</wp:posOffset>
            </wp:positionH>
            <wp:positionV relativeFrom="page">
              <wp:posOffset>8013700</wp:posOffset>
            </wp:positionV>
            <wp:extent cx="38100" cy="381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5822950</wp:posOffset>
            </wp:positionH>
            <wp:positionV relativeFrom="page">
              <wp:posOffset>7805420</wp:posOffset>
            </wp:positionV>
            <wp:extent cx="900429" cy="900429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00429" cy="90042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40" w:lineRule="auto" w:before="0" w:after="0"/>
        <w:ind w:left="0" w:right="2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94970" cy="3949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970" cy="3949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852" w:val="left"/>
        </w:tabs>
        <w:autoSpaceDE w:val="0"/>
        <w:widowControl/>
        <w:spacing w:line="240" w:lineRule="auto" w:before="158" w:after="0"/>
        <w:ind w:left="2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46"/>
        </w:rPr>
        <w:t xml:space="preserve">Artificial intelligence for ultrasonography: </w:t>
      </w:r>
      <w:r>
        <w:tab/>
      </w:r>
      <w:r>
        <w:drawing>
          <wp:inline xmlns:a="http://schemas.openxmlformats.org/drawingml/2006/main" xmlns:pic="http://schemas.openxmlformats.org/drawingml/2006/picture">
            <wp:extent cx="1168400" cy="266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832" w:val="left"/>
        </w:tabs>
        <w:autoSpaceDE w:val="0"/>
        <w:widowControl/>
        <w:spacing w:line="240" w:lineRule="auto" w:before="14" w:after="0"/>
        <w:ind w:left="2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46"/>
        </w:rPr>
        <w:t>unique opportunities and challenges</w:t>
      </w:r>
      <w:r>
        <w:tab/>
      </w:r>
      <w:r>
        <w:drawing>
          <wp:inline xmlns:a="http://schemas.openxmlformats.org/drawingml/2006/main" xmlns:pic="http://schemas.openxmlformats.org/drawingml/2006/picture">
            <wp:extent cx="1054100" cy="2667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266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6" w:after="0"/>
        <w:ind w:left="0" w:right="1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536700" cy="25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25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840" w:val="left"/>
        </w:tabs>
        <w:autoSpaceDE w:val="0"/>
        <w:widowControl/>
        <w:spacing w:line="270" w:lineRule="exact" w:before="1262" w:after="156"/>
        <w:ind w:left="2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22"/>
        </w:rPr>
        <w:t xml:space="preserve">SEONG HO PARK </w:t>
      </w:r>
      <w:r>
        <w:tab/>
      </w:r>
      <w:r>
        <w:rPr>
          <w:rFonts w:ascii="Gotham" w:hAnsi="Gotham" w:eastAsia="Gotham"/>
          <w:b/>
          <w:i w:val="0"/>
          <w:color w:val="D0111B"/>
          <w:sz w:val="24"/>
        </w:rPr>
        <w:t>EDITORIAL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852.0" w:type="dxa"/>
      </w:tblPr>
      <w:tblGrid>
        <w:gridCol w:w="5187"/>
        <w:gridCol w:w="5187"/>
      </w:tblGrid>
      <w:tr>
        <w:trPr>
          <w:trHeight w:hRule="exact" w:val="738"/>
        </w:trPr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520" w:val="left"/>
              </w:tabs>
              <w:autoSpaceDE w:val="0"/>
              <w:widowControl/>
              <w:spacing w:line="242" w:lineRule="exact" w:before="0" w:after="0"/>
              <w:ind w:left="2866" w:right="144" w:firstLine="0"/>
              <w:jc w:val="left"/>
            </w:pPr>
            <w:r>
              <w:rPr>
                <w:rFonts w:ascii="Gotham" w:hAnsi="Gotham" w:eastAsia="Gotham"/>
                <w:b/>
                <w:i w:val="0"/>
                <w:color w:val="000000"/>
                <w:sz w:val="16"/>
              </w:rPr>
              <w:t xml:space="preserve">Guest Editor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6"/>
              </w:rPr>
              <w:t>ULTRASONOGRAPHY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214" w:right="144" w:firstLine="0"/>
              <w:jc w:val="left"/>
            </w:pP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15"/>
              </w:rPr>
              <w:t xml:space="preserve">https://doi.org/10.14366/usg.20078 </w:t>
            </w: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15"/>
              </w:rPr>
              <w:t>pISSN: 2288-5919</w:t>
            </w:r>
            <w:r>
              <w:rPr>
                <w:rFonts w:ascii="FrutigerLTStd" w:hAnsi="FrutigerLTStd" w:eastAsia="FrutigerLTStd"/>
                <w:b w:val="0"/>
                <w:i w:val="0"/>
                <w:color w:val="D0111B"/>
                <w:sz w:val="15"/>
              </w:rPr>
              <w:t xml:space="preserve"> • </w:t>
            </w: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15"/>
              </w:rPr>
              <w:t xml:space="preserve">eISSN: 2288-5943 </w:t>
            </w: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19"/>
              </w:rPr>
              <w:t>Ultrasonography 2021;40:3-6</w:t>
            </w:r>
          </w:p>
        </w:tc>
      </w:tr>
    </w:tbl>
    <w:p>
      <w:pPr>
        <w:autoSpaceDN w:val="0"/>
        <w:autoSpaceDE w:val="0"/>
        <w:widowControl/>
        <w:spacing w:line="280" w:lineRule="exact" w:before="392" w:after="24"/>
        <w:ind w:left="2" w:right="288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The application of artificial intelligence (AI) technology to medical imaging has recently brought about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tremendous excitement, and AI is making its way into clinical practice, thanks to the technical prowess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5187"/>
        <w:gridCol w:w="5187"/>
      </w:tblGrid>
      <w:tr>
        <w:trPr>
          <w:trHeight w:hRule="exact" w:val="848"/>
        </w:trPr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0" w:after="0"/>
              <w:ind w:left="10" w:right="208" w:firstLine="0"/>
              <w:jc w:val="both"/>
            </w:pP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20"/>
              </w:rPr>
              <w:t xml:space="preserve">of current deep learning technology compared with the machine learning methods of the past, the </w:t>
            </w: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20"/>
              </w:rPr>
              <w:t xml:space="preserve">wide availability of digital medical images, and the increased capabilities of computing hardware </w:t>
            </w: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20"/>
              </w:rPr>
              <w:t>[1</w:t>
            </w:r>
            <w:r>
              <w:rPr>
                <w:w w:val="101.01525442940849"/>
                <w:rFonts w:ascii="FrutigerLTStd" w:hAnsi="FrutigerLTStd" w:eastAsia="FrutigerLTStd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20"/>
              </w:rPr>
              <w:t xml:space="preserve">4]. AI has been tried for ultrasonography in various organs and systems, such as the thyroid, 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222" w:after="0"/>
              <w:ind w:left="208" w:right="288" w:firstLine="0"/>
              <w:jc w:val="left"/>
            </w:pP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17"/>
              </w:rPr>
              <w:t xml:space="preserve">Received: May 29, 2020 </w:t>
            </w:r>
            <w:r>
              <w:br/>
            </w: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17"/>
              </w:rPr>
              <w:t xml:space="preserve">Revised: October 31, 2020 </w:t>
            </w: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17"/>
              </w:rPr>
              <w:t>Accepted: November 3, 2020</w:t>
            </w:r>
          </w:p>
        </w:tc>
      </w:tr>
    </w:tbl>
    <w:p>
      <w:pPr>
        <w:autoSpaceDN w:val="0"/>
        <w:autoSpaceDE w:val="0"/>
        <w:widowControl/>
        <w:spacing w:line="276" w:lineRule="exact" w:before="0" w:after="0"/>
        <w:ind w:left="2" w:right="2952" w:firstLine="0"/>
        <w:jc w:val="both"/>
      </w:pP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musculoskeletal system, breast, and abdomen, as discussed in detail in the focused review articles of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>this special issue [5</w:t>
      </w:r>
      <w:r>
        <w:rPr>
          <w:w w:val="101.01525442940849"/>
          <w:rFonts w:ascii="FrutigerLTStd" w:hAnsi="FrutigerLTStd" w:eastAsia="FrutigerLTStd"/>
          <w:b w:val="0"/>
          <w:i w:val="0"/>
          <w:color w:val="000000"/>
          <w:sz w:val="28"/>
        </w:rPr>
        <w:t>-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8], albeit not as extensively as some other radiological imaging modalities such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as chest X-rays [9]. The potential role of AI is anticipated to enhance the quality of ultrasonographic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images, to provide various forms of diagnostic support (e.g., automated characterization of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findings on ultrasonographic images; extraction of quantitative or predictive information from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ultrasonographic images, which is difficult for a human examiner to do based on visual observations;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and automated detection or segmentation of various structures on ultrasonographic images), and to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improve workflow efficiency [10]. The list of specific examples of AI applications to ultrasonography is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>expected to grow in the future.</w:t>
      </w:r>
    </w:p>
    <w:p>
      <w:pPr>
        <w:autoSpaceDN w:val="0"/>
        <w:autoSpaceDE w:val="0"/>
        <w:widowControl/>
        <w:spacing w:line="232" w:lineRule="exact" w:before="48" w:after="24"/>
        <w:ind w:left="172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AI algorithms may augment the diagnostic accuracy and capability of ultrasonography examiners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-7.999999999999972" w:type="dxa"/>
      </w:tblPr>
      <w:tblGrid>
        <w:gridCol w:w="5187"/>
        <w:gridCol w:w="5187"/>
      </w:tblGrid>
      <w:tr>
        <w:trPr>
          <w:trHeight w:hRule="exact" w:val="1970"/>
        </w:trPr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" w:right="208" w:firstLine="0"/>
              <w:jc w:val="both"/>
            </w:pP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20"/>
              </w:rPr>
              <w:t>and are hoped to be particularly helpful for less-experienced examiners [11</w:t>
            </w:r>
            <w:r>
              <w:rPr>
                <w:w w:val="101.01525442940849"/>
                <w:rFonts w:ascii="FrutigerLTStd" w:hAnsi="FrutigerLTStd" w:eastAsia="FrutigerLTStd"/>
                <w:b w:val="0"/>
                <w:i w:val="0"/>
                <w:color w:val="000000"/>
                <w:sz w:val="28"/>
              </w:rPr>
              <w:t>-</w:t>
            </w: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20"/>
              </w:rPr>
              <w:t xml:space="preserve">15]. Ultrasonography </w:t>
            </w: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20"/>
              </w:rPr>
              <w:t xml:space="preserve">is more widely used in clinical practice than computed tomography (CT) or magnetic resonance </w:t>
            </w: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20"/>
              </w:rPr>
              <w:t xml:space="preserve">imaging (MRI), and it is performed by a more diverse range of medical professionals with varying </w:t>
            </w: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20"/>
              </w:rPr>
              <w:t xml:space="preserve">levels of expertise, some of whom perform better than others. Typically, a single examiner interprets </w:t>
            </w: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20"/>
              </w:rPr>
              <w:t xml:space="preserve">the findings and makes decisions on the fly while performing the examination. As a result, the greater </w:t>
            </w: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20"/>
              </w:rPr>
              <w:t xml:space="preserve">operator-dependency and subjectivity of ultrasonography compared with CT or MRI are well-known </w:t>
            </w: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20"/>
              </w:rPr>
              <w:t xml:space="preserve">issues. Therefore, one of the most eagerly anticipated benefits of applying AI in ultrasonography 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0" w:lineRule="exact" w:before="206" w:after="0"/>
              <w:ind w:left="208" w:right="0" w:firstLine="0"/>
              <w:jc w:val="left"/>
            </w:pPr>
            <w:r>
              <w:rPr>
                <w:rFonts w:ascii="FrutigerLTStd" w:hAnsi="FrutigerLTStd" w:eastAsia="FrutigerLTStd"/>
                <w:b w:val="0"/>
                <w:i w:val="0"/>
                <w:color w:val="D0111B"/>
                <w:sz w:val="13"/>
              </w:rPr>
              <w:t xml:space="preserve">This is an Open Access article distributed under the </w:t>
            </w:r>
            <w:r>
              <w:rPr>
                <w:rFonts w:ascii="FrutigerLTStd" w:hAnsi="FrutigerLTStd" w:eastAsia="FrutigerLTStd"/>
                <w:b w:val="0"/>
                <w:i w:val="0"/>
                <w:color w:val="D0111B"/>
                <w:sz w:val="13"/>
              </w:rPr>
              <w:t>terms of the Creative Commons Attribution Non-</w:t>
            </w:r>
            <w:r>
              <w:rPr>
                <w:rFonts w:ascii="FrutigerLTStd" w:hAnsi="FrutigerLTStd" w:eastAsia="FrutigerLTStd"/>
                <w:b w:val="0"/>
                <w:i w:val="0"/>
                <w:color w:val="D0111B"/>
                <w:sz w:val="13"/>
              </w:rPr>
              <w:t xml:space="preserve">Commercial License (http://creativecommons.org/ </w:t>
            </w:r>
            <w:r>
              <w:rPr>
                <w:rFonts w:ascii="FrutigerLTStd" w:hAnsi="FrutigerLTStd" w:eastAsia="FrutigerLTStd"/>
                <w:b w:val="0"/>
                <w:i w:val="0"/>
                <w:color w:val="D0111B"/>
                <w:sz w:val="13"/>
              </w:rPr>
              <w:t>licenses/by-nc/4.0/) which permits unrestricted non-</w:t>
            </w:r>
            <w:r>
              <w:rPr>
                <w:rFonts w:ascii="FrutigerLTStd" w:hAnsi="FrutigerLTStd" w:eastAsia="FrutigerLTStd"/>
                <w:b w:val="0"/>
                <w:i w:val="0"/>
                <w:color w:val="D0111B"/>
                <w:sz w:val="13"/>
              </w:rPr>
              <w:t xml:space="preserve">commercial use, distribution, and reproduction in </w:t>
            </w:r>
            <w:r>
              <w:rPr>
                <w:rFonts w:ascii="FrutigerLTStd" w:hAnsi="FrutigerLTStd" w:eastAsia="FrutigerLTStd"/>
                <w:b w:val="0"/>
                <w:i w:val="0"/>
                <w:color w:val="D0111B"/>
                <w:sz w:val="13"/>
              </w:rPr>
              <w:t xml:space="preserve">any medium, provided the original work is properly </w:t>
            </w:r>
            <w:r>
              <w:rPr>
                <w:rFonts w:ascii="FrutigerLTStd" w:hAnsi="FrutigerLTStd" w:eastAsia="FrutigerLTStd"/>
                <w:b w:val="0"/>
                <w:i w:val="0"/>
                <w:color w:val="D0111B"/>
                <w:sz w:val="13"/>
              </w:rPr>
              <w:t>cited.</w:t>
            </w:r>
          </w:p>
          <w:p>
            <w:pPr>
              <w:autoSpaceDN w:val="0"/>
              <w:autoSpaceDE w:val="0"/>
              <w:widowControl/>
              <w:spacing w:line="204" w:lineRule="exact" w:before="228" w:after="0"/>
              <w:ind w:left="208" w:right="0" w:firstLine="0"/>
              <w:jc w:val="left"/>
            </w:pP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17"/>
              </w:rPr>
              <w:t xml:space="preserve">Copyright © 2021 Korean Society of </w:t>
            </w: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17"/>
              </w:rPr>
              <w:t>Ultrasound in Medicine (KSUM)</w:t>
            </w:r>
          </w:p>
        </w:tc>
      </w:tr>
    </w:tbl>
    <w:p>
      <w:pPr>
        <w:autoSpaceDN w:val="0"/>
        <w:autoSpaceDE w:val="0"/>
        <w:widowControl/>
        <w:spacing w:line="272" w:lineRule="exact" w:before="0" w:after="0"/>
        <w:ind w:left="2" w:right="2952" w:firstLine="0"/>
        <w:jc w:val="both"/>
      </w:pP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would be reduced variability between examiners. In this regard, AI may offer a unique opportunity to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improve the performance of ultrasonography by removing variability between examiners. Nonetheless,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it should be noted that the very nature of ultrasonography also poses challenges in the development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>and clinical implementation of AI for ultrasonography.</w:t>
      </w:r>
    </w:p>
    <w:p>
      <w:pPr>
        <w:autoSpaceDN w:val="0"/>
        <w:autoSpaceDE w:val="0"/>
        <w:widowControl/>
        <w:spacing w:line="232" w:lineRule="exact" w:before="48" w:after="782"/>
        <w:ind w:left="172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First, the operator-dependency and subjectivity of ultrasonography introduce additional variability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58"/>
        <w:gridCol w:w="3458"/>
        <w:gridCol w:w="3458"/>
      </w:tblGrid>
      <w:tr>
        <w:trPr>
          <w:trHeight w:hRule="exact" w:val="1146"/>
        </w:trPr>
        <w:tc>
          <w:tcPr>
            <w:tcW w:type="dxa" w:w="7652"/>
            <w:gridSpan w:val="2"/>
            <w:tcBorders>
              <w:top w:sz="2.2639999389648438" w:val="single" w:color="#D0111B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0" w:after="0"/>
              <w:ind w:left="2" w:right="144" w:firstLine="0"/>
              <w:jc w:val="left"/>
            </w:pP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20"/>
              </w:rPr>
              <w:t xml:space="preserve">Seong Ho Park, MD, PhD </w:t>
            </w:r>
            <w:r>
              <w:br/>
            </w: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16"/>
              </w:rPr>
              <w:t xml:space="preserve">Department of Radiology and Research Institute of Radiology, Asan Medical Center, University of Ulsan College of Medicine, 88 </w:t>
            </w: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16"/>
              </w:rPr>
              <w:t>Olympic-ro 43-gil, Songpa-gu, Seoul 05505, Korea   Tel. +82-2-3010-5984, Fax. +82-2-476-4719, E-mail: seongho@amc.seoul.kr</w:t>
            </w:r>
          </w:p>
        </w:tc>
        <w:tc>
          <w:tcPr>
            <w:tcW w:type="dxa" w:w="2660"/>
            <w:vMerge w:val="restart"/>
            <w:tcBorders>
              <w:top w:sz="2.2639999389648438" w:val="single" w:color="#D0111B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24" w:after="0"/>
              <w:ind w:left="188" w:right="0" w:firstLine="0"/>
              <w:jc w:val="left"/>
            </w:pPr>
            <w:r>
              <w:rPr>
                <w:rFonts w:ascii="FrutigerLTStd" w:hAnsi="FrutigerLTStd" w:eastAsia="FrutigerLTStd"/>
                <w:b w:val="0"/>
                <w:i w:val="0"/>
                <w:color w:val="D0111B"/>
                <w:sz w:val="14"/>
              </w:rPr>
              <w:t xml:space="preserve">How to cite this article: </w:t>
            </w:r>
            <w:r>
              <w:br/>
            </w: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14"/>
              </w:rPr>
              <w:t xml:space="preserve">Park SH. Artificial intelligence for </w:t>
            </w: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14"/>
              </w:rPr>
              <w:t xml:space="preserve">ultrasonography: unique opportunities </w:t>
            </w: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14"/>
              </w:rPr>
              <w:t xml:space="preserve">and challenges. Ultrasonography. 2021 </w:t>
            </w: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14"/>
              </w:rPr>
              <w:t>Jan;40(1):3-6.</w:t>
            </w:r>
          </w:p>
          <w:p>
            <w:pPr>
              <w:autoSpaceDN w:val="0"/>
              <w:autoSpaceDE w:val="0"/>
              <w:widowControl/>
              <w:spacing w:line="266" w:lineRule="exact" w:before="360" w:after="0"/>
              <w:ind w:left="0" w:right="104" w:firstLine="0"/>
              <w:jc w:val="right"/>
            </w:pPr>
            <w:r>
              <w:rPr>
                <w:rFonts w:ascii="Gotham" w:hAnsi="Gotham" w:eastAsia="Gotham"/>
                <w:b/>
                <w:i w:val="0"/>
                <w:color w:val="000000"/>
                <w:sz w:val="24"/>
              </w:rPr>
              <w:t>3</w:t>
            </w:r>
          </w:p>
        </w:tc>
      </w:tr>
      <w:tr>
        <w:trPr>
          <w:trHeight w:hRule="exact" w:val="426"/>
        </w:trPr>
        <w:tc>
          <w:tcPr>
            <w:tcW w:type="dxa" w:w="279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80" w:after="0"/>
              <w:ind w:left="2" w:right="0" w:firstLine="0"/>
              <w:jc w:val="left"/>
            </w:pPr>
            <w:r>
              <w:rPr>
                <w:rFonts w:ascii="FrutigerLTStd" w:hAnsi="FrutigerLTStd" w:eastAsia="FrutigerLTStd"/>
                <w:b w:val="0"/>
                <w:i w:val="0"/>
                <w:color w:val="D0111B"/>
                <w:sz w:val="20"/>
              </w:rPr>
              <w:hyperlink r:id="rId13" w:history="1">
                <w:r>
                  <w:rPr>
                    <w:rStyle w:val="Hyperlink"/>
                  </w:rPr>
                  <w:t>e-ultrasonography.org</w:t>
                </w:r>
              </w:hyperlink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84" w:after="0"/>
              <w:ind w:left="1136" w:right="0" w:firstLine="0"/>
              <w:jc w:val="left"/>
            </w:pP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20"/>
              </w:rPr>
              <w:t>Ultrasonography 40(1), January 2021</w:t>
            </w:r>
          </w:p>
        </w:tc>
        <w:tc>
          <w:tcPr>
            <w:tcW w:type="dxa" w:w="3458"/>
            <w:vMerge/>
            <w:tcBorders>
              <w:top w:sz="2.2639999389648438" w:val="single" w:color="#D0111B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5874"/>
          <w:pgMar w:top="126" w:right="684" w:bottom="274" w:left="84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tabs>
          <w:tab w:pos="9152" w:val="left"/>
        </w:tabs>
        <w:autoSpaceDE w:val="0"/>
        <w:widowControl/>
        <w:spacing w:line="240" w:lineRule="auto" w:before="0" w:after="628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413000" cy="177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778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FrutigerLTStd" w:hAnsi="FrutigerLTStd" w:eastAsia="FrutigerLTStd"/>
          <w:b w:val="0"/>
          <w:i w:val="0"/>
          <w:color w:val="595757"/>
          <w:sz w:val="20"/>
        </w:rPr>
        <w:t>Seong Ho Park</w:t>
      </w:r>
    </w:p>
    <w:p>
      <w:pPr>
        <w:sectPr>
          <w:pgSz w:w="11906" w:h="15874"/>
          <w:pgMar w:top="360" w:right="778" w:bottom="274" w:left="8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8" w:lineRule="exact" w:before="0" w:after="0"/>
        <w:ind w:left="10" w:right="116" w:firstLine="0"/>
        <w:jc w:val="both"/>
      </w:pP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in the acquisition of imaging data. These factors could exacerbate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the limited generalizability of current AI systems built with deep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learning [16]. The finally obtained ultrasonographic images are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determined by how the examiner captures them. Thus, the results of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AI depend on how the target structure is represented and defined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by the examiner in the captured image [17] and, furthermore, by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whether the target object is correctly identified and captured at all,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unless an entire 3-dimensional volume scan is used, such as those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obtained using automated breast ultrasound systems. For the same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reason, considerable discrepancies may exist between the dataset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collected to train an AI algorithm and the imaging data generated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in real-world practice to be fed into the AI system. Therefore, even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for a highly sophisticated AI system to work correctly, some degree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of competency of the human examiner, at least sufficing to scan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the patient properly, still matters [17]. Moreover, standardization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of scanning and image acquisition, depending on the diagnostic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task, would be critical for the successful application of AI to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ultrasonography, which requires human expertise. In some sense,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the successful application of AI to ultrasonography creates an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impetus for standardizing and ensuring the quality of examinations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>performed by humans.</w:t>
      </w:r>
    </w:p>
    <w:p>
      <w:pPr>
        <w:autoSpaceDN w:val="0"/>
        <w:autoSpaceDE w:val="0"/>
        <w:widowControl/>
        <w:spacing w:line="280" w:lineRule="exact" w:before="0" w:after="0"/>
        <w:ind w:left="10" w:right="0" w:firstLine="17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Second, the more widespread use of ultrasonography in clinical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practice and its relatively easy accessibility require extra caution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when interpreting the results of AI used with ultrasonography.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The results given by AI, which capitalizes on the associations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between input features and outcome states, are probabilistic.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Therefore, unlike the results provided by tests based on cause-effect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relationships, the results of AI algorithms should generally not be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regarded as fixed results. A positive result from a test that finds a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clear causal determinant to make the diagnosis can be accepted as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a fixed result regardless of other factors. An illustrative example is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the reverse transcription polymerase chain reaction (RT-PCR) test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>for severe acute respiratory syndrome coronavirus 2. A positive RT-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PCR test result is an immutable proof of the presence of the virus, as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this test finds the RNA of the virus, as long as extraordinary cases of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residual RNA being detected in convalescent patients are excluded.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In contrast, the interpretation of AI results is affected substantially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by the pretest probability and the relevant spectrum of disease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manifestation [18]. An AI algorithm typically applies a threshold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to a probability-like internal raw algorithm output to generate the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final categorical result shown to the user (e.g., cancer vs. benign) or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may present the raw output in the form of probability (e.g., a 65%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probability of cancer). Both the accuracy of the probability scale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and the optimal threshold are profoundly affected by the pretest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probability and disease manifestation spectrum, which are, in turn,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determined by the baseline characteristics of the patient and the </w:t>
      </w:r>
    </w:p>
    <w:p>
      <w:pPr>
        <w:sectPr>
          <w:type w:val="continuous"/>
          <w:pgSz w:w="11906" w:h="15874"/>
          <w:pgMar w:top="360" w:right="778" w:bottom="274" w:left="840" w:header="720" w:footer="720" w:gutter="0"/>
          <w:cols w:num="2" w:equalWidth="0">
            <w:col w:w="5138" w:space="0"/>
            <w:col w:w="5150" w:space="0"/>
          </w:cols>
          <w:docGrid w:linePitch="360"/>
        </w:sectPr>
      </w:pPr>
    </w:p>
    <w:p>
      <w:pPr>
        <w:autoSpaceDN w:val="0"/>
        <w:autoSpaceDE w:val="0"/>
        <w:widowControl/>
        <w:spacing w:line="278" w:lineRule="exact" w:before="0" w:after="0"/>
        <w:ind w:left="116" w:right="22" w:firstLine="170"/>
        <w:jc w:val="both"/>
      </w:pP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It is critical for AI users to understand that the same AI result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could be correct for one patient but not for another, right in one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hospital but not in another hospital, and so on, depending on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patients’ baseline characteristics and the clinical setting. The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limited generalizability of AI algorithms for medical diagnosis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and prediction (i.e., the substantial variability in AI accuracy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across patients and hospitals) is a well-known phenomenon,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>often described as "overfitting" in a broad sense [2,18</w:t>
      </w:r>
      <w:r>
        <w:rPr>
          <w:w w:val="101.01525442940849"/>
          <w:rFonts w:ascii="FrutigerLTStd" w:hAnsi="FrutigerLTStd" w:eastAsia="FrutigerLTStd"/>
          <w:b w:val="0"/>
          <w:i w:val="0"/>
          <w:color w:val="000000"/>
          <w:sz w:val="28"/>
        </w:rPr>
        <w:t>-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23]. This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problem is primarily due to epidemiological factors, as mentioned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above (pretest probability and disease manifestation spectrum),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or, more simply, a disparity between training data and real-world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>data, rather than technical/mathematical overfitting [2,18</w:t>
      </w:r>
      <w:r>
        <w:rPr>
          <w:w w:val="101.01525442940849"/>
          <w:rFonts w:ascii="FrutigerLTStd" w:hAnsi="FrutigerLTStd" w:eastAsia="FrutigerLTStd"/>
          <w:b w:val="0"/>
          <w:i w:val="0"/>
          <w:color w:val="000000"/>
          <w:sz w:val="28"/>
        </w:rPr>
        <w:t>-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20].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This pitfall may be especially pronounced for AI algorithms for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ultrasonography, as ultrasonography examinations are often used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in a wide range of clinical settings and patients, and are performed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by a diverse range of medical professionals with varying expertise.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Ultrasonography systems are also more diverse, with more vendors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and versions, than CT or MRI. While one might expect AI to be more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helpful for less-experienced examiners, ironically, less-experienced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examiners may be more likely to have difficulties in appraising AI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results and more vulnerable to developing a complacent attitude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of merely accepting the AI results without the necessary appraisal.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Such complacency would ultimately compromise the accuracy of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ultrasonography examinations. The fact that ultrasonography is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typically performed and interpreted on the fly by a single practitioner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may further increase the risk. Consequently, the human expertise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of the examiner, including adequate knowledge and experience in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ultrasonography examinations, sound clinical and epidemiological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knowledge, and ideally some knowledge about AI as well, would be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>crucial for maximizing the benefits that AI may provide.</w:t>
      </w:r>
    </w:p>
    <w:p>
      <w:pPr>
        <w:autoSpaceDN w:val="0"/>
        <w:autoSpaceDE w:val="0"/>
        <w:widowControl/>
        <w:spacing w:line="280" w:lineRule="exact" w:before="0" w:after="48"/>
        <w:ind w:left="116" w:right="0" w:firstLine="17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The issue of overfitting underscores the importance of an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>adequate external validation of an AI algorithm in various real-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>world clinical settings where it is intended to be used [16,18,24</w:t>
      </w:r>
      <w:r>
        <w:rPr>
          <w:w w:val="101.01525442940849"/>
          <w:rFonts w:ascii="FrutigerLTStd" w:hAnsi="FrutigerLTStd" w:eastAsia="FrutigerLTStd"/>
          <w:b w:val="0"/>
          <w:i w:val="0"/>
          <w:color w:val="000000"/>
          <w:sz w:val="28"/>
        </w:rPr>
        <w:t>-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34]. For all the reasons explained above, perhaps, the importance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of sufficient external validation should be even more strongly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emphasized for AI applications to ultrasonography. A recent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systematic review of studies that evaluated AI algorithms for the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diagnostic analysis of medical imaging found that only 6% of such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studies published in peer-review journals performed some form of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external validation (whether they were otherwise methodologically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adequate or not) [35]. Future research on AI for ultrasonography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should emphasize the external validation of developed algorithms, in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addition to the development of novel algorithms. Rigorous external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validation helps to clarify the boundaries of when an AI algorithm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maintains its anticipated accuracy and when it fails, and can thus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help assure the users of conditions where the AI system can be used </w:t>
      </w:r>
    </w:p>
    <w:p>
      <w:pPr>
        <w:sectPr>
          <w:type w:val="nextColumn"/>
          <w:pgSz w:w="11906" w:h="15874"/>
          <w:pgMar w:top="360" w:right="778" w:bottom="274" w:left="840" w:header="720" w:footer="720" w:gutter="0"/>
          <w:cols w:num="2" w:equalWidth="0">
            <w:col w:w="5138" w:space="0"/>
            <w:col w:w="5150" w:space="0"/>
          </w:cols>
          <w:docGrid w:linePitch="360"/>
        </w:sectPr>
      </w:pPr>
    </w:p>
    <w:p>
      <w:pPr>
        <w:autoSpaceDN w:val="0"/>
        <w:tabs>
          <w:tab w:pos="5254" w:val="left"/>
        </w:tabs>
        <w:autoSpaceDE w:val="0"/>
        <w:widowControl/>
        <w:spacing w:line="232" w:lineRule="exact" w:before="0" w:after="0"/>
        <w:ind w:left="10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clinical setting.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safely and effectively. Furthermore, establishing a mechanism to </w:t>
      </w:r>
    </w:p>
    <w:p>
      <w:pPr>
        <w:autoSpaceDN w:val="0"/>
        <w:tabs>
          <w:tab w:pos="3762" w:val="left"/>
          <w:tab w:pos="8544" w:val="left"/>
        </w:tabs>
        <w:autoSpaceDE w:val="0"/>
        <w:widowControl/>
        <w:spacing w:line="266" w:lineRule="exact" w:before="320" w:after="0"/>
        <w:ind w:left="10" w:right="0" w:firstLine="0"/>
        <w:jc w:val="left"/>
      </w:pPr>
      <w:r>
        <w:rPr>
          <w:rFonts w:ascii="Gotham" w:hAnsi="Gotham" w:eastAsia="Gotham"/>
          <w:b/>
          <w:i w:val="0"/>
          <w:color w:val="000000"/>
          <w:sz w:val="24"/>
        </w:rPr>
        <w:t xml:space="preserve">4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Ultrasonography 40(1), January 2021 </w:t>
      </w:r>
      <w:r>
        <w:tab/>
      </w:r>
      <w:r>
        <w:rPr>
          <w:rFonts w:ascii="FrutigerLTStd" w:hAnsi="FrutigerLTStd" w:eastAsia="FrutigerLTStd"/>
          <w:b w:val="0"/>
          <w:i w:val="0"/>
          <w:color w:val="D0111B"/>
          <w:sz w:val="20"/>
        </w:rPr>
        <w:hyperlink r:id="rId13" w:history="1">
          <w:r>
            <w:rPr>
              <w:rStyle w:val="Hyperlink"/>
            </w:rPr>
            <w:t>e-ultrasonography.org</w:t>
          </w:r>
        </w:hyperlink>
      </w:r>
    </w:p>
    <w:p>
      <w:pPr>
        <w:sectPr>
          <w:type w:val="continuous"/>
          <w:pgSz w:w="11906" w:h="15874"/>
          <w:pgMar w:top="360" w:right="778" w:bottom="274" w:left="8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37"/>
        <w:gridCol w:w="5137"/>
      </w:tblGrid>
      <w:tr>
        <w:trPr>
          <w:trHeight w:hRule="exact" w:val="1400"/>
        </w:trPr>
        <w:tc>
          <w:tcPr>
            <w:tcW w:type="dxa" w:w="57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0" w:after="0"/>
              <w:ind w:left="0" w:right="0" w:firstLine="0"/>
              <w:jc w:val="left"/>
            </w:pPr>
            <w:r>
              <w:rPr>
                <w:rFonts w:ascii="FrutigerLTStd" w:hAnsi="FrutigerLTStd" w:eastAsia="FrutigerLTStd"/>
                <w:b w:val="0"/>
                <w:i w:val="0"/>
                <w:color w:val="595757"/>
                <w:sz w:val="20"/>
              </w:rPr>
              <w:t>Artificial intelligence for ultrasonography</w:t>
            </w:r>
          </w:p>
          <w:p>
            <w:pPr>
              <w:autoSpaceDN w:val="0"/>
              <w:autoSpaceDE w:val="0"/>
              <w:widowControl/>
              <w:spacing w:line="232" w:lineRule="exact" w:before="674" w:after="0"/>
              <w:ind w:left="0" w:right="0" w:firstLine="0"/>
              <w:jc w:val="left"/>
            </w:pP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20"/>
              </w:rPr>
              <w:t xml:space="preserve">deliver such information to the end-users of AI more effectively and </w:t>
            </w:r>
          </w:p>
          <w:p>
            <w:pPr>
              <w:autoSpaceDN w:val="0"/>
              <w:autoSpaceDE w:val="0"/>
              <w:widowControl/>
              <w:spacing w:line="232" w:lineRule="exact" w:before="48" w:after="0"/>
              <w:ind w:left="0" w:right="0" w:firstLine="0"/>
              <w:jc w:val="left"/>
            </w:pP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20"/>
              </w:rPr>
              <w:t>explicitly would also be an important next step [36].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70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2413000" cy="1778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7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330" w:lineRule="exact" w:before="616" w:after="0"/>
              <w:ind w:left="0" w:right="1930" w:firstLine="0"/>
              <w:jc w:val="right"/>
            </w:pPr>
            <w:r>
              <w:rPr>
                <w:rFonts w:ascii="FrutigerLTStd" w:hAnsi="FrutigerLTStd" w:eastAsia="FrutigerLTStd"/>
                <w:b w:val="0"/>
                <w:i w:val="0"/>
                <w:color w:val="D0111B"/>
                <w:sz w:val="28"/>
              </w:rPr>
              <w:t>References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48"/>
        <w:ind w:left="0" w:right="0"/>
      </w:pPr>
    </w:p>
    <w:p>
      <w:pPr>
        <w:sectPr>
          <w:pgSz w:w="11906" w:h="15874"/>
          <w:pgMar w:top="360" w:right="782" w:bottom="274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6" w:lineRule="exact" w:before="0" w:after="0"/>
        <w:ind w:left="0" w:right="0" w:firstLine="17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Third, the operator-dependency of ultrasonography makes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prospective research studies to validate AI even more essential.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The effect of a computerized decision support system such as AI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depends on not only its technical analytic capability, but also on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how the computerized results are presented to and acted upon by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human practitioners. Considering the expected operator-dependency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and variability in generating the ultrasonography image data and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>in acting upon AI results in on-the-fly decision-making during real-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time examinations, there could be meaningful differences between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an analysis of retrospectively collected images and natural clinical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practice. Studies on AI for ultrasonography have so far mostly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been retrospective. More prospective studies that involve actual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interactions between human examiners and AI systems should be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>performed.</w:t>
      </w:r>
    </w:p>
    <w:p>
      <w:pPr>
        <w:autoSpaceDN w:val="0"/>
        <w:autoSpaceDE w:val="0"/>
        <w:widowControl/>
        <w:spacing w:line="280" w:lineRule="exact" w:before="0" w:after="0"/>
        <w:ind w:left="0" w:right="116" w:firstLine="170"/>
        <w:jc w:val="both"/>
      </w:pP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AI research in healthcare is accelerating rapidly, with numerous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potential applications being demonstrated. However, there are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currently limited examples of such techniques being successfully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deployed in clinical practice [1,16]. The introduction of AI into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medicine is just beginning, and there remain multitudes of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challenges to overcome, including difficulties in obtaining sufficiently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large, curated, high-quality, representative datasets, deficiencies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in robust clinical validation, and technical limitations such as the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"black box" nature of AI algorithms, to name just a few [1,16,37].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These challenges are all relevant to AI for ultrasonography. This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article highlighted a few additional points that are unique to AI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as applied to ultrasonography and need to be addressed for the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successful development and clinical implementation of AI for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ultrasonography. In summary, the nature of how ultrasonography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examinations are performed and utilized demands extra attention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to the following issues regarding AI for ultrasonography. It is crucial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to maintain the human expertise of examiners, in terms of both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ultrasonography itself and the related clinical and epidemiological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knowledge. Standardization of scanning and image acquisition,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depending on the diagnostic tasks that AI is used to perform, is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also critical. The importance of sufficient external validation of AI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algorithms is especially significant for AI used with ultrasonography.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Prospective research studies that involve actual interactions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between human examiners and AI systems, rather than analyses of </w:t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>retrospectively collected images, should also be conducted.</w:t>
      </w:r>
    </w:p>
    <w:p>
      <w:pPr>
        <w:autoSpaceDN w:val="0"/>
        <w:autoSpaceDE w:val="0"/>
        <w:widowControl/>
        <w:spacing w:line="186" w:lineRule="exact" w:before="370" w:after="0"/>
        <w:ind w:left="0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16"/>
        </w:rPr>
        <w:t>ORCID: Seong Ho Park: https://orcid.org/0000-0002-1257-8315</w:t>
      </w:r>
    </w:p>
    <w:p>
      <w:pPr>
        <w:autoSpaceDN w:val="0"/>
        <w:autoSpaceDE w:val="0"/>
        <w:widowControl/>
        <w:spacing w:line="258" w:lineRule="exact" w:before="408" w:after="0"/>
        <w:ind w:left="0" w:right="144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22"/>
        </w:rPr>
        <w:t xml:space="preserve">Conflict of Interest </w:t>
      </w:r>
      <w:r>
        <w:br/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>No potential conflict of interest relevant to this article was reported.</w:t>
      </w:r>
    </w:p>
    <w:p>
      <w:pPr>
        <w:sectPr>
          <w:type w:val="continuous"/>
          <w:pgSz w:w="11906" w:h="15874"/>
          <w:pgMar w:top="360" w:right="782" w:bottom="274" w:left="850" w:header="720" w:footer="720" w:gutter="0"/>
          <w:cols w:num="2" w:equalWidth="0">
            <w:col w:w="5128" w:space="0"/>
            <w:col w:w="5146" w:space="0"/>
          </w:cols>
          <w:docGrid w:linePitch="360"/>
        </w:sectPr>
      </w:pPr>
    </w:p>
    <w:p>
      <w:pPr>
        <w:autoSpaceDN w:val="0"/>
        <w:tabs>
          <w:tab w:pos="436" w:val="left"/>
        </w:tabs>
        <w:autoSpaceDE w:val="0"/>
        <w:widowControl/>
        <w:spacing w:line="242" w:lineRule="exact" w:before="0" w:after="0"/>
        <w:ind w:left="116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 1. Topol EJ. High-performance medicine: the convergence of human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and artificial intelligence. Nat Med 2019;25:44-56.</w:t>
      </w:r>
    </w:p>
    <w:p>
      <w:pPr>
        <w:autoSpaceDN w:val="0"/>
        <w:autoSpaceDE w:val="0"/>
        <w:widowControl/>
        <w:spacing w:line="222" w:lineRule="exact" w:before="42" w:after="0"/>
        <w:ind w:left="116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 2. Soffer S, Ben-Cohen A, Shimon O, Amitai MM, Greenspan H, Klang E. </w:t>
      </w:r>
    </w:p>
    <w:p>
      <w:pPr>
        <w:autoSpaceDN w:val="0"/>
        <w:autoSpaceDE w:val="0"/>
        <w:widowControl/>
        <w:spacing w:line="262" w:lineRule="exact" w:before="2" w:after="0"/>
        <w:ind w:left="436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Convolutional neural networks for radiologic images: a radiologist's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guide. Radiology 2019;290:590-606.</w:t>
      </w:r>
    </w:p>
    <w:p>
      <w:pPr>
        <w:autoSpaceDN w:val="0"/>
        <w:autoSpaceDE w:val="0"/>
        <w:widowControl/>
        <w:spacing w:line="264" w:lineRule="exact" w:before="0" w:after="0"/>
        <w:ind w:left="436" w:right="24" w:hanging="320"/>
        <w:jc w:val="both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 3. Do S, Song KD, Chung JW. Basics of deep learning: a radiologist's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guide to understanding published radiology articles on deep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learning. Korean J Radiol 2020;21:33-41.</w:t>
      </w:r>
    </w:p>
    <w:p>
      <w:pPr>
        <w:autoSpaceDN w:val="0"/>
        <w:autoSpaceDE w:val="0"/>
        <w:widowControl/>
        <w:spacing w:line="264" w:lineRule="exact" w:before="0" w:after="0"/>
        <w:ind w:left="436" w:right="22" w:hanging="320"/>
        <w:jc w:val="both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 4. Lee JG, Jun S, Cho YW, Lee H, Kim GB, Seo JB, et al. Deep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learning in medical imaging: general overview. Korean J Radiol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2017;18:570-584.</w:t>
      </w:r>
    </w:p>
    <w:p>
      <w:pPr>
        <w:autoSpaceDN w:val="0"/>
        <w:autoSpaceDE w:val="0"/>
        <w:widowControl/>
        <w:spacing w:line="264" w:lineRule="exact" w:before="0" w:after="0"/>
        <w:ind w:left="436" w:right="24" w:hanging="320"/>
        <w:jc w:val="both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 5. Ha EJ, Baek JH. Application of machine learning and deep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learning to thyroid imaging: where do we stand? Ultrasonography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2021;40:23-29.</w:t>
      </w:r>
    </w:p>
    <w:p>
      <w:pPr>
        <w:autoSpaceDN w:val="0"/>
        <w:tabs>
          <w:tab w:pos="436" w:val="left"/>
        </w:tabs>
        <w:autoSpaceDE w:val="0"/>
        <w:widowControl/>
        <w:spacing w:line="264" w:lineRule="exact" w:before="0" w:after="0"/>
        <w:ind w:left="116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 6. Shin Y, Yang J, Lee YH, Kim S. Artificial intelligence in musculoskeletal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ultrasound imaging. Ultrasonography 2021;40:30-44.</w:t>
      </w:r>
    </w:p>
    <w:p>
      <w:pPr>
        <w:autoSpaceDN w:val="0"/>
        <w:tabs>
          <w:tab w:pos="436" w:val="left"/>
        </w:tabs>
        <w:autoSpaceDE w:val="0"/>
        <w:widowControl/>
        <w:spacing w:line="264" w:lineRule="exact" w:before="0" w:after="0"/>
        <w:ind w:left="116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 7. Kim J, Kim HJ, Kim C, Kim WH. Artificial intelligence in breast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ultrasound. Ultrasonography 2021 (in press).</w:t>
      </w:r>
    </w:p>
    <w:p>
      <w:pPr>
        <w:autoSpaceDN w:val="0"/>
        <w:autoSpaceDE w:val="0"/>
        <w:widowControl/>
        <w:spacing w:line="264" w:lineRule="exact" w:before="0" w:after="0"/>
        <w:ind w:left="436" w:right="0" w:hanging="32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 8. Song KD. Current status of deep learning applications in abdominal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ultrasonography. Ultrasonography 2020 Sep 2 [Epub]. https://doi.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org/10.14366/usg.20085.</w:t>
      </w:r>
    </w:p>
    <w:p>
      <w:pPr>
        <w:autoSpaceDN w:val="0"/>
        <w:autoSpaceDE w:val="0"/>
        <w:widowControl/>
        <w:spacing w:line="264" w:lineRule="exact" w:before="0" w:after="0"/>
        <w:ind w:left="436" w:right="22" w:hanging="320"/>
        <w:jc w:val="both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 9. Hwang EJ, Park CM. Clinical implementation of deep learning in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thoracic radiology: potential applications and challenges. Korean J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Radiol 2020;21:511-525.</w:t>
      </w:r>
    </w:p>
    <w:p>
      <w:pPr>
        <w:autoSpaceDN w:val="0"/>
        <w:autoSpaceDE w:val="0"/>
        <w:widowControl/>
        <w:spacing w:line="222" w:lineRule="exact" w:before="42" w:after="0"/>
        <w:ind w:left="116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10. Yi J, Kang HK, Kwon JH, Kim KS, Park MH, Seong YK, et al. </w:t>
      </w:r>
    </w:p>
    <w:p>
      <w:pPr>
        <w:autoSpaceDN w:val="0"/>
        <w:tabs>
          <w:tab w:pos="436" w:val="left"/>
        </w:tabs>
        <w:autoSpaceDE w:val="0"/>
        <w:widowControl/>
        <w:spacing w:line="264" w:lineRule="exact" w:before="0" w:after="0"/>
        <w:ind w:left="116" w:right="0" w:firstLine="0"/>
        <w:jc w:val="left"/>
      </w:pP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Technology trends and applications of deep learning in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ultrasonography: image quality enhancement, diagnostic support,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and improving workflow efficiency. Ultrasonography 2021;40:7-22.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11. Choi JS, Han BK, Ko ES, Bae JM, Ko EY, Song SH, et al. Effect of a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deep learning framework-based computer-aided diagnosis system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on the diagnostic performance of radiologists in differentiating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between malignant and benign masses on breast ultrasonography.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Korean J Radiol 2019;20:749-758.</w:t>
      </w:r>
    </w:p>
    <w:p>
      <w:pPr>
        <w:autoSpaceDN w:val="0"/>
        <w:autoSpaceDE w:val="0"/>
        <w:widowControl/>
        <w:spacing w:line="264" w:lineRule="exact" w:before="0" w:after="0"/>
        <w:ind w:left="436" w:right="0" w:hanging="32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>12. Zhang J, Wang Y, Yu B, Shi X, Zhang Y. Application of computer-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aided diagnosis to the sonographic evaluation of cervical lymph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nodes. Ultrason Imaging 2016;38:159-171.</w:t>
      </w:r>
    </w:p>
    <w:p>
      <w:pPr>
        <w:autoSpaceDN w:val="0"/>
        <w:autoSpaceDE w:val="0"/>
        <w:widowControl/>
        <w:spacing w:line="264" w:lineRule="exact" w:before="0" w:after="0"/>
        <w:ind w:left="436" w:right="20" w:hanging="320"/>
        <w:jc w:val="both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13. Yoo YJ, Ha EJ, Cho YJ, Kim HL, Han M, Kang SY. Computer-aided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diagnosis of thyroid nodules via ultrasonography: initial clinical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experience. Korean J Radiol 2018;19:665-672.</w:t>
      </w:r>
    </w:p>
    <w:p>
      <w:pPr>
        <w:autoSpaceDN w:val="0"/>
        <w:autoSpaceDE w:val="0"/>
        <w:widowControl/>
        <w:spacing w:line="264" w:lineRule="exact" w:before="0" w:after="0"/>
        <w:ind w:left="436" w:right="20" w:hanging="320"/>
        <w:jc w:val="both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14. Jeong Y, Kim JH, Chae HD, Park SJ, Bae JS, Joo I, et al. Deep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learning-based decision support system for the diagnosis of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neoplastic gallbladder polyps on ultrasonography: preliminary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results. Sci Rep 2020;10:7700.</w:t>
      </w:r>
    </w:p>
    <w:p>
      <w:pPr>
        <w:autoSpaceDN w:val="0"/>
        <w:autoSpaceDE w:val="0"/>
        <w:widowControl/>
        <w:spacing w:line="264" w:lineRule="exact" w:before="0" w:after="510"/>
        <w:ind w:left="436" w:right="22" w:hanging="320"/>
        <w:jc w:val="both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15. Wang Y, Choi EJ, Choi Y, Zhang H, Jin GY, Ko SB. Breast cancer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classification in automated breast ultrasound using multiview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convolutional neural network with transfer learning. Ultrasound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Med Biol 2020;46:1119-1132.</w:t>
      </w:r>
    </w:p>
    <w:p>
      <w:pPr>
        <w:sectPr>
          <w:type w:val="nextColumn"/>
          <w:pgSz w:w="11906" w:h="15874"/>
          <w:pgMar w:top="360" w:right="782" w:bottom="274" w:left="850" w:header="720" w:footer="720" w:gutter="0"/>
          <w:cols w:num="2" w:equalWidth="0">
            <w:col w:w="5128" w:space="0"/>
            <w:col w:w="514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425"/>
        <w:gridCol w:w="3425"/>
        <w:gridCol w:w="3425"/>
      </w:tblGrid>
      <w:tr>
        <w:trPr>
          <w:trHeight w:hRule="exact" w:val="246"/>
        </w:trPr>
        <w:tc>
          <w:tcPr>
            <w:tcW w:type="dxa" w:w="27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0" w:after="0"/>
              <w:ind w:left="0" w:right="0" w:firstLine="0"/>
              <w:jc w:val="left"/>
            </w:pPr>
            <w:r>
              <w:rPr>
                <w:rFonts w:ascii="FrutigerLTStd" w:hAnsi="FrutigerLTStd" w:eastAsia="FrutigerLTStd"/>
                <w:b w:val="0"/>
                <w:i w:val="0"/>
                <w:color w:val="D0111B"/>
                <w:sz w:val="20"/>
              </w:rPr>
              <w:hyperlink r:id="rId13" w:history="1">
                <w:r>
                  <w:rPr>
                    <w:rStyle w:val="Hyperlink"/>
                  </w:rPr>
                  <w:t>e-ultrasonography.org</w:t>
                </w:r>
              </w:hyperlink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4" w:after="0"/>
              <w:ind w:left="1136" w:right="0" w:firstLine="0"/>
              <w:jc w:val="left"/>
            </w:pPr>
            <w:r>
              <w:rPr>
                <w:rFonts w:ascii="FrutigerLTStd" w:hAnsi="FrutigerLTStd" w:eastAsia="FrutigerLTStd"/>
                <w:b w:val="0"/>
                <w:i w:val="0"/>
                <w:color w:val="000000"/>
                <w:sz w:val="20"/>
              </w:rPr>
              <w:t>Ultrasonography 40(1), January 2021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24" w:firstLine="0"/>
              <w:jc w:val="right"/>
            </w:pPr>
            <w:r>
              <w:rPr>
                <w:rFonts w:ascii="Gotham" w:hAnsi="Gotham" w:eastAsia="Gotham"/>
                <w:b/>
                <w:i w:val="0"/>
                <w:color w:val="000000"/>
                <w:sz w:val="24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1906" w:h="15874"/>
          <w:pgMar w:top="360" w:right="782" w:bottom="274" w:left="85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413000" cy="177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3000" cy="177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628"/>
        <w:sectPr>
          <w:pgSz w:w="11906" w:h="15874"/>
          <w:pgMar w:top="360" w:right="782" w:bottom="274" w:left="8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0" w:lineRule="exact" w:before="0" w:after="0"/>
        <w:ind w:left="330" w:right="120" w:hanging="320"/>
        <w:jc w:val="both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16. Kelly CJ, Karthikesalingam A, Suleyman M, Corrado G, King D. Key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challenges for delivering clinical impact with artificial intelligence.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BMC Med 2019;17:195.</w:t>
      </w:r>
    </w:p>
    <w:p>
      <w:pPr>
        <w:autoSpaceDN w:val="0"/>
        <w:autoSpaceDE w:val="0"/>
        <w:widowControl/>
        <w:spacing w:line="264" w:lineRule="exact" w:before="0" w:after="0"/>
        <w:ind w:left="330" w:right="122" w:hanging="320"/>
        <w:jc w:val="both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17. Jeong EY, Kim HL, Ha EJ, Park SY, Cho YJ, Han M. Computer-aided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diagnosis system for thyroid nodules on ultrasonography: diagnostic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performance and reproducibility based on the experience level of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operators. Eur Radiol 2019;29:1978-1985.</w:t>
      </w:r>
    </w:p>
    <w:p>
      <w:pPr>
        <w:autoSpaceDN w:val="0"/>
        <w:autoSpaceDE w:val="0"/>
        <w:widowControl/>
        <w:spacing w:line="264" w:lineRule="exact" w:before="0" w:after="0"/>
        <w:ind w:left="330" w:right="124" w:hanging="320"/>
        <w:jc w:val="both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18. Park SH, Han K. Methodologic guide for evaluating clinical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performance and effect of artificial intelligence technology for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medical diagnosis and prediction. Radiology 2018;286:800-809.</w:t>
      </w:r>
    </w:p>
    <w:p>
      <w:pPr>
        <w:autoSpaceDN w:val="0"/>
        <w:autoSpaceDE w:val="0"/>
        <w:widowControl/>
        <w:spacing w:line="264" w:lineRule="exact" w:before="0" w:after="0"/>
        <w:ind w:left="330" w:right="122" w:hanging="320"/>
        <w:jc w:val="both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19. Park SH, Kim YH, Lee JY, Yoo S, Kim CJ. Ethical challenges regarding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artificial intelligence in medicine from the perspective of scientific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editing and peer review. Sci Ed 2019;6:91-98.</w:t>
      </w:r>
    </w:p>
    <w:p>
      <w:pPr>
        <w:autoSpaceDN w:val="0"/>
        <w:autoSpaceDE w:val="0"/>
        <w:widowControl/>
        <w:spacing w:line="220" w:lineRule="exact" w:before="44" w:after="0"/>
        <w:ind w:left="10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20. Zech JR, Badgeley MA, Liu M, Costa AB, Titano JJ, Oermann EK. </w:t>
      </w:r>
    </w:p>
    <w:p>
      <w:pPr>
        <w:autoSpaceDN w:val="0"/>
        <w:autoSpaceDE w:val="0"/>
        <w:widowControl/>
        <w:spacing w:line="264" w:lineRule="exact" w:before="0" w:after="0"/>
        <w:ind w:left="330" w:right="122" w:firstLine="0"/>
        <w:jc w:val="both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Variable generalization performance of a deep learning model to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detect pneumonia in chest radiographs: a cross-sectional study.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PLoS Med 2018;15:e1002683.</w:t>
      </w:r>
    </w:p>
    <w:p>
      <w:pPr>
        <w:autoSpaceDN w:val="0"/>
        <w:autoSpaceDE w:val="0"/>
        <w:widowControl/>
        <w:spacing w:line="264" w:lineRule="exact" w:before="0" w:after="0"/>
        <w:ind w:left="330" w:right="120" w:hanging="320"/>
        <w:jc w:val="both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21. Lee JH, Joo I, Kang TW, Paik YH, Sinn DH, Ha SY, et al. Deep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learning with ultrasonography: automated classification of liver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fibrosis using a deep convolutional neural network. Eur Radiol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2020;30:1264-1273.</w:t>
      </w:r>
    </w:p>
    <w:p>
      <w:pPr>
        <w:autoSpaceDN w:val="0"/>
        <w:autoSpaceDE w:val="0"/>
        <w:widowControl/>
        <w:spacing w:line="264" w:lineRule="exact" w:before="0" w:after="0"/>
        <w:ind w:left="330" w:right="118" w:hanging="320"/>
        <w:jc w:val="both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22. Li X, Zhang S, Zhang Q, Wei X, Pan Y, Zhao J, et al. Diagnosis of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thyroid cancer using deep convolutional neural network models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applied to sonographic images: a retrospective, multicohort,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diagnostic study. Lancet Oncol 2019;20:193-201.</w:t>
      </w:r>
    </w:p>
    <w:p>
      <w:pPr>
        <w:autoSpaceDN w:val="0"/>
        <w:autoSpaceDE w:val="0"/>
        <w:widowControl/>
        <w:spacing w:line="222" w:lineRule="exact" w:before="42" w:after="0"/>
        <w:ind w:left="10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23. Ting DS, Cheung CY, Lim G, Tan GSW, Quang ND, Gan A, et al. </w:t>
      </w:r>
    </w:p>
    <w:p>
      <w:pPr>
        <w:autoSpaceDN w:val="0"/>
        <w:autoSpaceDE w:val="0"/>
        <w:widowControl/>
        <w:spacing w:line="264" w:lineRule="exact" w:before="0" w:after="0"/>
        <w:ind w:left="330" w:right="120" w:firstLine="0"/>
        <w:jc w:val="both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Development and validation of a deep learning system for diabetic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retinopathy and related eye diseases using retinal images From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multiethnic populations with diabetes. JAMA 2017;318:2211-</w:t>
      </w:r>
    </w:p>
    <w:p>
      <w:pPr>
        <w:sectPr>
          <w:type w:val="continuous"/>
          <w:pgSz w:w="11906" w:h="15874"/>
          <w:pgMar w:top="360" w:right="782" w:bottom="274" w:left="840" w:header="720" w:footer="720" w:gutter="0"/>
          <w:cols w:num="2" w:equalWidth="0">
            <w:col w:w="5138" w:space="0"/>
            <w:col w:w="5146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436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>Engl J Med 2020;382:791-793.</w:t>
      </w:r>
    </w:p>
    <w:p>
      <w:pPr>
        <w:autoSpaceDN w:val="0"/>
        <w:tabs>
          <w:tab w:pos="436" w:val="left"/>
        </w:tabs>
        <w:autoSpaceDE w:val="0"/>
        <w:widowControl/>
        <w:spacing w:line="264" w:lineRule="exact" w:before="0" w:after="0"/>
        <w:ind w:left="116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26. Mutasa S, Sun S, Ha R. Understanding artificial intelligence based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radiology studies: what is overfitting? Clin Imaging 2020;65:96-99.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27. Bluemke DA, Moy L, Bredella MA, Ertl-Wagner BB, Fowler KJ, Goh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VJ, et al. Assessing radiology research on artificial intelligence: a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brief guide for authors, reviewers, and readers-from the Radiology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Editorial Board. Radiology 2020;294:487-489.</w:t>
      </w:r>
    </w:p>
    <w:p>
      <w:pPr>
        <w:autoSpaceDN w:val="0"/>
        <w:tabs>
          <w:tab w:pos="436" w:val="left"/>
        </w:tabs>
        <w:autoSpaceDE w:val="0"/>
        <w:widowControl/>
        <w:spacing w:line="264" w:lineRule="exact" w:before="0" w:after="0"/>
        <w:ind w:left="116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28. Parikh RB, Obermeyer Z, Navathe AS. Regulation of predictive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analytics in medicine. Science 2019;363:810-812.</w:t>
      </w:r>
    </w:p>
    <w:p>
      <w:pPr>
        <w:autoSpaceDN w:val="0"/>
        <w:tabs>
          <w:tab w:pos="436" w:val="left"/>
        </w:tabs>
        <w:autoSpaceDE w:val="0"/>
        <w:widowControl/>
        <w:spacing w:line="264" w:lineRule="exact" w:before="0" w:after="0"/>
        <w:ind w:left="116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29. Yu KH, Kohane IS. Framing the challenges of artificial intelligence in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medicine. BMJ Qual Saf 2019;28:238-241.</w:t>
      </w:r>
    </w:p>
    <w:p>
      <w:pPr>
        <w:autoSpaceDN w:val="0"/>
        <w:autoSpaceDE w:val="0"/>
        <w:widowControl/>
        <w:spacing w:line="222" w:lineRule="exact" w:before="42" w:after="0"/>
        <w:ind w:left="116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30. Van Calster B, Wynants L, Timmerman D, Steyerberg EW, Collins GS. </w:t>
      </w:r>
    </w:p>
    <w:p>
      <w:pPr>
        <w:autoSpaceDN w:val="0"/>
        <w:autoSpaceDE w:val="0"/>
        <w:widowControl/>
        <w:spacing w:line="264" w:lineRule="exact" w:before="0" w:after="0"/>
        <w:ind w:left="436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Predictive analytics in health care: how can we know it works? J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Am Med Inform Assoc 2019;26:1651-1654.</w:t>
      </w:r>
    </w:p>
    <w:p>
      <w:pPr>
        <w:autoSpaceDN w:val="0"/>
        <w:autoSpaceDE w:val="0"/>
        <w:widowControl/>
        <w:spacing w:line="264" w:lineRule="exact" w:before="0" w:after="0"/>
        <w:ind w:left="436" w:right="22" w:hanging="320"/>
        <w:jc w:val="both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31. Tang A, Tam R, Cadrin-Chenevert A, Guest W, Chong J, Barfett J, et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al. Canadian Association of Radiologists white paper on artificial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intelligence in radiology. Can Assoc Radiol J 2018;69:120-135.</w:t>
      </w:r>
    </w:p>
    <w:p>
      <w:pPr>
        <w:autoSpaceDN w:val="0"/>
        <w:autoSpaceDE w:val="0"/>
        <w:widowControl/>
        <w:spacing w:line="264" w:lineRule="exact" w:before="0" w:after="0"/>
        <w:ind w:left="436" w:right="22" w:hanging="320"/>
        <w:jc w:val="both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32. Park SH, Do KH, Choi JI, Sim JS, Yang DM, Eo H, et al. Principles for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evaluating the clinical implementation of novel digital healthcare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devices. J Korean Med Assoc 2018;61:765-775.</w:t>
      </w:r>
    </w:p>
    <w:p>
      <w:pPr>
        <w:autoSpaceDN w:val="0"/>
        <w:autoSpaceDE w:val="0"/>
        <w:widowControl/>
        <w:spacing w:line="264" w:lineRule="exact" w:before="0" w:after="0"/>
        <w:ind w:left="436" w:right="22" w:hanging="320"/>
        <w:jc w:val="both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33. Nevin L; PLOS Medicine Editors. Advancing the beneficial use of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machine learning in health care and medicine: toward a community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understanding. PLoS Med 2018;15:e1002708.</w:t>
      </w:r>
    </w:p>
    <w:p>
      <w:pPr>
        <w:autoSpaceDN w:val="0"/>
        <w:tabs>
          <w:tab w:pos="436" w:val="left"/>
        </w:tabs>
        <w:autoSpaceDE w:val="0"/>
        <w:widowControl/>
        <w:spacing w:line="264" w:lineRule="exact" w:before="0" w:after="0"/>
        <w:ind w:left="116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34. Nsoesie EO. Evaluating artificial intelligence applications in clinical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settings. JAMA Netw Open 2018;1:e182658.</w:t>
      </w:r>
    </w:p>
    <w:p>
      <w:pPr>
        <w:autoSpaceDN w:val="0"/>
        <w:autoSpaceDE w:val="0"/>
        <w:widowControl/>
        <w:spacing w:line="264" w:lineRule="exact" w:before="0" w:after="42"/>
        <w:ind w:left="436" w:right="20" w:hanging="320"/>
        <w:jc w:val="both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35. Kim DW, Jang HY, Kim KW, Shin Y, Park SH. Design characteristics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of studies reporting the performance of artificial intelligence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algorithms for diagnostic analysis of medical images: results from </w:t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recently published papers. Korean J Radiol 2019;20:405-410.</w:t>
      </w:r>
    </w:p>
    <w:p>
      <w:pPr>
        <w:sectPr>
          <w:type w:val="nextColumn"/>
          <w:pgSz w:w="11906" w:h="15874"/>
          <w:pgMar w:top="360" w:right="782" w:bottom="274" w:left="840" w:header="720" w:footer="720" w:gutter="0"/>
          <w:cols w:num="2" w:equalWidth="0">
            <w:col w:w="5138" w:space="0"/>
            <w:col w:w="5146" w:space="0"/>
          </w:cols>
          <w:docGrid w:linePitch="360"/>
        </w:sectPr>
      </w:pPr>
    </w:p>
    <w:p>
      <w:pPr>
        <w:autoSpaceDN w:val="0"/>
        <w:tabs>
          <w:tab w:pos="5254" w:val="left"/>
        </w:tabs>
        <w:autoSpaceDE w:val="0"/>
        <w:widowControl/>
        <w:spacing w:line="220" w:lineRule="exact" w:before="0" w:after="0"/>
        <w:ind w:left="330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2223.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36. Sendak MP, Gao M, Brajer N, Balu S. Presenting machine learning </w:t>
      </w:r>
    </w:p>
    <w:p>
      <w:pPr>
        <w:autoSpaceDN w:val="0"/>
        <w:tabs>
          <w:tab w:pos="5574" w:val="left"/>
        </w:tabs>
        <w:autoSpaceDE w:val="0"/>
        <w:widowControl/>
        <w:spacing w:line="224" w:lineRule="exact" w:before="36" w:after="0"/>
        <w:ind w:left="10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24. Hamon R, Junklewitz H, Sanchez Martin JI. Robustness and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model information to clinical end users with model facts labels. NPJ </w:t>
      </w:r>
    </w:p>
    <w:p>
      <w:pPr>
        <w:autoSpaceDN w:val="0"/>
        <w:tabs>
          <w:tab w:pos="5574" w:val="left"/>
        </w:tabs>
        <w:autoSpaceDE w:val="0"/>
        <w:widowControl/>
        <w:spacing w:line="224" w:lineRule="exact" w:before="36" w:after="0"/>
        <w:ind w:left="330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explainability of artificial intelligence: from technical to policy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Digit Med 2020;3:41.</w:t>
      </w:r>
    </w:p>
    <w:p>
      <w:pPr>
        <w:autoSpaceDN w:val="0"/>
        <w:tabs>
          <w:tab w:pos="5254" w:val="left"/>
        </w:tabs>
        <w:autoSpaceDE w:val="0"/>
        <w:widowControl/>
        <w:spacing w:line="224" w:lineRule="exact" w:before="36" w:after="0"/>
        <w:ind w:left="330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solutions. Luxembourg: Publications Office of the European Union,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37. Willemink MJ, Koszek WA, Hardell C, Wu J, Fleischmann D, Harvey </w:t>
      </w:r>
    </w:p>
    <w:p>
      <w:pPr>
        <w:autoSpaceDN w:val="0"/>
        <w:tabs>
          <w:tab w:pos="5574" w:val="left"/>
        </w:tabs>
        <w:autoSpaceDE w:val="0"/>
        <w:widowControl/>
        <w:spacing w:line="224" w:lineRule="exact" w:before="36" w:after="0"/>
        <w:ind w:left="330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2020.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H, et al. Preparing medical imaging data for machine learning. </w:t>
      </w:r>
    </w:p>
    <w:p>
      <w:pPr>
        <w:autoSpaceDN w:val="0"/>
        <w:tabs>
          <w:tab w:pos="5574" w:val="left"/>
        </w:tabs>
        <w:autoSpaceDE w:val="0"/>
        <w:widowControl/>
        <w:spacing w:line="224" w:lineRule="exact" w:before="36" w:after="0"/>
        <w:ind w:left="10" w:right="0" w:firstLine="0"/>
        <w:jc w:val="left"/>
      </w:pPr>
      <w:r>
        <w:rPr>
          <w:rFonts w:ascii="FrutigerLTStd" w:hAnsi="FrutigerLTStd" w:eastAsia="FrutigerLTStd"/>
          <w:b w:val="0"/>
          <w:i w:val="0"/>
          <w:color w:val="000000"/>
          <w:sz w:val="19"/>
        </w:rPr>
        <w:t xml:space="preserve">25. Mehta MC, Katz IT, Jha AK. Transforming global health with AI. N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19"/>
        </w:rPr>
        <w:t>Radiology 2020;295:4-15.</w:t>
      </w:r>
    </w:p>
    <w:p>
      <w:pPr>
        <w:autoSpaceDN w:val="0"/>
        <w:tabs>
          <w:tab w:pos="3762" w:val="left"/>
          <w:tab w:pos="8544" w:val="left"/>
        </w:tabs>
        <w:autoSpaceDE w:val="0"/>
        <w:widowControl/>
        <w:spacing w:line="266" w:lineRule="exact" w:before="4238" w:after="0"/>
        <w:ind w:left="10" w:right="0" w:firstLine="0"/>
        <w:jc w:val="left"/>
      </w:pPr>
      <w:r>
        <w:rPr>
          <w:rFonts w:ascii="Gotham" w:hAnsi="Gotham" w:eastAsia="Gotham"/>
          <w:b/>
          <w:i w:val="0"/>
          <w:color w:val="000000"/>
          <w:sz w:val="24"/>
        </w:rPr>
        <w:t xml:space="preserve">6 </w:t>
      </w:r>
      <w:r>
        <w:tab/>
      </w:r>
      <w:r>
        <w:rPr>
          <w:rFonts w:ascii="FrutigerLTStd" w:hAnsi="FrutigerLTStd" w:eastAsia="FrutigerLTStd"/>
          <w:b w:val="0"/>
          <w:i w:val="0"/>
          <w:color w:val="000000"/>
          <w:sz w:val="20"/>
        </w:rPr>
        <w:t xml:space="preserve">Ultrasonography 40(1), January 2021 </w:t>
      </w:r>
      <w:r>
        <w:tab/>
      </w:r>
      <w:r>
        <w:rPr>
          <w:rFonts w:ascii="FrutigerLTStd" w:hAnsi="FrutigerLTStd" w:eastAsia="FrutigerLTStd"/>
          <w:b w:val="0"/>
          <w:i w:val="0"/>
          <w:color w:val="D0111B"/>
          <w:sz w:val="20"/>
        </w:rPr>
        <w:hyperlink r:id="rId13" w:history="1">
          <w:r>
            <w:rPr>
              <w:rStyle w:val="Hyperlink"/>
            </w:rPr>
            <w:t>e-ultrasonography.org</w:t>
          </w:r>
        </w:hyperlink>
      </w:r>
    </w:p>
    <w:sectPr w:rsidR="00FC693F" w:rsidRPr="0006063C" w:rsidSect="00034616">
      <w:type w:val="continuous"/>
      <w:pgSz w:w="11906" w:h="15874"/>
      <w:pgMar w:top="360" w:right="782" w:bottom="274" w:left="8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www.e-ultrasonography.org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