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E185D"/>
          <w:spacing w:val="15"/>
          <w:sz w:val="18"/>
          <w:szCs w:val="18"/>
        </w:rPr>
        <w:t xml:space="preserve">PAN-AFRICAN AI SUMMIT HACKATHON 2026 — CLIMATETECH TRACK</w:t>
      </w:r>
    </w:p>
    <w:p>
      <w:pPr>
        <w:spacing w:after="60"/>
      </w:pPr>
      <w:r>
        <w:rPr>
          <w:b/>
          <w:bCs/>
          <w:color w:val="1A1A2E"/>
          <w:sz w:val="48"/>
          <w:szCs w:val="48"/>
        </w:rPr>
        <w:t xml:space="preserve">Galamsey Eye</w:t>
      </w:r>
    </w:p>
    <w:p>
      <w:pPr>
        <w:spacing w:after="300"/>
      </w:pPr>
      <w:r>
        <w:rPr>
          <w:i/>
          <w:iCs/>
          <w:color w:val="555555"/>
          <w:sz w:val="24"/>
          <w:szCs w:val="24"/>
        </w:rPr>
        <w:t xml:space="preserve">Satellite + community detection and prediction of illegal mining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Project reference document — team of 3, three-week build window. Covers problem, scope, architecture, stack, data sources/APIs, timeline, user flows, and risks.</w:t>
      </w:r>
    </w:p>
    <w:p>
      <w:pPr>
        <w:pStyle w:val="Heading1"/>
        <w:pBdr>
          <w:bottom w:val="single" w:color="6B21A8" w:sz="8" w:space="4"/>
        </w:pBdr>
        <w:spacing w:after="200" w:before="420"/>
      </w:pPr>
      <w:r>
        <w:rPr>
          <w:b/>
          <w:bCs/>
          <w:color w:val="6B21A8"/>
          <w:sz w:val="30"/>
          <w:szCs w:val="30"/>
        </w:rPr>
        <w:t xml:space="preserve">1. Problem &amp; one-line pitch</w:t>
      </w:r>
    </w:p>
    <w:p>
      <w:pPr>
        <w:spacing w:after="60" w:before="190"/>
      </w:pPr>
      <w:r>
        <w:rPr>
          <w:b/>
          <w:bCs/>
          <w:color w:val="BE185D"/>
          <w:spacing w:val="20"/>
          <w:sz w:val="18"/>
          <w:szCs w:val="18"/>
        </w:rPr>
        <w:t xml:space="preserve">THE PROBLEM</w:t>
      </w:r>
    </w:p>
    <w:p>
      <w:pPr>
        <w:spacing w:after="150" w:line="300"/>
      </w:pPr>
      <w:r>
        <w:rPr>
          <w:color w:val="1A1A2E"/>
          <w:sz w:val="21"/>
          <w:szCs w:val="21"/>
        </w:rPr>
        <w:t xml:space="preserve">Illegal mining (galamsey) is one of Ghana's most urgent environmental crises right now — it poisons rivers, destroys farmland, and detection is almost entirely reactive: authorities and communities find out after a river has already turned brown or a forest has already been stripped.</w:t>
      </w:r>
    </w:p>
    <w:p>
      <w:pPr>
        <w:spacing w:after="60" w:before="190"/>
      </w:pPr>
      <w:r>
        <w:rPr>
          <w:b/>
          <w:bCs/>
          <w:color w:val="BE185D"/>
          <w:spacing w:val="20"/>
          <w:sz w:val="18"/>
          <w:szCs w:val="18"/>
        </w:rPr>
        <w:t xml:space="preserve">ONE-LINE PITCH</w:t>
      </w:r>
    </w:p>
    <w:p>
      <w:pPr>
        <w:spacing w:after="150" w:line="300"/>
      </w:pPr>
      <w:r>
        <w:rPr>
          <w:b/>
          <w:bCs/>
          <w:color w:val="6B21A8"/>
          <w:sz w:val="21"/>
          <w:szCs w:val="21"/>
        </w:rPr>
        <w:t xml:space="preserve">We don't just detect galamsey after the damage is done — we predict where it's going to spread next, using free satellite land-cover data, community reports, and a transparent risk model.</w:t>
      </w:r>
    </w:p>
    <w:p>
      <w:pPr>
        <w:pStyle w:val="Heading1"/>
        <w:pBdr>
          <w:bottom w:val="single" w:color="6B21A8" w:sz="8" w:space="4"/>
        </w:pBdr>
        <w:spacing w:after="200" w:before="420"/>
      </w:pPr>
      <w:r>
        <w:rPr>
          <w:b/>
          <w:bCs/>
          <w:color w:val="6B21A8"/>
          <w:sz w:val="30"/>
          <w:szCs w:val="30"/>
        </w:rPr>
        <w:t xml:space="preserve">2. Scope — what we are and are not building</w:t>
      </w:r>
    </w:p>
    <w:p>
      <w:pPr>
        <w:spacing w:after="60" w:before="190"/>
      </w:pPr>
      <w:r>
        <w:rPr>
          <w:b/>
          <w:bCs/>
          <w:color w:val="BE185D"/>
          <w:spacing w:val="20"/>
          <w:sz w:val="18"/>
          <w:szCs w:val="18"/>
        </w:rPr>
        <w:t xml:space="preserve">IN SCOPE (MVP)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One river basin (Pra, Ankobra, Offin, or Birim — pick whichever has the clearest before/after satellite signal).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Before/after land-cover comparison over a ~3 month window, sourced from an existing pretrained model (no training required).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A map dashboard showing confirmed sites, community reports, and a predictive risk heatmap.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A simple, explainable weighted-scoring model for predicting expansion — not a trained ML model.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Seeded/sample community reports rather than a fully live, production-grade SMS pipeline.</w:t>
      </w:r>
    </w:p>
    <w:p>
      <w:pPr>
        <w:spacing w:after="60" w:before="190"/>
      </w:pPr>
      <w:r>
        <w:rPr>
          <w:b/>
          <w:bCs/>
          <w:color w:val="BE185D"/>
          <w:spacing w:val="20"/>
          <w:sz w:val="18"/>
          <w:szCs w:val="18"/>
        </w:rPr>
        <w:t xml:space="preserve">OUT OF SCOPE (BE EXPLICIT ABOUT THIS WITH JUDGES — IT SHOWS MATURITY, NOT WEAKNESS)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National coverage — one basin only.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A trained/fine-tuned computer vision model — we're using Google's existing Dynamic World model as-is.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Fully live, production-hardened SMS/USSD reporting at scale.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Real-time continuous monitoring — our imagery comparison is a periodic snapshot, not live streaming.</w:t>
      </w:r>
    </w:p>
    <w:p>
      <w:pPr>
        <w:pStyle w:val="Heading1"/>
        <w:pBdr>
          <w:bottom w:val="single" w:color="6B21A8" w:sz="8" w:space="4"/>
        </w:pBdr>
        <w:spacing w:after="200" w:before="420"/>
      </w:pPr>
      <w:r>
        <w:rPr>
          <w:b/>
          <w:bCs/>
          <w:color w:val="6B21A8"/>
          <w:sz w:val="30"/>
          <w:szCs w:val="30"/>
        </w:rPr>
        <w:t xml:space="preserve">3. System architecture — four layers</w:t>
      </w:r>
    </w:p>
    <w:p>
      <w:pPr>
        <w:pStyle w:val="Heading2"/>
        <w:spacing w:after="110" w:before="260"/>
      </w:pPr>
      <w:r>
        <w:rPr>
          <w:b/>
          <w:bCs/>
          <w:color w:val="15803D"/>
          <w:sz w:val="23"/>
          <w:szCs w:val="23"/>
        </w:rPr>
        <w:t xml:space="preserve">Layer 1 — Detection (the core signal)</w:t>
      </w:r>
    </w:p>
    <w:p>
      <w:pPr>
        <w:spacing w:after="150" w:line="300"/>
      </w:pPr>
      <w:r>
        <w:rPr>
          <w:color w:val="1A1A2E"/>
          <w:sz w:val="21"/>
          <w:szCs w:val="21"/>
        </w:rPr>
        <w:t xml:space="preserve">Query Google Earth Engine's Dynamic World dataset (GOOGLE/DYNAMICWORLD/V1) — a continuously updating, 10m-resolution land-cover classification built on Sentinel-2 imagery, already trained and maintained by Google. Pull two time slices (e.g. 3 months apart) over the chosen basin and flag pixels that flipped from vegetation/trees/crops to bare ground, especially clusters near a riverbank. Cross-check with raw Sentinel-2 bands directly over river pixels — a drop in NDWI (Normalized Difference Water Index) or a shift in red/NIR reflectance indicates rising turbidity, which corroborates the land-cover flag independently.</w:t>
      </w:r>
    </w:p>
    <w:p>
      <w:pPr>
        <w:pStyle w:val="Heading2"/>
        <w:spacing w:after="110" w:before="260"/>
      </w:pPr>
      <w:r>
        <w:rPr>
          <w:b/>
          <w:bCs/>
          <w:color w:val="15803D"/>
          <w:sz w:val="23"/>
          <w:szCs w:val="23"/>
        </w:rPr>
        <w:t xml:space="preserve">Layer 2 — Community verification</w:t>
      </w:r>
    </w:p>
    <w:p>
      <w:pPr>
        <w:spacing w:after="150" w:line="300"/>
      </w:pPr>
      <w:r>
        <w:rPr>
          <w:color w:val="1A1A2E"/>
          <w:sz w:val="21"/>
          <w:szCs w:val="21"/>
        </w:rPr>
        <w:t xml:space="preserve">Africa's Talking SMS/USSD lets nearby residents confirm or independently report a site. A report creates a pending (yellow) marker; it upgrades to confirmed (red) when satellite data corroborates it or a second independent report matches. This is also the fallback data source if satellite imagery timing doesn't cooperate before demo day.</w:t>
      </w:r>
    </w:p>
    <w:p>
      <w:pPr>
        <w:pStyle w:val="Heading2"/>
        <w:spacing w:after="110" w:before="260"/>
      </w:pPr>
      <w:r>
        <w:rPr>
          <w:b/>
          <w:bCs/>
          <w:color w:val="15803D"/>
          <w:sz w:val="23"/>
          <w:szCs w:val="23"/>
        </w:rPr>
        <w:t xml:space="preserve">Layer 3 — Predictive expansion (the differentiator)</w:t>
      </w:r>
    </w:p>
    <w:p>
      <w:pPr>
        <w:spacing w:after="150" w:line="300"/>
      </w:pPr>
      <w:r>
        <w:rPr>
          <w:color w:val="1A1A2E"/>
          <w:sz w:val="21"/>
          <w:szCs w:val="21"/>
        </w:rPr>
        <w:t xml:space="preserve">A transparent, explainable weighted score per grid cell, combining: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Distance from confirmed sites along the river network (galamsey spreads along tributaries).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Proximity to forest reserve boundaries with known weak enforcement.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Terrain accessibility / slope (mining needs machine access; steep terrain is naturally protected).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Optional multiplier: recent gold price trend, a documented correlate of galamsey activity spikes, easy to fetch and easy to cite.</w:t>
      </w:r>
    </w:p>
    <w:p>
      <w:pPr>
        <w:spacing w:after="150" w:line="300"/>
      </w:pPr>
      <w:r>
        <w:rPr>
          <w:color w:val="1A1A2E"/>
          <w:sz w:val="21"/>
          <w:szCs w:val="21"/>
        </w:rPr>
        <w:t xml:space="preserve">This produces a "risk zone for the next 60 days" heatmap layer. No training data or model fitting required — the scoring logic is fully explainable if a judge asks how it works, which matters more than raw accuracy at this stage.</w:t>
      </w:r>
    </w:p>
    <w:p>
      <w:pPr>
        <w:pStyle w:val="Heading2"/>
        <w:spacing w:after="110" w:before="260"/>
      </w:pPr>
      <w:r>
        <w:rPr>
          <w:b/>
          <w:bCs/>
          <w:color w:val="15803D"/>
          <w:sz w:val="23"/>
          <w:szCs w:val="23"/>
        </w:rPr>
        <w:t xml:space="preserve">Layer 4 — Dashboard</w:t>
      </w:r>
    </w:p>
    <w:p>
      <w:pPr>
        <w:spacing w:after="150" w:line="300"/>
      </w:pPr>
      <w:r>
        <w:rPr>
          <w:color w:val="1A1A2E"/>
          <w:sz w:val="21"/>
          <w:szCs w:val="21"/>
        </w:rPr>
        <w:t xml:space="preserve">Next.js frontend reading from Supabase, map rendered with Leaflet or Mapbox GL, with toggleable layers for confirmed sites, community reports, before/after imagery, and the risk heatmap.</w:t>
      </w:r>
    </w:p>
    <w:p>
      <w:pPr>
        <w:pStyle w:val="Heading1"/>
        <w:pBdr>
          <w:bottom w:val="single" w:color="6B21A8" w:sz="8" w:space="4"/>
        </w:pBdr>
        <w:spacing w:after="200" w:before="420"/>
      </w:pPr>
      <w:r>
        <w:rPr>
          <w:b/>
          <w:bCs/>
          <w:color w:val="6B21A8"/>
          <w:sz w:val="30"/>
          <w:szCs w:val="30"/>
        </w:rPr>
        <w:t xml:space="preserve">4. Tech stack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50"/>
      </w:tblGrid>
      <w:tr>
        <w:trPr>
          <w:tblHeader/>
        </w:trPr>
        <w:tc>
          <w:tcPr>
            <w:tcW w:type="dxa" w:w="2000"/>
            <w:shd w:fill="6B21A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500"/>
            <w:shd w:fill="6B21A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850"/>
            <w:shd w:fill="6B21A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0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Frontend</w:t>
            </w:r>
          </w:p>
        </w:tc>
        <w:tc>
          <w:tcPr>
            <w:tcW w:type="dxa" w:w="35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Next.js 15, TypeScript, Tailwind</w:t>
            </w:r>
          </w:p>
        </w:tc>
        <w:tc>
          <w:tcPr>
            <w:tcW w:type="dxa" w:w="385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Mapping</w:t>
            </w:r>
          </w:p>
        </w:tc>
        <w:tc>
          <w:tcPr>
            <w:tcW w:type="dxa" w:w="3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Leaflet or Mapbox GL JS</w:t>
            </w:r>
          </w:p>
        </w:tc>
        <w:tc>
          <w:tcPr>
            <w:tcW w:type="dxa" w:w="38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Leaflet is free/simpler; Mapbox GL has nicer heatmap layers if time allows</w:t>
            </w:r>
          </w:p>
        </w:tc>
      </w:tr>
      <w:tr>
        <w:tc>
          <w:tcPr>
            <w:tcW w:type="dxa" w:w="20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Backend / DB</w:t>
            </w:r>
          </w:p>
        </w:tc>
        <w:tc>
          <w:tcPr>
            <w:tcW w:type="dxa" w:w="35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Supabase (Postgres)</w:t>
            </w:r>
          </w:p>
        </w:tc>
        <w:tc>
          <w:tcPr>
            <w:tcW w:type="dxa" w:w="385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Tables: confirmed_sites, community_reports, risk_scores</w:t>
            </w:r>
          </w:p>
        </w:tc>
      </w:tr>
      <w:tr>
        <w:tc>
          <w:tcPr>
            <w:tcW w:type="dxa" w:w="2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Data pipeline</w:t>
            </w:r>
          </w:p>
        </w:tc>
        <w:tc>
          <w:tcPr>
            <w:tcW w:type="dxa" w:w="3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Python + earthengine-api / geemap</w:t>
            </w:r>
          </w:p>
        </w:tc>
        <w:tc>
          <w:tcPr>
            <w:tcW w:type="dxa" w:w="38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Runs Earth Engine queries, exports GeoJSON, pushes to Supabase</w:t>
            </w:r>
          </w:p>
        </w:tc>
      </w:tr>
      <w:tr>
        <w:tc>
          <w:tcPr>
            <w:tcW w:type="dxa" w:w="20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Satellite data</w:t>
            </w:r>
          </w:p>
        </w:tc>
        <w:tc>
          <w:tcPr>
            <w:tcW w:type="dxa" w:w="35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Google Earth Engine (Dynamic World V1, Sentinel-2)</w:t>
            </w:r>
          </w:p>
        </w:tc>
        <w:tc>
          <w:tcPr>
            <w:tcW w:type="dxa" w:w="385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Free noncommercial tier — register early, approval isn't always instant</w:t>
            </w:r>
          </w:p>
        </w:tc>
      </w:tr>
      <w:tr>
        <w:tc>
          <w:tcPr>
            <w:tcW w:type="dxa" w:w="2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Community reports</w:t>
            </w:r>
          </w:p>
        </w:tc>
        <w:tc>
          <w:tcPr>
            <w:tcW w:type="dxa" w:w="3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Africa's Talking SMS/USSD API</w:t>
            </w:r>
          </w:p>
        </w:tc>
        <w:tc>
          <w:tcPr>
            <w:tcW w:type="dxa" w:w="38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0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Hosting</w:t>
            </w:r>
          </w:p>
        </w:tc>
        <w:tc>
          <w:tcPr>
            <w:tcW w:type="dxa" w:w="35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Vercel (frontend), Supabase (data)</w:t>
            </w:r>
          </w:p>
        </w:tc>
        <w:tc>
          <w:tcPr>
            <w:tcW w:type="dxa" w:w="385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Bdr>
          <w:bottom w:val="single" w:color="6B21A8" w:sz="8" w:space="4"/>
        </w:pBdr>
        <w:spacing w:after="200" w:before="420"/>
      </w:pPr>
      <w:r>
        <w:rPr>
          <w:b/>
          <w:bCs/>
          <w:color w:val="6B21A8"/>
          <w:sz w:val="30"/>
          <w:szCs w:val="30"/>
        </w:rPr>
        <w:t xml:space="preserve">5. Data sources &amp; APIs — full list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550"/>
      </w:tblGrid>
      <w:tr>
        <w:trPr>
          <w:tblHeader/>
        </w:trPr>
        <w:tc>
          <w:tcPr>
            <w:tcW w:type="dxa" w:w="2600"/>
            <w:shd w:fill="6B21A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4200"/>
            <w:shd w:fill="6B21A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provides</w:t>
            </w:r>
          </w:p>
        </w:tc>
        <w:tc>
          <w:tcPr>
            <w:tcW w:type="dxa" w:w="2550"/>
            <w:shd w:fill="6B21A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Access</w:t>
            </w:r>
          </w:p>
        </w:tc>
      </w:tr>
      <w:tr>
        <w:tc>
          <w:tcPr>
            <w:tcW w:type="dxa" w:w="26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Dynamic World V1 (Earth Engine)</w:t>
            </w:r>
          </w:p>
        </w:tc>
        <w:tc>
          <w:tcPr>
            <w:tcW w:type="dxa" w:w="42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Near real-time 10m land-cover classification (9 classes incl. bare ground, trees, crops)</w:t>
            </w:r>
          </w:p>
        </w:tc>
        <w:tc>
          <w:tcPr>
            <w:tcW w:type="dxa" w:w="255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Free via Earth Engine noncommercial tier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Sentinel-2 (COPERNICUS/S2_HARMONIZED)</w:t>
            </w:r>
          </w:p>
        </w:tc>
        <w:tc>
          <w:tcPr>
            <w:tcW w:type="dxa" w:w="4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Raw multispectral imagery for NDWI/turbidity calculation and visual before/after comparisons</w:t>
            </w:r>
          </w:p>
        </w:tc>
        <w:tc>
          <w:tcPr>
            <w:tcW w:type="dxa" w:w="25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Free via Earth Engine</w:t>
            </w:r>
          </w:p>
        </w:tc>
      </w:tr>
      <w:tr>
        <w:tc>
          <w:tcPr>
            <w:tcW w:type="dxa" w:w="26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Africa's Talking</w:t>
            </w:r>
          </w:p>
        </w:tc>
        <w:tc>
          <w:tcPr>
            <w:tcW w:type="dxa" w:w="42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SMS/USSD ingestion for community reports</w:t>
            </w:r>
          </w:p>
        </w:tc>
        <w:tc>
          <w:tcPr>
            <w:tcW w:type="dxa" w:w="255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Free-tier sandbox for testing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Ghana Forestry Commission reserve boundaries</w:t>
            </w:r>
          </w:p>
        </w:tc>
        <w:tc>
          <w:tcPr>
            <w:tcW w:type="dxa" w:w="4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Forest reserve boundary shapefiles, for proximity scoring</w:t>
            </w:r>
          </w:p>
        </w:tc>
        <w:tc>
          <w:tcPr>
            <w:tcW w:type="dxa" w:w="25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Public GIS data — may need manual sourcing/digitizing if not readily downloadable</w:t>
            </w:r>
          </w:p>
        </w:tc>
      </w:tr>
      <w:tr>
        <w:tc>
          <w:tcPr>
            <w:tcW w:type="dxa" w:w="26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Gold price historical data</w:t>
            </w:r>
          </w:p>
        </w:tc>
        <w:tc>
          <w:tcPr>
            <w:tcW w:type="dxa" w:w="42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Optional multiplier for the risk model</w:t>
            </w:r>
          </w:p>
        </w:tc>
        <w:tc>
          <w:tcPr>
            <w:tcW w:type="dxa" w:w="255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Public financial data APIs (e.g. metals-api, or manually sourced historical series)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Caravan / historical streamflow (optional)</w:t>
            </w:r>
          </w:p>
        </w:tc>
        <w:tc>
          <w:tcPr>
            <w:tcW w:type="dxa" w:w="4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Background context if judges ask about broader hydrology</w:t>
            </w:r>
          </w:p>
        </w:tc>
        <w:tc>
          <w:tcPr>
            <w:tcW w:type="dxa" w:w="25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Open-source, Google-maintained</w:t>
            </w:r>
          </w:p>
        </w:tc>
      </w:tr>
    </w:tbl>
    <w:p>
      <w:pPr>
        <w:pStyle w:val="Heading1"/>
        <w:pBdr>
          <w:bottom w:val="single" w:color="6B21A8" w:sz="8" w:space="4"/>
        </w:pBdr>
        <w:spacing w:after="200" w:before="420"/>
      </w:pPr>
      <w:r>
        <w:rPr>
          <w:b/>
          <w:bCs/>
          <w:color w:val="6B21A8"/>
          <w:sz w:val="30"/>
          <w:szCs w:val="30"/>
        </w:rPr>
        <w:t xml:space="preserve">6. Team roles (3 people)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b/>
          <w:bCs/>
          <w:color w:val="1A1A2E"/>
          <w:sz w:val="21"/>
          <w:szCs w:val="21"/>
        </w:rPr>
        <w:t xml:space="preserve">Person A — Data &amp; Detection: </w:t>
      </w:r>
      <w:r>
        <w:rPr>
          <w:color w:val="1A1A2E"/>
          <w:sz w:val="21"/>
          <w:szCs w:val="21"/>
        </w:rPr>
        <w:t xml:space="preserve">Earth Engine pipeline, Dynamic World queries, before/after export to Supabase. Highest-risk, most unfamiliar part — starts day 1, owned solo.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b/>
          <w:bCs/>
          <w:color w:val="1A1A2E"/>
          <w:sz w:val="21"/>
          <w:szCs w:val="21"/>
        </w:rPr>
        <w:t xml:space="preserve">Person B — Frontend &amp; Map: </w:t>
      </w:r>
      <w:r>
        <w:rPr>
          <w:color w:val="1A1A2E"/>
          <w:sz w:val="21"/>
          <w:szCs w:val="21"/>
        </w:rPr>
        <w:t xml:space="preserve">Next.js/Supabase reads, Leaflet/Mapbox rendering, all UI layers. Can build against mock data from day 1 without waiting on Person A.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b/>
          <w:bCs/>
          <w:color w:val="1A1A2E"/>
          <w:sz w:val="21"/>
          <w:szCs w:val="21"/>
        </w:rPr>
        <w:t xml:space="preserve">Person C — Community, Predictions &amp; Pitch: </w:t>
      </w:r>
      <w:r>
        <w:rPr>
          <w:color w:val="1A1A2E"/>
          <w:sz w:val="21"/>
          <w:szCs w:val="21"/>
        </w:rPr>
        <w:t xml:space="preserve">Africa's Talking SMS flow, the risk-scoring heuristic (simple weighted function, not a trained model), and owns the pitch deck/demo script throughout — not just at the end.</w:t>
      </w:r>
    </w:p>
    <w:p>
      <w:pPr>
        <w:pStyle w:val="Heading1"/>
        <w:pBdr>
          <w:bottom w:val="single" w:color="6B21A8" w:sz="8" w:space="4"/>
        </w:pBdr>
        <w:spacing w:after="200" w:before="420"/>
      </w:pPr>
      <w:r>
        <w:rPr>
          <w:b/>
          <w:bCs/>
          <w:color w:val="6B21A8"/>
          <w:sz w:val="30"/>
          <w:szCs w:val="30"/>
        </w:rPr>
        <w:t xml:space="preserve">7. Three-week timeline</w:t>
      </w:r>
    </w:p>
    <w:p>
      <w:pPr>
        <w:pStyle w:val="Heading2"/>
        <w:spacing w:after="110" w:before="260"/>
      </w:pPr>
      <w:r>
        <w:rPr>
          <w:b/>
          <w:bCs/>
          <w:color w:val="1A1A2E"/>
          <w:sz w:val="23"/>
          <w:szCs w:val="23"/>
        </w:rPr>
        <w:t xml:space="preserve">Week 1 — Foundation &amp; detection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Day 1–2: Earth Engine signup/approval, Africa's Talking setup, Supabase schema design, pick the river basin.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Day 3–5: Get a working Dynamic World query for two time periods over the chosen region; produce a first bare-ground-change output as GeoJSON.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Day 6–7: Stand up the Next.js shell with a map component rendering dummy data, so there's always something visually working to show.</w:t>
      </w:r>
    </w:p>
    <w:p>
      <w:pPr>
        <w:pStyle w:val="Heading2"/>
        <w:spacing w:after="110" w:before="260"/>
      </w:pPr>
      <w:r>
        <w:rPr>
          <w:b/>
          <w:bCs/>
          <w:color w:val="1A1A2E"/>
          <w:sz w:val="23"/>
          <w:szCs w:val="23"/>
        </w:rPr>
        <w:t xml:space="preserve">Week 2 — Integration &amp; prediction layer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Day 8–10: Wire real detection output into Supabase and onto the map; get the before/after imagery toggle working — this is the key visual moment for judges.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Day 11–12: Build the community report flow end-to-end; seed 10–15 realistic sample reports as a safety net against live SMS unreliability.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Day 13–14: Build the risk-scoring heuristic and render it as a heatmap layer.</w:t>
      </w:r>
    </w:p>
    <w:p>
      <w:pPr>
        <w:pStyle w:val="Heading2"/>
        <w:spacing w:after="110" w:before="260"/>
      </w:pPr>
      <w:r>
        <w:rPr>
          <w:b/>
          <w:bCs/>
          <w:color w:val="1A1A2E"/>
          <w:sz w:val="23"/>
          <w:szCs w:val="23"/>
        </w:rPr>
        <w:t xml:space="preserve">Week 3 — Polish, resilience, pitch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Day 15–17: Handle edge cases (cloud cover gaps, empty states); tighten UI; cache a known-good dataset so the demo doesn't depend on live internet/API calls during judging.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Day 18–19: Full run-through; fix what breaks; finalize the pitch deck around the before/after reveal as the hook.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Day 20–21: Buffer — something in a geospatial pipeline will break close to the deadline, budget time for it.</w:t>
      </w:r>
    </w:p>
    <w:p>
      <w:pPr>
        <w:pStyle w:val="Heading1"/>
        <w:pBdr>
          <w:bottom w:val="single" w:color="6B21A8" w:sz="8" w:space="4"/>
        </w:pBdr>
        <w:spacing w:after="200" w:before="420"/>
      </w:pPr>
      <w:r>
        <w:rPr>
          <w:b/>
          <w:bCs/>
          <w:color w:val="6B21A8"/>
          <w:sz w:val="30"/>
          <w:szCs w:val="30"/>
        </w:rPr>
        <w:t xml:space="preserve">8. User flow scenarios</w:t>
      </w:r>
    </w:p>
    <w:p>
      <w:pPr>
        <w:pStyle w:val="Heading2"/>
        <w:spacing w:after="110" w:before="260"/>
      </w:pPr>
      <w:r>
        <w:rPr>
          <w:b/>
          <w:bCs/>
          <w:color w:val="1A1A2E"/>
          <w:sz w:val="23"/>
          <w:szCs w:val="23"/>
        </w:rPr>
        <w:t xml:space="preserve">Scenario 1 — EPA / civil society officer (primary user)</w:t>
      </w:r>
    </w:p>
    <w:p>
      <w:pPr>
        <w:spacing w:after="150" w:line="300"/>
      </w:pPr>
      <w:r>
        <w:rPr>
          <w:color w:val="1A1A2E"/>
          <w:sz w:val="21"/>
          <w:szCs w:val="21"/>
        </w:rPr>
        <w:t xml:space="preserve">Ama, who works for an environmental watchdog, opens the dashboard and sees the river basin map. Confirmed sites appear as red markers; clicking one shows a before/after satellite comparison — forest three months ago, bare soil now. A heatmap overlay shows a predicted risk zone extending downstream from an existing site, since mining is known to spread along tributaries. She exports the highest-risk zones as a brief for a district task force.</w:t>
      </w:r>
    </w:p>
    <w:p>
      <w:pPr>
        <w:pStyle w:val="Heading2"/>
        <w:spacing w:after="110" w:before="260"/>
      </w:pPr>
      <w:r>
        <w:rPr>
          <w:b/>
          <w:bCs/>
          <w:color w:val="1A1A2E"/>
          <w:sz w:val="23"/>
          <w:szCs w:val="23"/>
        </w:rPr>
        <w:t xml:space="preserve">Scenario 2 — Community member (data contributor)</w:t>
      </w:r>
    </w:p>
    <w:p>
      <w:pPr>
        <w:spacing w:after="150" w:line="300"/>
      </w:pPr>
      <w:r>
        <w:rPr>
          <w:color w:val="1A1A2E"/>
          <w:sz w:val="21"/>
          <w:szCs w:val="21"/>
        </w:rPr>
        <w:t xml:space="preserve">Kwabena, who lives near the river, notices new equipment moving into a forested area upstream. He sends a short SMS via the Africa's Talking short code. This creates a pending (yellow) marker on the map, which upgrades to confirmed (red) once satellite data corroborates it or a second independent report matches. No smartphone or data plan required — this is the flywheel in action: everyday residents become the sensor network.</w:t>
      </w:r>
    </w:p>
    <w:p>
      <w:pPr>
        <w:pStyle w:val="Heading2"/>
        <w:spacing w:after="110" w:before="260"/>
      </w:pPr>
      <w:r>
        <w:rPr>
          <w:b/>
          <w:bCs/>
          <w:color w:val="1A1A2E"/>
          <w:sz w:val="23"/>
          <w:szCs w:val="23"/>
        </w:rPr>
        <w:t xml:space="preserve">Scenario 3 — Judge / demo walkthrough (build backwards from this)</w:t>
      </w:r>
    </w:p>
    <w:p>
      <w:pPr>
        <w:spacing w:after="150" w:line="300"/>
      </w:pPr>
      <w:r>
        <w:rPr>
          <w:color w:val="1A1A2E"/>
          <w:sz w:val="21"/>
          <w:szCs w:val="21"/>
        </w:rPr>
        <w:t xml:space="preserve">The dashboard opens pre-loaded with seeded data. "Three months ago, this stretch of the river was forest." Click the before/after toggle — forest becomes bare soil, visually obvious with zero domain knowledge needed. Point to a community report pin nearby: "a resident flagged the same spot independently." Switch to the risk heatmap: "based on how galamsey spreads along tributaries, here's where we predict the next site within 60 days — the difference between reacting to a ruined river and getting there first." Total demo time: under 90 seconds, no machine-learning jargon required.</w:t>
      </w:r>
    </w:p>
    <w:p>
      <w:pPr>
        <w:pStyle w:val="Heading1"/>
        <w:pBdr>
          <w:bottom w:val="single" w:color="6B21A8" w:sz="8" w:space="4"/>
        </w:pBdr>
        <w:spacing w:after="200" w:before="420"/>
      </w:pPr>
      <w:r>
        <w:rPr>
          <w:b/>
          <w:bCs/>
          <w:color w:val="6B21A8"/>
          <w:sz w:val="30"/>
          <w:szCs w:val="30"/>
        </w:rPr>
        <w:t xml:space="preserve">9. Risks &amp; mitigations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50"/>
      </w:tblGrid>
      <w:tr>
        <w:trPr>
          <w:tblHeader/>
        </w:trPr>
        <w:tc>
          <w:tcPr>
            <w:tcW w:type="dxa" w:w="3600"/>
            <w:shd w:fill="6B21A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5750"/>
            <w:shd w:fill="6B21A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type="dxa" w:w="36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Earth Engine approval delay</w:t>
            </w:r>
          </w:p>
        </w:tc>
        <w:tc>
          <w:tcPr>
            <w:tcW w:type="dxa" w:w="575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Register on day 1, not later; have a teammate with an existing Google Cloud account try registering in parallel</w:t>
            </w:r>
          </w:p>
        </w:tc>
      </w:tr>
      <w:tr>
        <w:tc>
          <w:tcPr>
            <w:tcW w:type="dxa" w:w="3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Cloud cover blocks clean before/after imagery for the chosen dates/region</w:t>
            </w:r>
          </w:p>
        </w:tc>
        <w:tc>
          <w:tcPr>
            <w:tcW w:type="dxa" w:w="57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Pick the basin and date range early based on a quick manual check of image availability; have 2 backup basins in mind</w:t>
            </w:r>
          </w:p>
        </w:tc>
      </w:tr>
      <w:tr>
        <w:tc>
          <w:tcPr>
            <w:tcW w:type="dxa" w:w="36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Live SMS demo fails on stage</w:t>
            </w:r>
          </w:p>
        </w:tc>
        <w:tc>
          <w:tcPr>
            <w:tcW w:type="dxa" w:w="575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Rely on seeded sample reports for the main demo; treat live SMS as a bonus, not a dependency</w:t>
            </w:r>
          </w:p>
        </w:tc>
      </w:tr>
      <w:tr>
        <w:tc>
          <w:tcPr>
            <w:tcW w:type="dxa" w:w="3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Team unfamiliar with Earth Engine/Python geospatial work</w:t>
            </w:r>
          </w:p>
        </w:tc>
        <w:tc>
          <w:tcPr>
            <w:tcW w:type="dxa" w:w="57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Front-load this task in week 1; both other teammates build against mock data so nobody blocks on it</w:t>
            </w:r>
          </w:p>
        </w:tc>
      </w:tr>
      <w:tr>
        <w:tc>
          <w:tcPr>
            <w:tcW w:type="dxa" w:w="360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A1A2E"/>
                <w:sz w:val="19"/>
                <w:szCs w:val="19"/>
              </w:rPr>
              <w:t xml:space="preserve">Running out of time for the predictive layer</w:t>
            </w:r>
          </w:p>
        </w:tc>
        <w:tc>
          <w:tcPr>
            <w:tcW w:type="dxa" w:w="5750"/>
            <w:shd w:fill="F5F0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A1A2E"/>
                <w:sz w:val="19"/>
                <w:szCs w:val="19"/>
              </w:rPr>
              <w:t xml:space="preserve">The weighted heuristic is deliberately simple by design — it's a fallback-proof scope, not a stretch goal</w:t>
            </w:r>
          </w:p>
        </w:tc>
      </w:tr>
    </w:tbl>
    <w:p>
      <w:pPr>
        <w:pStyle w:val="Heading1"/>
        <w:pBdr>
          <w:bottom w:val="single" w:color="6B21A8" w:sz="8" w:space="4"/>
        </w:pBdr>
        <w:spacing w:after="200" w:before="420"/>
      </w:pPr>
      <w:r>
        <w:rPr>
          <w:b/>
          <w:bCs/>
          <w:color w:val="6B21A8"/>
          <w:sz w:val="30"/>
          <w:szCs w:val="30"/>
        </w:rPr>
        <w:t xml:space="preserve">10. Post-hackathon stretch goals (mention briefly in pitch, don't build now)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Replace the weighted heuristic with a trained Random Forest model once enough confirmed-site labels accumulate.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Expand to multiple river basins nationally.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Live, production-grade SMS/USSD pipeline with verified partnerships (EPA Ghana, Forestry Commission).</w:t>
      </w:r>
    </w:p>
    <w:p>
      <w:pPr>
        <w:pStyle w:val="ListParagraph"/>
        <w:numPr>
          <w:ilvl w:val="0"/>
          <w:numId w:val="2"/>
        </w:numPr>
        <w:spacing w:after="85" w:line="280"/>
      </w:pPr>
      <w:r>
        <w:rPr>
          <w:color w:val="1A1A2E"/>
          <w:sz w:val="21"/>
          <w:szCs w:val="21"/>
        </w:rPr>
        <w:t xml:space="preserve">Automated recurring imagery pulls instead of manual before/after snapshots.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59"/>
      </w:pPr>
    </w:lvl>
    <w:lvl w:ilvl="1" w15:tentative="1">
      <w:start w:val="1"/>
      <w:numFmt w:val="bullet"/>
      <w:lvlText w:val="◦"/>
      <w:lvlJc w:val="left"/>
      <w:pPr>
        <w:ind w:left="936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2026-07-05T19:21:54.263Z</dcterms:created>
  <dcterms:modified xsi:type="dcterms:W3CDTF">2026-07-05T19:21:54.275Z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