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E185D"/>
          <w:spacing w:val="15"/>
          <w:sz w:val="18"/>
          <w:szCs w:val="18"/>
        </w:rPr>
        <w:t xml:space="preserve">PAN-AFRICAN AI SUMMIT HACKATHON 2026 — CLIMATETECH TRACK</w:t>
      </w:r>
    </w:p>
    <w:p>
      <w:pPr>
        <w:spacing w:after="60"/>
      </w:pPr>
      <w:r>
        <w:rPr>
          <w:b/>
          <w:bCs/>
          <w:color w:val="1A1A2E"/>
          <w:sz w:val="48"/>
          <w:szCs w:val="48"/>
        </w:rPr>
        <w:t xml:space="preserve">Galamsey Eye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Satellite + community detection and prediction of illegal mining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Project reference document — team of 3, three-week build window. Covers problem, scope, architecture, stack, data sources/APIs, timeline, user flows, and risks.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1. Problem &amp; one-line pitch</w:t>
      </w:r>
    </w:p>
    <w:p>
      <w:pPr>
        <w:spacing w:after="60" w:before="190"/>
      </w:pPr>
      <w:r>
        <w:rPr>
          <w:b/>
          <w:bCs/>
          <w:color w:val="BE185D"/>
          <w:spacing w:val="20"/>
          <w:sz w:val="18"/>
          <w:szCs w:val="18"/>
        </w:rPr>
        <w:t xml:space="preserve">THE PROBLEM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Illegal mining (galamsey) is one of Ghana's most urgent environmental crises right now — it poisons rivers, destroys farmland, and detection is almost entirely reactive: authorities and communities find out after a river has already turned brown or a forest has already been stripped.</w:t>
      </w:r>
    </w:p>
    <w:p>
      <w:pPr>
        <w:spacing w:after="60" w:before="190"/>
      </w:pPr>
      <w:r>
        <w:rPr>
          <w:b/>
          <w:bCs/>
          <w:color w:val="BE185D"/>
          <w:spacing w:val="20"/>
          <w:sz w:val="18"/>
          <w:szCs w:val="18"/>
        </w:rPr>
        <w:t xml:space="preserve">ONE-LINE PITCH</w:t>
      </w:r>
    </w:p>
    <w:p>
      <w:pPr>
        <w:spacing w:after="150" w:line="300"/>
      </w:pPr>
      <w:r>
        <w:rPr>
          <w:b/>
          <w:bCs/>
          <w:color w:val="6B21A8"/>
          <w:sz w:val="21"/>
          <w:szCs w:val="21"/>
        </w:rPr>
        <w:t xml:space="preserve">We don't just detect galamsey after the damage is done — we predict where it's going to spread next, using free satellite land-cover data, community reports, and a transparent risk model.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2. Scope — what we are and are not building</w:t>
      </w:r>
    </w:p>
    <w:p>
      <w:pPr>
        <w:spacing w:after="60" w:before="190"/>
      </w:pPr>
      <w:r>
        <w:rPr>
          <w:b/>
          <w:bCs/>
          <w:color w:val="BE185D"/>
          <w:spacing w:val="20"/>
          <w:sz w:val="18"/>
          <w:szCs w:val="18"/>
        </w:rPr>
        <w:t xml:space="preserve">IN SCOPE (MVP)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One river basin (Pra, Ankobra, Offin, or Birim — pick whichever has the clearest before/after satellite signal).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Before/after land-cover comparison over a ~3 month window, sourced from an existing pretrained model (no training required).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A map dashboard showing confirmed sites, community reports, and a predictive risk heatmap.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A simple, explainable weighted-scoring model for predicting expansion — not a trained ML model.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Seeded/sample community reports rather than a fully live, production-grade SMS pipeline.</w:t>
      </w:r>
    </w:p>
    <w:p>
      <w:pPr>
        <w:spacing w:after="60" w:before="190"/>
      </w:pPr>
      <w:r>
        <w:rPr>
          <w:b/>
          <w:bCs/>
          <w:color w:val="BE185D"/>
          <w:spacing w:val="20"/>
          <w:sz w:val="18"/>
          <w:szCs w:val="18"/>
        </w:rPr>
        <w:t xml:space="preserve">OUT OF SCOPE (BE EXPLICIT ABOUT THIS WITH JUDGES — IT SHOWS MATURITY, NOT WEAKNESS)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National coverage — one basin only.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A trained/fine-tuned computer vision model — we're using Google's existing Dynamic World model as-is.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Fully live, production-hardened SMS/USSD reporting at scale.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Real-time continuous monitoring — our imagery comparison is a periodic snapshot, not live streaming.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3. System architecture — four layers</w:t>
      </w:r>
    </w:p>
    <w:p>
      <w:pPr>
        <w:pStyle w:val="Heading2"/>
        <w:spacing w:after="110" w:before="260"/>
      </w:pPr>
      <w:r>
        <w:rPr>
          <w:b/>
          <w:bCs/>
          <w:color w:val="15803D"/>
          <w:sz w:val="23"/>
          <w:szCs w:val="23"/>
        </w:rPr>
        <w:t xml:space="preserve">Layer 1 — Detection (the core signal)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Query Google Earth Engine's Dynamic World dataset (GOOGLE/DYNAMICWORLD/V1) — a continuously updating, 10m-resolution land-cover classification built on Sentinel-2 imagery, already trained and maintained by Google. Pull two time slices (e.g. 3 months apart) over the chosen basin and flag pixels that flipped from vegetation/trees/crops to bare ground, especially clusters near a riverbank. Cross-check with raw Sentinel-2 bands directly over river pixels — a drop in NDWI (Normalized Difference Water Index) or a shift in red/NIR reflectance indicates rising turbidity, which corroborates the land-cover flag independently.</w:t>
      </w:r>
    </w:p>
    <w:p>
      <w:pPr>
        <w:pStyle w:val="Heading2"/>
        <w:spacing w:after="110" w:before="260"/>
      </w:pPr>
      <w:r>
        <w:rPr>
          <w:b/>
          <w:bCs/>
          <w:color w:val="15803D"/>
          <w:sz w:val="23"/>
          <w:szCs w:val="23"/>
        </w:rPr>
        <w:t xml:space="preserve">Layer 2 — Community verification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Africa's Talking SMS/USSD lets nearby residents confirm or independently report a site. A report creates a pending (yellow) marker; it upgrades to confirmed (red) when satellite data corroborates it or a second independent report matches. This is also the fallback data source if satellite imagery timing doesn't cooperate before demo day.</w:t>
      </w:r>
    </w:p>
    <w:p>
      <w:pPr>
        <w:pStyle w:val="Heading2"/>
        <w:spacing w:after="110" w:before="260"/>
      </w:pPr>
      <w:r>
        <w:rPr>
          <w:b/>
          <w:bCs/>
          <w:color w:val="15803D"/>
          <w:sz w:val="23"/>
          <w:szCs w:val="23"/>
        </w:rPr>
        <w:t xml:space="preserve">Layer 3 — Predictive expansion (the differentiator)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A transparent, explainable weighted score per grid cell, combining: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Distance from confirmed sites along the river network (galamsey spreads along tributaries).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Proximity to forest reserve boundaries with known weak enforcement.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Terrain accessibility / slope (mining needs machine access; steep terrain is naturally protected).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Optional multiplier: recent gold price trend, a documented correlate of galamsey activity spikes, easy to fetch and easy to cite.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This produces a "risk zone for the next 60 days" heatmap layer. No training data or model fitting required — the scoring logic is fully explainable if a judge asks how it works, which matters more than raw accuracy at this stage.</w:t>
      </w:r>
    </w:p>
    <w:p>
      <w:pPr>
        <w:pStyle w:val="Heading2"/>
        <w:spacing w:after="110" w:before="260"/>
      </w:pPr>
      <w:r>
        <w:rPr>
          <w:b/>
          <w:bCs/>
          <w:color w:val="15803D"/>
          <w:sz w:val="23"/>
          <w:szCs w:val="23"/>
        </w:rPr>
        <w:t xml:space="preserve">Layer 4 — Dashboard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Next.js frontend reading from Supabase, map rendered with Leaflet or Mapbox GL, with toggleable layers for confirmed sites, community reports, before/after imagery, and the risk heatmap.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4.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50"/>
      </w:tblGrid>
      <w:tr>
        <w:trPr>
          <w:tblHeader/>
        </w:trPr>
        <w:tc>
          <w:tcPr>
            <w:tcW w:type="dxa" w:w="20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5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Next.js 15, TypeScript, Tailwind</w:t>
            </w:r>
          </w:p>
        </w:tc>
        <w:tc>
          <w:tcPr>
            <w:tcW w:type="dxa" w:w="38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Same stack as Project_Mimi and Eren — reuse patterns/components where possible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Mapping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Leaflet or Mapbox GL JS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Leaflet is free/simpler; Mapbox GL has nicer heatmap layers if time allows</w:t>
            </w:r>
          </w:p>
        </w:tc>
      </w:tr>
      <w:tr>
        <w:tc>
          <w:tcPr>
            <w:tcW w:type="dxa" w:w="20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Backend / DB</w:t>
            </w:r>
          </w:p>
        </w:tc>
        <w:tc>
          <w:tcPr>
            <w:tcW w:type="dxa" w:w="35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38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Tables: confirmed_sites, community_reports, risk_scores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Data pipeline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Python + earthengine-api / geemap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Runs Earth Engine queries, exports GeoJSON, pushes to Supabase</w:t>
            </w:r>
          </w:p>
        </w:tc>
      </w:tr>
      <w:tr>
        <w:tc>
          <w:tcPr>
            <w:tcW w:type="dxa" w:w="20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Satellite data</w:t>
            </w:r>
          </w:p>
        </w:tc>
        <w:tc>
          <w:tcPr>
            <w:tcW w:type="dxa" w:w="35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Google Earth Engine (Dynamic World V1, Sentinel-2)</w:t>
            </w:r>
          </w:p>
        </w:tc>
        <w:tc>
          <w:tcPr>
            <w:tcW w:type="dxa" w:w="38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Free noncommercial tier — register early, approval isn't always instant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Community reports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Africa's Talking SMS/USSD API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Already integrated once before on Project_Mimi — reuse that pattern</w:t>
            </w:r>
          </w:p>
        </w:tc>
      </w:tr>
      <w:tr>
        <w:tc>
          <w:tcPr>
            <w:tcW w:type="dxa" w:w="20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Hosting</w:t>
            </w:r>
          </w:p>
        </w:tc>
        <w:tc>
          <w:tcPr>
            <w:tcW w:type="dxa" w:w="35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Vercel (frontend), Supabase (data)</w:t>
            </w:r>
          </w:p>
        </w:tc>
        <w:tc>
          <w:tcPr>
            <w:tcW w:type="dxa" w:w="38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Consistent with existing Koryis/Mimi deployment pattern</w:t>
            </w:r>
          </w:p>
        </w:tc>
      </w:tr>
    </w:tbl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5. Data sources &amp; APIs — full 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2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255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6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Dynamic World V1 (Earth Engine)</w:t>
            </w:r>
          </w:p>
        </w:tc>
        <w:tc>
          <w:tcPr>
            <w:tcW w:type="dxa" w:w="42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Near real-time 10m land-cover classification (9 classes incl. bare ground, trees, crops)</w:t>
            </w:r>
          </w:p>
        </w:tc>
        <w:tc>
          <w:tcPr>
            <w:tcW w:type="dxa" w:w="25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Free via Earth Engine noncommercial tier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Sentinel-2 (COPERNICUS/S2_HARMONIZED)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Raw multispectral imagery for NDWI/turbidity calculation and visual before/after comparisons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Free via Earth Engine</w:t>
            </w:r>
          </w:p>
        </w:tc>
      </w:tr>
      <w:tr>
        <w:tc>
          <w:tcPr>
            <w:tcW w:type="dxa" w:w="26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Africa's Talking</w:t>
            </w:r>
          </w:p>
        </w:tc>
        <w:tc>
          <w:tcPr>
            <w:tcW w:type="dxa" w:w="42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SMS/USSD ingestion for community reports</w:t>
            </w:r>
          </w:p>
        </w:tc>
        <w:tc>
          <w:tcPr>
            <w:tcW w:type="dxa" w:w="25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Free-tier sandbox for testing; already used on Project_Mimi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Ghana Forestry Commission reserve boundaries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Forest reserve boundary shapefiles, for proximity scoring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Public GIS data — may need manual sourcing/digitizing if not readily downloadable</w:t>
            </w:r>
          </w:p>
        </w:tc>
      </w:tr>
      <w:tr>
        <w:tc>
          <w:tcPr>
            <w:tcW w:type="dxa" w:w="26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Gold price historical data</w:t>
            </w:r>
          </w:p>
        </w:tc>
        <w:tc>
          <w:tcPr>
            <w:tcW w:type="dxa" w:w="42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Optional multiplier for the risk model</w:t>
            </w:r>
          </w:p>
        </w:tc>
        <w:tc>
          <w:tcPr>
            <w:tcW w:type="dxa" w:w="25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Public financial data APIs (e.g. metals-api, or manually sourced historical series)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Caravan / historical streamflow (optional)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Background context if judges ask about broader hydrology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Open-source, Google-maintained</w:t>
            </w:r>
          </w:p>
        </w:tc>
      </w:tr>
    </w:tbl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6. Team roles (3 people)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b/>
          <w:bCs/>
          <w:color w:val="1A1A2E"/>
          <w:sz w:val="21"/>
          <w:szCs w:val="21"/>
        </w:rPr>
        <w:t xml:space="preserve">Person A — Data &amp; Detection: </w:t>
      </w:r>
      <w:r>
        <w:rPr>
          <w:color w:val="1A1A2E"/>
          <w:sz w:val="21"/>
          <w:szCs w:val="21"/>
        </w:rPr>
        <w:t xml:space="preserve">Earth Engine pipeline, Dynamic World queries, before/after export to Supabase. Highest-risk, most unfamiliar part — starts day 1, owned solo.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b/>
          <w:bCs/>
          <w:color w:val="1A1A2E"/>
          <w:sz w:val="21"/>
          <w:szCs w:val="21"/>
        </w:rPr>
        <w:t xml:space="preserve">Person B — Frontend &amp; Map: </w:t>
      </w:r>
      <w:r>
        <w:rPr>
          <w:color w:val="1A1A2E"/>
          <w:sz w:val="21"/>
          <w:szCs w:val="21"/>
        </w:rPr>
        <w:t xml:space="preserve">Next.js/Supabase reads, Leaflet/Mapbox rendering, all UI layers. Can build against mock data from day 1 without waiting on Person A.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b/>
          <w:bCs/>
          <w:color w:val="1A1A2E"/>
          <w:sz w:val="21"/>
          <w:szCs w:val="21"/>
        </w:rPr>
        <w:t xml:space="preserve">Person C — Community, Predictions &amp; Pitch: </w:t>
      </w:r>
      <w:r>
        <w:rPr>
          <w:color w:val="1A1A2E"/>
          <w:sz w:val="21"/>
          <w:szCs w:val="21"/>
        </w:rPr>
        <w:t xml:space="preserve">Africa's Talking SMS flow, the risk-scoring heuristic (simple weighted function, not a trained model), and owns the pitch deck/demo script throughout — not just at the end.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7. Three-week timeline</w:t>
      </w:r>
    </w:p>
    <w:p>
      <w:pPr>
        <w:pStyle w:val="Heading2"/>
        <w:spacing w:after="110" w:before="260"/>
      </w:pPr>
      <w:r>
        <w:rPr>
          <w:b/>
          <w:bCs/>
          <w:color w:val="1A1A2E"/>
          <w:sz w:val="23"/>
          <w:szCs w:val="23"/>
        </w:rPr>
        <w:t xml:space="preserve">Week 1 — Foundation &amp; detection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1–2: Earth Engine signup/approval, Africa's Talking setup, Supabase schema design, pick the river basin.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3–5: Get a working Dynamic World query for two time periods over the chosen region; produce a first bare-ground-change output as GeoJSON.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6–7: Stand up the Next.js shell with a map component rendering dummy data, so there's always something visually working to show.</w:t>
      </w:r>
    </w:p>
    <w:p>
      <w:pPr>
        <w:pStyle w:val="Heading2"/>
        <w:spacing w:after="110" w:before="260"/>
      </w:pPr>
      <w:r>
        <w:rPr>
          <w:b/>
          <w:bCs/>
          <w:color w:val="1A1A2E"/>
          <w:sz w:val="23"/>
          <w:szCs w:val="23"/>
        </w:rPr>
        <w:t xml:space="preserve">Week 2 — Integration &amp; prediction layer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8–10: Wire real detection output into Supabase and onto the map; get the before/after imagery toggle working — this is the key visual moment for judges.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11–12: Build the community report flow end-to-end; seed 10–15 realistic sample reports as a safety net against live SMS unreliability.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13–14: Build the risk-scoring heuristic and render it as a heatmap layer.</w:t>
      </w:r>
    </w:p>
    <w:p>
      <w:pPr>
        <w:pStyle w:val="Heading2"/>
        <w:spacing w:after="110" w:before="260"/>
      </w:pPr>
      <w:r>
        <w:rPr>
          <w:b/>
          <w:bCs/>
          <w:color w:val="1A1A2E"/>
          <w:sz w:val="23"/>
          <w:szCs w:val="23"/>
        </w:rPr>
        <w:t xml:space="preserve">Week 3 — Polish, resilience, pitch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15–17: Handle edge cases (cloud cover gaps, empty states); tighten UI; cache a known-good dataset so the demo doesn't depend on live internet/API calls during judging.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18–19: Full run-through; fix what breaks; finalize the pitch deck around the before/after reveal as the hook.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Day 20–21: Buffer — something in a geospatial pipeline will break close to the deadline, budget time for it.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8. User flow scenarios</w:t>
      </w:r>
    </w:p>
    <w:p>
      <w:pPr>
        <w:pStyle w:val="Heading2"/>
        <w:spacing w:after="110" w:before="260"/>
      </w:pPr>
      <w:r>
        <w:rPr>
          <w:b/>
          <w:bCs/>
          <w:color w:val="1A1A2E"/>
          <w:sz w:val="23"/>
          <w:szCs w:val="23"/>
        </w:rPr>
        <w:t xml:space="preserve">Scenario 1 — EPA / civil society officer (primary user)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Ama, who works for an environmental watchdog, opens the dashboard and sees the river basin map. Confirmed sites appear as red markers; clicking one shows a before/after satellite comparison — forest three months ago, bare soil now. A heatmap overlay shows a predicted risk zone extending downstream from an existing site, since mining is known to spread along tributaries. She exports the highest-risk zones as a brief for a district task force.</w:t>
      </w:r>
    </w:p>
    <w:p>
      <w:pPr>
        <w:pStyle w:val="Heading2"/>
        <w:spacing w:after="110" w:before="260"/>
      </w:pPr>
      <w:r>
        <w:rPr>
          <w:b/>
          <w:bCs/>
          <w:color w:val="1A1A2E"/>
          <w:sz w:val="23"/>
          <w:szCs w:val="23"/>
        </w:rPr>
        <w:t xml:space="preserve">Scenario 2 — Community member (data contributor)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Kwabena, who lives near the river, notices new equipment moving into a forested area upstream. He sends a short SMS via the Africa's Talking short code. This creates a pending (yellow) marker on the map, which upgrades to confirmed (red) once satellite data corroborates it or a second independent report matches. No smartphone or data plan required — this is the flywheel in action: everyday residents become the sensor network.</w:t>
      </w:r>
    </w:p>
    <w:p>
      <w:pPr>
        <w:pStyle w:val="Heading2"/>
        <w:spacing w:after="110" w:before="260"/>
      </w:pPr>
      <w:r>
        <w:rPr>
          <w:b/>
          <w:bCs/>
          <w:color w:val="1A1A2E"/>
          <w:sz w:val="23"/>
          <w:szCs w:val="23"/>
        </w:rPr>
        <w:t xml:space="preserve">Scenario 3 — Judge / demo walkthrough (build backwards from this)</w:t>
      </w:r>
    </w:p>
    <w:p>
      <w:pPr>
        <w:spacing w:after="150" w:line="300"/>
      </w:pPr>
      <w:r>
        <w:rPr>
          <w:color w:val="1A1A2E"/>
          <w:sz w:val="21"/>
          <w:szCs w:val="21"/>
        </w:rPr>
        <w:t xml:space="preserve">The dashboard opens pre-loaded with seeded data. "Three months ago, this stretch of the river was forest." Click the before/after toggle — forest becomes bare soil, visually obvious with zero domain knowledge needed. Point to a community report pin nearby: "a resident flagged the same spot independently." Switch to the risk heatmap: "based on how galamsey spreads along tributaries, here's where we predict the next site within 60 days — the difference between reacting to a ruined river and getting there first." Total demo time: under 90 seconds, no machine-learning jargon required.</w:t>
      </w:r>
    </w:p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9.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75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Earth Engine approval delay</w:t>
            </w:r>
          </w:p>
        </w:tc>
        <w:tc>
          <w:tcPr>
            <w:tcW w:type="dxa" w:w="57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Register on day 1, not later; have a teammate with an existing Google Cloud account try registering in parallel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Cloud cover blocks clean before/after imagery for the chosen dates/region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Pick the basin and date range early based on a quick manual check of image availability; have 2 backup basins in mind</w:t>
            </w:r>
          </w:p>
        </w:tc>
      </w:tr>
      <w:tr>
        <w:tc>
          <w:tcPr>
            <w:tcW w:type="dxa" w:w="36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Live SMS demo fails on stage</w:t>
            </w:r>
          </w:p>
        </w:tc>
        <w:tc>
          <w:tcPr>
            <w:tcW w:type="dxa" w:w="57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Rely on seeded sample reports for the main demo; treat live SMS as a bonus, not a dependency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Team unfamiliar with Earth Engine/Python geospatial work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Front-load this task in week 1; both other teammates build against mock data so nobody blocks on it</w:t>
            </w:r>
          </w:p>
        </w:tc>
      </w:tr>
      <w:tr>
        <w:tc>
          <w:tcPr>
            <w:tcW w:type="dxa" w:w="360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Running out of time for the predictive layer</w:t>
            </w:r>
          </w:p>
        </w:tc>
        <w:tc>
          <w:tcPr>
            <w:tcW w:type="dxa" w:w="5750"/>
            <w:shd w:fill="F5F0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The weighted heuristic is deliberately simple by design — it's a fallback-proof scope, not a stretch goal</w:t>
            </w:r>
          </w:p>
        </w:tc>
      </w:tr>
    </w:tbl>
    <w:p>
      <w:pPr>
        <w:pStyle w:val="Heading1"/>
        <w:pBdr>
          <w:bottom w:val="single" w:color="6B21A8" w:sz="8" w:space="4"/>
        </w:pBdr>
        <w:spacing w:after="200" w:before="420"/>
      </w:pPr>
      <w:r>
        <w:rPr>
          <w:b/>
          <w:bCs/>
          <w:color w:val="6B21A8"/>
          <w:sz w:val="30"/>
          <w:szCs w:val="30"/>
        </w:rPr>
        <w:t xml:space="preserve">10. Post-hackathon stretch goals (mention briefly in pitch, don't build now)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Replace the weighted heuristic with a trained Random Forest model once enough confirmed-site labels accumulate.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Expand to multiple river basins nationally.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Live, production-grade SMS/USSD pipeline with verified partnerships (EPA Ghana, Forestry Commission).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color w:val="1A1A2E"/>
          <w:sz w:val="21"/>
          <w:szCs w:val="21"/>
        </w:rPr>
        <w:t xml:space="preserve">Automated recurring imagery pulls instead of manual before/after snapshots.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◦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2026-07-05T19:21:54.263Z</dcterms:created>
  <dcterms:modified xsi:type="dcterms:W3CDTF">2026-07-05T19:21:54.275Z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