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ParaBank Individual STLC Journey</w:t>
      </w:r>
    </w:p>
    <w:p>
      <w:pPr>
        <w:pStyle w:val="Heading2"/>
        <w:spacing w:after="300"/>
      </w:pPr>
      <w:r>
        <w:t xml:space="preserve">Assignment 5: STLC Phase 5 — Quality Investigation</w:t>
      </w:r>
    </w:p>
    <w:p>
      <w:pPr>
        <w:spacing w:after="120"/>
      </w:pPr>
      <w:r>
        <w:rPr>
          <w:b/>
          <w:bCs/>
        </w:rPr>
        <w:t xml:space="preserve">Prepared by: Nick</w:t>
      </w:r>
    </w:p>
    <w:p>
      <w:pPr>
        <w:spacing w:after="120"/>
      </w:pPr>
      <w:r>
        <w:t xml:space="preserve">Role: Junior QA Analyst, ABC Consulting</w:t>
      </w:r>
    </w:p>
    <w:p>
      <w:pPr>
        <w:spacing w:after="120"/>
      </w:pPr>
      <w:r>
        <w:t xml:space="preserve">Client / System Under Test: ParaBank Online Banking Application (https://parabank.parasoft.com/parabank/index.htm)</w:t>
      </w:r>
    </w:p>
    <w:p>
      <w:pPr>
        <w:spacing w:after="120"/>
      </w:pPr>
      <w:r>
        <w:t xml:space="preserve">Document ID: DOC-STLC-002-A5     Version: 1.0</w:t>
      </w:r>
    </w:p>
    <w:p>
      <w:pPr>
        <w:spacing w:after="100"/>
      </w:pPr>
    </w:p>
    <w:p>
      <w:pPr>
        <w:pStyle w:val="Heading1"/>
        <w:spacing w:after="150" w:before="300"/>
      </w:pPr>
      <w:r>
        <w:t xml:space="preserve">10.1 Business Challenge</w:t>
      </w:r>
    </w:p>
    <w:p>
      <w:pPr>
        <w:spacing w:after="120"/>
      </w:pPr>
      <w:r>
        <w:t xml:space="preserve">The client has one request: "Find as many quality issues as possible before release." This phase investigates the quality of the application through structured test execution and exploratory testing, converting the Phase 3 test design and Phase 4 preparation into real, evidenced findings.</w:t>
      </w:r>
    </w:p>
    <w:p>
      <w:pPr>
        <w:pStyle w:val="Heading1"/>
        <w:spacing w:after="150" w:before="300"/>
      </w:pPr>
      <w:r>
        <w:t xml:space="preserve">10.2 Skills Being Developed</w:t>
      </w:r>
    </w:p>
    <w:p>
      <w:pPr>
        <w:pStyle w:val="ListParagraph"/>
        <w:numPr>
          <w:ilvl w:val="0"/>
          <w:numId w:val="1"/>
        </w:numPr>
        <w:spacing w:after="60"/>
      </w:pPr>
      <w:r>
        <w:t xml:space="preserve">Test Execution</w:t>
      </w:r>
    </w:p>
    <w:p>
      <w:pPr>
        <w:pStyle w:val="ListParagraph"/>
        <w:numPr>
          <w:ilvl w:val="0"/>
          <w:numId w:val="1"/>
        </w:numPr>
        <w:spacing w:after="60"/>
      </w:pPr>
      <w:r>
        <w:t xml:space="preserve">Defect Identification</w:t>
      </w:r>
    </w:p>
    <w:p>
      <w:pPr>
        <w:pStyle w:val="ListParagraph"/>
        <w:numPr>
          <w:ilvl w:val="0"/>
          <w:numId w:val="1"/>
        </w:numPr>
        <w:spacing w:after="60"/>
      </w:pPr>
      <w:r>
        <w:t xml:space="preserve">Observation</w:t>
      </w:r>
    </w:p>
    <w:p>
      <w:pPr>
        <w:pStyle w:val="ListParagraph"/>
        <w:numPr>
          <w:ilvl w:val="0"/>
          <w:numId w:val="1"/>
        </w:numPr>
        <w:spacing w:after="60"/>
      </w:pPr>
      <w:r>
        <w:t xml:space="preserve">Investigative Thinking</w:t>
      </w:r>
    </w:p>
    <w:p>
      <w:pPr>
        <w:pStyle w:val="ListParagraph"/>
        <w:numPr>
          <w:ilvl w:val="0"/>
          <w:numId w:val="1"/>
        </w:numPr>
        <w:spacing w:after="60"/>
      </w:pPr>
      <w:r>
        <w:t xml:space="preserve">Defect Reporting</w:t>
      </w:r>
    </w:p>
    <w:p>
      <w:pPr>
        <w:spacing w:after="100"/>
      </w:pPr>
    </w:p>
    <w:p>
      <w:pPr>
        <w:pStyle w:val="Heading1"/>
        <w:spacing w:after="150" w:before="300"/>
      </w:pPr>
      <w:r>
        <w:t xml:space="preserve">10.3 Success Criteria</w:t>
      </w:r>
    </w:p>
    <w:p>
      <w:pPr>
        <w:spacing w:after="120"/>
      </w:pPr>
      <w:r>
        <w:t xml:space="preserve">To demonstrate mastery of this phase, this assignment shows the ability to:</w:t>
      </w:r>
    </w:p>
    <w:p>
      <w:pPr>
        <w:pStyle w:val="ListParagraph"/>
        <w:numPr>
          <w:ilvl w:val="0"/>
          <w:numId w:val="1"/>
        </w:numPr>
        <w:spacing w:after="60"/>
      </w:pPr>
      <w:r>
        <w:t xml:space="preserve">Execute a substantial portion of the designed test suite and record results accurately and consistently.</w:t>
      </w:r>
    </w:p>
    <w:p>
      <w:pPr>
        <w:pStyle w:val="ListParagraph"/>
        <w:numPr>
          <w:ilvl w:val="0"/>
          <w:numId w:val="1"/>
        </w:numPr>
        <w:spacing w:after="60"/>
      </w:pPr>
      <w:r>
        <w:t xml:space="preserve">Raise defect reports that are specific, reproducible, and evidenced well enough for a developer to act on without follow-up questions.</w:t>
      </w:r>
    </w:p>
    <w:p>
      <w:pPr>
        <w:pStyle w:val="ListParagraph"/>
        <w:numPr>
          <w:ilvl w:val="0"/>
          <w:numId w:val="1"/>
        </w:numPr>
        <w:spacing w:after="60"/>
      </w:pPr>
      <w:r>
        <w:t xml:space="preserve">Analyze a defect set for severity, priority, and module patterns rather than treating each defect in isolation.</w:t>
      </w:r>
    </w:p>
    <w:p>
      <w:pPr>
        <w:pStyle w:val="ListParagraph"/>
        <w:numPr>
          <w:ilvl w:val="0"/>
          <w:numId w:val="1"/>
        </w:numPr>
        <w:spacing w:after="60"/>
      </w:pPr>
      <w:r>
        <w:t xml:space="preserve">Conduct structured exploratory testing that finds defects the scripted test suite was not designed to catch.</w:t>
      </w:r>
    </w:p>
    <w:p>
      <w:pPr>
        <w:pStyle w:val="ListParagraph"/>
        <w:numPr>
          <w:ilvl w:val="0"/>
          <w:numId w:val="1"/>
        </w:numPr>
        <w:spacing w:after="60"/>
      </w:pPr>
      <w:r>
        <w:t xml:space="preserve">Summarize execution results into metrics that are simple enough for a non-technical stakeholder to understand at a glance.</w:t>
      </w:r>
    </w:p>
    <w:p>
      <w:pPr>
        <w:pStyle w:val="ListParagraph"/>
        <w:numPr>
          <w:ilvl w:val="0"/>
          <w:numId w:val="1"/>
        </w:numPr>
        <w:spacing w:after="60"/>
      </w:pPr>
      <w:r>
        <w:t xml:space="preserve">Make a defensible, evidence-based release-risk recommendation rather than an optimistic or overly cautious guess.</w:t>
      </w:r>
    </w:p>
    <w:p>
      <w:pPr>
        <w:pStyle w:val="ListParagraph"/>
        <w:numPr>
          <w:ilvl w:val="0"/>
          <w:numId w:val="1"/>
        </w:numPr>
        <w:spacing w:after="60"/>
      </w:pPr>
      <w:r>
        <w:t xml:space="preserve">Justify severity and priority ratings individually rather than applying them by habit or gut feel.</w:t>
      </w:r>
    </w:p>
    <w:p>
      <w:pPr>
        <w:pStyle w:val="ListParagraph"/>
        <w:numPr>
          <w:ilvl w:val="0"/>
          <w:numId w:val="1"/>
        </w:numPr>
        <w:spacing w:after="60"/>
      </w:pPr>
      <w:r>
        <w:t xml:space="preserve">Reason about root cause and defect escape, connecting findings back to earlier STLC phases rather than treating defects as isolated coding mistakes.</w:t>
      </w:r>
    </w:p>
    <w:p>
      <w:pPr>
        <w:pStyle w:val="ListParagraph"/>
        <w:numPr>
          <w:ilvl w:val="0"/>
          <w:numId w:val="1"/>
        </w:numPr>
        <w:spacing w:after="60"/>
      </w:pPr>
      <w:r>
        <w:t xml:space="preserve">Advocate for the business impact of the most significant defects in language a non-technical manager would act on.</w:t>
      </w:r>
    </w:p>
    <w:p>
      <w:pPr>
        <w:spacing w:after="100"/>
      </w:pPr>
    </w:p>
    <w:p>
      <w:pPr>
        <w:pStyle w:val="Heading1"/>
        <w:spacing w:after="150" w:before="300"/>
      </w:pPr>
      <w:r>
        <w:t xml:space="preserve">10.4 Required Deliverables</w:t>
      </w:r>
    </w:p>
    <w:p>
      <w:pPr>
        <w:pStyle w:val="Heading2"/>
        <w:spacing w:after="120" w:before="240"/>
      </w:pPr>
      <w:r>
        <w:t xml:space="preserve">10.4.1 Test Execution Tracker</w:t>
      </w:r>
    </w:p>
    <w:p>
      <w:pPr>
        <w:spacing w:after="120"/>
      </w:pPr>
      <w:r>
        <w:t xml:space="preserve">All 50 test cases from Phase 3 were executed across the four execution days scheduled in the Phase 2 timeline (Thu 06 Aug – Tue 11 Aug 2026), exceeding the 40-test-case minimum for this deliverable. Two test cases are Blocked, both in Open New Account — this directly confirms the test data gap flagged in the Phase 4 Traceability Audit (9.4.11) rather than being a new, unrelated finding.</w:t>
      </w:r>
    </w:p>
    <w:p>
      <w:pPr>
        <w:pStyle w:val="Heading3"/>
        <w:spacing w:after="100" w:before="200"/>
      </w:pPr>
      <w:r>
        <w:t xml:space="preserve">Registration (executed Fri 07 Aug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900"/>
        <w:gridCol w:w="4300"/>
        <w:gridCol w:w="1200"/>
      </w:tblGrid>
      <w:tr>
        <w:trPr>
          <w:tblHeader/>
        </w:trPr>
        <w:tc>
          <w:tcPr>
            <w:tcW w:type="dxa" w:w="700"/>
            <w:shd w:fill="1F4E5F" w:val="clear"/>
            <w:tcMar>
              <w:top w:type="dxa" w:w="70"/>
              <w:left w:type="dxa" w:w="90"/>
              <w:bottom w:type="dxa" w:w="70"/>
              <w:right w:type="dxa" w:w="90"/>
            </w:tcMar>
          </w:tcPr>
          <w:p>
            <w:r>
              <w:rPr>
                <w:b/>
                <w:bCs/>
                <w:color w:val="FFFFFF"/>
                <w:sz w:val="17"/>
                <w:szCs w:val="17"/>
              </w:rPr>
              <w:t xml:space="preserve">TC ID</w:t>
            </w:r>
          </w:p>
        </w:tc>
        <w:tc>
          <w:tcPr>
            <w:tcW w:type="dxa" w:w="1500"/>
            <w:shd w:fill="1F4E5F" w:val="clear"/>
            <w:tcMar>
              <w:top w:type="dxa" w:w="70"/>
              <w:left w:type="dxa" w:w="90"/>
              <w:bottom w:type="dxa" w:w="70"/>
              <w:right w:type="dxa" w:w="90"/>
            </w:tcMar>
          </w:tcPr>
          <w:p>
            <w:r>
              <w:rPr>
                <w:b/>
                <w:bCs/>
                <w:color w:val="FFFFFF"/>
                <w:sz w:val="17"/>
                <w:szCs w:val="17"/>
              </w:rPr>
              <w:t xml:space="preserve">Module</w:t>
            </w:r>
          </w:p>
        </w:tc>
        <w:tc>
          <w:tcPr>
            <w:tcW w:type="dxa" w:w="900"/>
            <w:shd w:fill="1F4E5F" w:val="clear"/>
            <w:tcMar>
              <w:top w:type="dxa" w:w="70"/>
              <w:left w:type="dxa" w:w="90"/>
              <w:bottom w:type="dxa" w:w="70"/>
              <w:right w:type="dxa" w:w="90"/>
            </w:tcMar>
          </w:tcPr>
          <w:p>
            <w:r>
              <w:rPr>
                <w:b/>
                <w:bCs/>
                <w:color w:val="FFFFFF"/>
                <w:sz w:val="17"/>
                <w:szCs w:val="17"/>
              </w:rPr>
              <w:t xml:space="preserve">Status</w:t>
            </w:r>
          </w:p>
        </w:tc>
        <w:tc>
          <w:tcPr>
            <w:tcW w:type="dxa" w:w="900"/>
            <w:shd w:fill="1F4E5F" w:val="clear"/>
            <w:tcMar>
              <w:top w:type="dxa" w:w="70"/>
              <w:left w:type="dxa" w:w="90"/>
              <w:bottom w:type="dxa" w:w="70"/>
              <w:right w:type="dxa" w:w="90"/>
            </w:tcMar>
          </w:tcPr>
          <w:p>
            <w:r>
              <w:rPr>
                <w:b/>
                <w:bCs/>
                <w:color w:val="FFFFFF"/>
                <w:sz w:val="17"/>
                <w:szCs w:val="17"/>
              </w:rPr>
              <w:t xml:space="preserve">Defect ID</w:t>
            </w:r>
          </w:p>
        </w:tc>
        <w:tc>
          <w:tcPr>
            <w:tcW w:type="dxa" w:w="4300"/>
            <w:shd w:fill="1F4E5F" w:val="clear"/>
            <w:tcMar>
              <w:top w:type="dxa" w:w="70"/>
              <w:left w:type="dxa" w:w="90"/>
              <w:bottom w:type="dxa" w:w="70"/>
              <w:right w:type="dxa" w:w="90"/>
            </w:tcMar>
          </w:tcPr>
          <w:p>
            <w:r>
              <w:rPr>
                <w:b/>
                <w:bCs/>
                <w:color w:val="FFFFFF"/>
                <w:sz w:val="17"/>
                <w:szCs w:val="17"/>
              </w:rPr>
              <w:t xml:space="preserve">Notes</w:t>
            </w:r>
          </w:p>
        </w:tc>
        <w:tc>
          <w:tcPr>
            <w:tcW w:type="dxa" w:w="1200"/>
            <w:shd w:fill="1F4E5F" w:val="clear"/>
            <w:tcMar>
              <w:top w:type="dxa" w:w="70"/>
              <w:left w:type="dxa" w:w="90"/>
              <w:bottom w:type="dxa" w:w="70"/>
              <w:right w:type="dxa" w:w="90"/>
            </w:tcMar>
          </w:tcPr>
          <w:p>
            <w:r>
              <w:rPr>
                <w:b/>
                <w:bCs/>
                <w:color w:val="FFFFFF"/>
                <w:sz w:val="17"/>
                <w:szCs w:val="17"/>
              </w:rPr>
              <w:t xml:space="preserve">Date</w:t>
            </w:r>
          </w:p>
        </w:tc>
      </w:tr>
      <w:tr>
        <w:tc>
          <w:tcPr>
            <w:tcW w:type="dxa" w:w="700"/>
            <w:tcMar>
              <w:top w:type="dxa" w:w="70"/>
              <w:left w:type="dxa" w:w="90"/>
              <w:bottom w:type="dxa" w:w="70"/>
              <w:right w:type="dxa" w:w="90"/>
            </w:tcMar>
          </w:tcPr>
          <w:p>
            <w:r>
              <w:rPr>
                <w:b w:val="false"/>
                <w:bCs w:val="false"/>
                <w:sz w:val="17"/>
                <w:szCs w:val="17"/>
              </w:rPr>
              <w:t xml:space="preserve">TC-001</w:t>
            </w:r>
          </w:p>
        </w:tc>
        <w:tc>
          <w:tcPr>
            <w:tcW w:type="dxa" w:w="1500"/>
            <w:tcMar>
              <w:top w:type="dxa" w:w="70"/>
              <w:left w:type="dxa" w:w="90"/>
              <w:bottom w:type="dxa" w:w="70"/>
              <w:right w:type="dxa" w:w="90"/>
            </w:tcMar>
          </w:tcPr>
          <w:p>
            <w:r>
              <w:rPr>
                <w:b w:val="false"/>
                <w:bCs w:val="false"/>
                <w:sz w:val="17"/>
                <w:szCs w:val="17"/>
              </w:rPr>
              <w:t xml:space="preserve">Registration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Registration succeeded as expected with all valid fields</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TC-002</w:t>
            </w:r>
          </w:p>
        </w:tc>
        <w:tc>
          <w:tcPr>
            <w:tcW w:type="dxa" w:w="1500"/>
            <w:tcMar>
              <w:top w:type="dxa" w:w="70"/>
              <w:left w:type="dxa" w:w="90"/>
              <w:bottom w:type="dxa" w:w="70"/>
              <w:right w:type="dxa" w:w="90"/>
            </w:tcMar>
          </w:tcPr>
          <w:p>
            <w:r>
              <w:rPr>
                <w:b w:val="false"/>
                <w:bCs w:val="false"/>
                <w:sz w:val="17"/>
                <w:szCs w:val="17"/>
              </w:rPr>
              <w:t xml:space="preserve">Registration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Duplicate username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TC-003</w:t>
            </w:r>
          </w:p>
        </w:tc>
        <w:tc>
          <w:tcPr>
            <w:tcW w:type="dxa" w:w="1500"/>
            <w:tcMar>
              <w:top w:type="dxa" w:w="70"/>
              <w:left w:type="dxa" w:w="90"/>
              <w:bottom w:type="dxa" w:w="70"/>
              <w:right w:type="dxa" w:w="90"/>
            </w:tcMar>
          </w:tcPr>
          <w:p>
            <w:r>
              <w:rPr>
                <w:b w:val="false"/>
                <w:bCs w:val="false"/>
                <w:sz w:val="17"/>
                <w:szCs w:val="17"/>
              </w:rPr>
              <w:t xml:space="preserve">Registration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Mismatched password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TC-004</w:t>
            </w:r>
          </w:p>
        </w:tc>
        <w:tc>
          <w:tcPr>
            <w:tcW w:type="dxa" w:w="1500"/>
            <w:tcMar>
              <w:top w:type="dxa" w:w="70"/>
              <w:left w:type="dxa" w:w="90"/>
              <w:bottom w:type="dxa" w:w="70"/>
              <w:right w:type="dxa" w:w="90"/>
            </w:tcMar>
          </w:tcPr>
          <w:p>
            <w:r>
              <w:rPr>
                <w:b w:val="false"/>
                <w:bCs w:val="false"/>
                <w:sz w:val="17"/>
                <w:szCs w:val="17"/>
              </w:rPr>
              <w:t xml:space="preserve">Registration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Blank Last Name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TC-005</w:t>
            </w:r>
          </w:p>
        </w:tc>
        <w:tc>
          <w:tcPr>
            <w:tcW w:type="dxa" w:w="1500"/>
            <w:tcMar>
              <w:top w:type="dxa" w:w="70"/>
              <w:left w:type="dxa" w:w="90"/>
              <w:bottom w:type="dxa" w:w="70"/>
              <w:right w:type="dxa" w:w="90"/>
            </w:tcMar>
          </w:tcPr>
          <w:p>
            <w:r>
              <w:rPr>
                <w:b w:val="false"/>
                <w:bCs w:val="false"/>
                <w:sz w:val="17"/>
                <w:szCs w:val="17"/>
              </w:rPr>
              <w:t xml:space="preserve">Registration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Blank SSN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TC-006</w:t>
            </w:r>
          </w:p>
        </w:tc>
        <w:tc>
          <w:tcPr>
            <w:tcW w:type="dxa" w:w="1500"/>
            <w:tcMar>
              <w:top w:type="dxa" w:w="70"/>
              <w:left w:type="dxa" w:w="90"/>
              <w:bottom w:type="dxa" w:w="70"/>
              <w:right w:type="dxa" w:w="90"/>
            </w:tcMar>
          </w:tcPr>
          <w:p>
            <w:r>
              <w:rPr>
                <w:b w:val="false"/>
                <w:bCs w:val="false"/>
                <w:sz w:val="17"/>
                <w:szCs w:val="17"/>
              </w:rPr>
              <w:t xml:space="preserve">Registration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Default Checking account created and visible immediately</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TC-007</w:t>
            </w:r>
          </w:p>
        </w:tc>
        <w:tc>
          <w:tcPr>
            <w:tcW w:type="dxa" w:w="1500"/>
            <w:tcMar>
              <w:top w:type="dxa" w:w="70"/>
              <w:left w:type="dxa" w:w="90"/>
              <w:bottom w:type="dxa" w:w="70"/>
              <w:right w:type="dxa" w:w="90"/>
            </w:tcMar>
          </w:tcPr>
          <w:p>
            <w:r>
              <w:rPr>
                <w:b w:val="false"/>
                <w:bCs w:val="false"/>
                <w:sz w:val="17"/>
                <w:szCs w:val="17"/>
              </w:rPr>
              <w:t xml:space="preserve">Registration</w:t>
            </w:r>
          </w:p>
        </w:tc>
        <w:tc>
          <w:tcPr>
            <w:tcW w:type="dxa" w:w="900"/>
            <w:tcMar>
              <w:top w:type="dxa" w:w="70"/>
              <w:left w:type="dxa" w:w="90"/>
              <w:bottom w:type="dxa" w:w="70"/>
              <w:right w:type="dxa" w:w="90"/>
            </w:tcMar>
          </w:tcPr>
          <w:p>
            <w:r>
              <w:rPr>
                <w:b w:val="false"/>
                <w:bCs w:val="false"/>
                <w:sz w:val="17"/>
                <w:szCs w:val="17"/>
              </w:rPr>
              <w:t xml:space="preserve">Fail</w:t>
            </w:r>
          </w:p>
        </w:tc>
        <w:tc>
          <w:tcPr>
            <w:tcW w:type="dxa" w:w="900"/>
            <w:tcMar>
              <w:top w:type="dxa" w:w="70"/>
              <w:left w:type="dxa" w:w="90"/>
              <w:bottom w:type="dxa" w:w="70"/>
              <w:right w:type="dxa" w:w="90"/>
            </w:tcMar>
          </w:tcPr>
          <w:p>
            <w:r>
              <w:rPr>
                <w:b w:val="false"/>
                <w:bCs w:val="false"/>
                <w:sz w:val="17"/>
                <w:szCs w:val="17"/>
              </w:rPr>
              <w:t xml:space="preserve">DEF-006</w:t>
            </w:r>
          </w:p>
        </w:tc>
        <w:tc>
          <w:tcPr>
            <w:tcW w:type="dxa" w:w="4300"/>
            <w:tcMar>
              <w:top w:type="dxa" w:w="70"/>
              <w:left w:type="dxa" w:w="90"/>
              <w:bottom w:type="dxa" w:w="70"/>
              <w:right w:type="dxa" w:w="90"/>
            </w:tcMar>
          </w:tcPr>
          <w:p>
            <w:r>
              <w:rPr>
                <w:b w:val="false"/>
                <w:bCs w:val="false"/>
                <w:sz w:val="17"/>
                <w:szCs w:val="17"/>
              </w:rPr>
              <w:t xml:space="preserve">Case-varied duplicate username (JSmith01 vs. jsmith01) was accepted instead of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TC-008</w:t>
            </w:r>
          </w:p>
        </w:tc>
        <w:tc>
          <w:tcPr>
            <w:tcW w:type="dxa" w:w="1500"/>
            <w:tcMar>
              <w:top w:type="dxa" w:w="70"/>
              <w:left w:type="dxa" w:w="90"/>
              <w:bottom w:type="dxa" w:w="70"/>
              <w:right w:type="dxa" w:w="90"/>
            </w:tcMar>
          </w:tcPr>
          <w:p>
            <w:r>
              <w:rPr>
                <w:b w:val="false"/>
                <w:bCs w:val="false"/>
                <w:sz w:val="17"/>
                <w:szCs w:val="17"/>
              </w:rPr>
              <w:t xml:space="preserve">Registration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Long realistic field values accepted without truncation or error</w:t>
            </w:r>
          </w:p>
        </w:tc>
        <w:tc>
          <w:tcPr>
            <w:tcW w:type="dxa" w:w="1200"/>
            <w:tcMar>
              <w:top w:type="dxa" w:w="70"/>
              <w:left w:type="dxa" w:w="90"/>
              <w:bottom w:type="dxa" w:w="70"/>
              <w:right w:type="dxa" w:w="90"/>
            </w:tcMar>
          </w:tcPr>
          <w:p>
            <w:r>
              <w:rPr>
                <w:b w:val="false"/>
                <w:bCs w:val="false"/>
                <w:sz w:val="17"/>
                <w:szCs w:val="17"/>
              </w:rPr>
              <w:t xml:space="preserve">07 Aug 2026</w:t>
            </w:r>
          </w:p>
        </w:tc>
      </w:tr>
    </w:tbl>
    <w:p>
      <w:pPr>
        <w:pStyle w:val="Heading3"/>
        <w:spacing w:after="100" w:before="200"/>
      </w:pPr>
      <w:r>
        <w:t xml:space="preserve">Login (executed Thu 06 Aug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900"/>
        <w:gridCol w:w="4300"/>
        <w:gridCol w:w="1200"/>
      </w:tblGrid>
      <w:tr>
        <w:trPr>
          <w:tblHeader/>
        </w:trPr>
        <w:tc>
          <w:tcPr>
            <w:tcW w:type="dxa" w:w="700"/>
            <w:shd w:fill="1F4E5F" w:val="clear"/>
            <w:tcMar>
              <w:top w:type="dxa" w:w="70"/>
              <w:left w:type="dxa" w:w="90"/>
              <w:bottom w:type="dxa" w:w="70"/>
              <w:right w:type="dxa" w:w="90"/>
            </w:tcMar>
          </w:tcPr>
          <w:p>
            <w:r>
              <w:rPr>
                <w:b/>
                <w:bCs/>
                <w:color w:val="FFFFFF"/>
                <w:sz w:val="17"/>
                <w:szCs w:val="17"/>
              </w:rPr>
              <w:t xml:space="preserve">TC ID</w:t>
            </w:r>
          </w:p>
        </w:tc>
        <w:tc>
          <w:tcPr>
            <w:tcW w:type="dxa" w:w="1500"/>
            <w:shd w:fill="1F4E5F" w:val="clear"/>
            <w:tcMar>
              <w:top w:type="dxa" w:w="70"/>
              <w:left w:type="dxa" w:w="90"/>
              <w:bottom w:type="dxa" w:w="70"/>
              <w:right w:type="dxa" w:w="90"/>
            </w:tcMar>
          </w:tcPr>
          <w:p>
            <w:r>
              <w:rPr>
                <w:b/>
                <w:bCs/>
                <w:color w:val="FFFFFF"/>
                <w:sz w:val="17"/>
                <w:szCs w:val="17"/>
              </w:rPr>
              <w:t xml:space="preserve">Module</w:t>
            </w:r>
          </w:p>
        </w:tc>
        <w:tc>
          <w:tcPr>
            <w:tcW w:type="dxa" w:w="900"/>
            <w:shd w:fill="1F4E5F" w:val="clear"/>
            <w:tcMar>
              <w:top w:type="dxa" w:w="70"/>
              <w:left w:type="dxa" w:w="90"/>
              <w:bottom w:type="dxa" w:w="70"/>
              <w:right w:type="dxa" w:w="90"/>
            </w:tcMar>
          </w:tcPr>
          <w:p>
            <w:r>
              <w:rPr>
                <w:b/>
                <w:bCs/>
                <w:color w:val="FFFFFF"/>
                <w:sz w:val="17"/>
                <w:szCs w:val="17"/>
              </w:rPr>
              <w:t xml:space="preserve">Status</w:t>
            </w:r>
          </w:p>
        </w:tc>
        <w:tc>
          <w:tcPr>
            <w:tcW w:type="dxa" w:w="900"/>
            <w:shd w:fill="1F4E5F" w:val="clear"/>
            <w:tcMar>
              <w:top w:type="dxa" w:w="70"/>
              <w:left w:type="dxa" w:w="90"/>
              <w:bottom w:type="dxa" w:w="70"/>
              <w:right w:type="dxa" w:w="90"/>
            </w:tcMar>
          </w:tcPr>
          <w:p>
            <w:r>
              <w:rPr>
                <w:b/>
                <w:bCs/>
                <w:color w:val="FFFFFF"/>
                <w:sz w:val="17"/>
                <w:szCs w:val="17"/>
              </w:rPr>
              <w:t xml:space="preserve">Defect ID</w:t>
            </w:r>
          </w:p>
        </w:tc>
        <w:tc>
          <w:tcPr>
            <w:tcW w:type="dxa" w:w="4300"/>
            <w:shd w:fill="1F4E5F" w:val="clear"/>
            <w:tcMar>
              <w:top w:type="dxa" w:w="70"/>
              <w:left w:type="dxa" w:w="90"/>
              <w:bottom w:type="dxa" w:w="70"/>
              <w:right w:type="dxa" w:w="90"/>
            </w:tcMar>
          </w:tcPr>
          <w:p>
            <w:r>
              <w:rPr>
                <w:b/>
                <w:bCs/>
                <w:color w:val="FFFFFF"/>
                <w:sz w:val="17"/>
                <w:szCs w:val="17"/>
              </w:rPr>
              <w:t xml:space="preserve">Notes</w:t>
            </w:r>
          </w:p>
        </w:tc>
        <w:tc>
          <w:tcPr>
            <w:tcW w:type="dxa" w:w="1200"/>
            <w:shd w:fill="1F4E5F" w:val="clear"/>
            <w:tcMar>
              <w:top w:type="dxa" w:w="70"/>
              <w:left w:type="dxa" w:w="90"/>
              <w:bottom w:type="dxa" w:w="70"/>
              <w:right w:type="dxa" w:w="90"/>
            </w:tcMar>
          </w:tcPr>
          <w:p>
            <w:r>
              <w:rPr>
                <w:b/>
                <w:bCs/>
                <w:color w:val="FFFFFF"/>
                <w:sz w:val="17"/>
                <w:szCs w:val="17"/>
              </w:rPr>
              <w:t xml:space="preserve">Date</w:t>
            </w:r>
          </w:p>
        </w:tc>
      </w:tr>
      <w:tr>
        <w:tc>
          <w:tcPr>
            <w:tcW w:type="dxa" w:w="700"/>
            <w:tcMar>
              <w:top w:type="dxa" w:w="70"/>
              <w:left w:type="dxa" w:w="90"/>
              <w:bottom w:type="dxa" w:w="70"/>
              <w:right w:type="dxa" w:w="90"/>
            </w:tcMar>
          </w:tcPr>
          <w:p>
            <w:r>
              <w:rPr>
                <w:b w:val="false"/>
                <w:bCs w:val="false"/>
                <w:sz w:val="17"/>
                <w:szCs w:val="17"/>
              </w:rPr>
              <w:t xml:space="preserve">TC-009</w:t>
            </w:r>
          </w:p>
        </w:tc>
        <w:tc>
          <w:tcPr>
            <w:tcW w:type="dxa" w:w="1500"/>
            <w:tcMar>
              <w:top w:type="dxa" w:w="70"/>
              <w:left w:type="dxa" w:w="90"/>
              <w:bottom w:type="dxa" w:w="70"/>
              <w:right w:type="dxa" w:w="90"/>
            </w:tcMar>
          </w:tcPr>
          <w:p>
            <w:r>
              <w:rPr>
                <w:b w:val="false"/>
                <w:bCs w:val="false"/>
                <w:sz w:val="17"/>
                <w:szCs w:val="17"/>
              </w:rPr>
              <w:t xml:space="preserve">Login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Valid login succeeded, redirected to Accounts Overview</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TC-010</w:t>
            </w:r>
          </w:p>
        </w:tc>
        <w:tc>
          <w:tcPr>
            <w:tcW w:type="dxa" w:w="1500"/>
            <w:tcMar>
              <w:top w:type="dxa" w:w="70"/>
              <w:left w:type="dxa" w:w="90"/>
              <w:bottom w:type="dxa" w:w="70"/>
              <w:right w:type="dxa" w:w="90"/>
            </w:tcMar>
          </w:tcPr>
          <w:p>
            <w:r>
              <w:rPr>
                <w:b w:val="false"/>
                <w:bCs w:val="false"/>
                <w:sz w:val="17"/>
                <w:szCs w:val="17"/>
              </w:rPr>
              <w:t xml:space="preserve">Login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Incorrect password correctly rejected</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TC-011</w:t>
            </w:r>
          </w:p>
        </w:tc>
        <w:tc>
          <w:tcPr>
            <w:tcW w:type="dxa" w:w="1500"/>
            <w:tcMar>
              <w:top w:type="dxa" w:w="70"/>
              <w:left w:type="dxa" w:w="90"/>
              <w:bottom w:type="dxa" w:w="70"/>
              <w:right w:type="dxa" w:w="90"/>
            </w:tcMar>
          </w:tcPr>
          <w:p>
            <w:r>
              <w:rPr>
                <w:b w:val="false"/>
                <w:bCs w:val="false"/>
                <w:sz w:val="17"/>
                <w:szCs w:val="17"/>
              </w:rPr>
              <w:t xml:space="preserve">Login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Incorrect username correctly rejected (message wording flagged separately — see DEF-010)</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TC-012</w:t>
            </w:r>
          </w:p>
        </w:tc>
        <w:tc>
          <w:tcPr>
            <w:tcW w:type="dxa" w:w="1500"/>
            <w:tcMar>
              <w:top w:type="dxa" w:w="70"/>
              <w:left w:type="dxa" w:w="90"/>
              <w:bottom w:type="dxa" w:w="70"/>
              <w:right w:type="dxa" w:w="90"/>
            </w:tcMar>
          </w:tcPr>
          <w:p>
            <w:r>
              <w:rPr>
                <w:b w:val="false"/>
                <w:bCs w:val="false"/>
                <w:sz w:val="17"/>
                <w:szCs w:val="17"/>
              </w:rPr>
              <w:t xml:space="preserve">Login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Blank fields correctly rejected</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TC-013</w:t>
            </w:r>
          </w:p>
        </w:tc>
        <w:tc>
          <w:tcPr>
            <w:tcW w:type="dxa" w:w="1500"/>
            <w:tcMar>
              <w:top w:type="dxa" w:w="70"/>
              <w:left w:type="dxa" w:w="90"/>
              <w:bottom w:type="dxa" w:w="70"/>
              <w:right w:type="dxa" w:w="90"/>
            </w:tcMar>
          </w:tcPr>
          <w:p>
            <w:r>
              <w:rPr>
                <w:b w:val="false"/>
                <w:bCs w:val="false"/>
                <w:sz w:val="17"/>
                <w:szCs w:val="17"/>
              </w:rPr>
              <w:t xml:space="preserve">Login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Valid username with blank password correctly rejected</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TC-014</w:t>
            </w:r>
          </w:p>
        </w:tc>
        <w:tc>
          <w:tcPr>
            <w:tcW w:type="dxa" w:w="1500"/>
            <w:tcMar>
              <w:top w:type="dxa" w:w="70"/>
              <w:left w:type="dxa" w:w="90"/>
              <w:bottom w:type="dxa" w:w="70"/>
              <w:right w:type="dxa" w:w="90"/>
            </w:tcMar>
          </w:tcPr>
          <w:p>
            <w:r>
              <w:rPr>
                <w:b w:val="false"/>
                <w:bCs w:val="false"/>
                <w:sz w:val="17"/>
                <w:szCs w:val="17"/>
              </w:rPr>
              <w:t xml:space="preserve">Login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Unauthenticated direct navigation correctly redirected to login</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TC-015</w:t>
            </w:r>
          </w:p>
        </w:tc>
        <w:tc>
          <w:tcPr>
            <w:tcW w:type="dxa" w:w="1500"/>
            <w:tcMar>
              <w:top w:type="dxa" w:w="70"/>
              <w:left w:type="dxa" w:w="90"/>
              <w:bottom w:type="dxa" w:w="70"/>
              <w:right w:type="dxa" w:w="90"/>
            </w:tcMar>
          </w:tcPr>
          <w:p>
            <w:r>
              <w:rPr>
                <w:b w:val="false"/>
                <w:bCs w:val="false"/>
                <w:sz w:val="17"/>
                <w:szCs w:val="17"/>
              </w:rPr>
              <w:t xml:space="preserve">Login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Login immediately after logout succeeded correctly</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TC-016</w:t>
            </w:r>
          </w:p>
        </w:tc>
        <w:tc>
          <w:tcPr>
            <w:tcW w:type="dxa" w:w="1500"/>
            <w:tcMar>
              <w:top w:type="dxa" w:w="70"/>
              <w:left w:type="dxa" w:w="90"/>
              <w:bottom w:type="dxa" w:w="70"/>
              <w:right w:type="dxa" w:w="90"/>
            </w:tcMar>
          </w:tcPr>
          <w:p>
            <w:r>
              <w:rPr>
                <w:b w:val="false"/>
                <w:bCs w:val="false"/>
                <w:sz w:val="17"/>
                <w:szCs w:val="17"/>
              </w:rPr>
              <w:t xml:space="preserve">Login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Injection-style input safely rejected with standard auth error</w:t>
            </w:r>
          </w:p>
        </w:tc>
        <w:tc>
          <w:tcPr>
            <w:tcW w:type="dxa" w:w="1200"/>
            <w:tcMar>
              <w:top w:type="dxa" w:w="70"/>
              <w:left w:type="dxa" w:w="90"/>
              <w:bottom w:type="dxa" w:w="70"/>
              <w:right w:type="dxa" w:w="90"/>
            </w:tcMar>
          </w:tcPr>
          <w:p>
            <w:r>
              <w:rPr>
                <w:b w:val="false"/>
                <w:bCs w:val="false"/>
                <w:sz w:val="17"/>
                <w:szCs w:val="17"/>
              </w:rPr>
              <w:t xml:space="preserve">06 Aug 2026</w:t>
            </w:r>
          </w:p>
        </w:tc>
      </w:tr>
    </w:tbl>
    <w:p>
      <w:pPr>
        <w:pStyle w:val="Heading3"/>
        <w:spacing w:after="100" w:before="200"/>
      </w:pPr>
      <w:r>
        <w:t xml:space="preserve">Open New Account (executed Mon 10 Aug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900"/>
        <w:gridCol w:w="4300"/>
        <w:gridCol w:w="1200"/>
      </w:tblGrid>
      <w:tr>
        <w:trPr>
          <w:tblHeader/>
        </w:trPr>
        <w:tc>
          <w:tcPr>
            <w:tcW w:type="dxa" w:w="700"/>
            <w:shd w:fill="1F4E5F" w:val="clear"/>
            <w:tcMar>
              <w:top w:type="dxa" w:w="70"/>
              <w:left w:type="dxa" w:w="90"/>
              <w:bottom w:type="dxa" w:w="70"/>
              <w:right w:type="dxa" w:w="90"/>
            </w:tcMar>
          </w:tcPr>
          <w:p>
            <w:r>
              <w:rPr>
                <w:b/>
                <w:bCs/>
                <w:color w:val="FFFFFF"/>
                <w:sz w:val="17"/>
                <w:szCs w:val="17"/>
              </w:rPr>
              <w:t xml:space="preserve">TC ID</w:t>
            </w:r>
          </w:p>
        </w:tc>
        <w:tc>
          <w:tcPr>
            <w:tcW w:type="dxa" w:w="1500"/>
            <w:shd w:fill="1F4E5F" w:val="clear"/>
            <w:tcMar>
              <w:top w:type="dxa" w:w="70"/>
              <w:left w:type="dxa" w:w="90"/>
              <w:bottom w:type="dxa" w:w="70"/>
              <w:right w:type="dxa" w:w="90"/>
            </w:tcMar>
          </w:tcPr>
          <w:p>
            <w:r>
              <w:rPr>
                <w:b/>
                <w:bCs/>
                <w:color w:val="FFFFFF"/>
                <w:sz w:val="17"/>
                <w:szCs w:val="17"/>
              </w:rPr>
              <w:t xml:space="preserve">Module</w:t>
            </w:r>
          </w:p>
        </w:tc>
        <w:tc>
          <w:tcPr>
            <w:tcW w:type="dxa" w:w="900"/>
            <w:shd w:fill="1F4E5F" w:val="clear"/>
            <w:tcMar>
              <w:top w:type="dxa" w:w="70"/>
              <w:left w:type="dxa" w:w="90"/>
              <w:bottom w:type="dxa" w:w="70"/>
              <w:right w:type="dxa" w:w="90"/>
            </w:tcMar>
          </w:tcPr>
          <w:p>
            <w:r>
              <w:rPr>
                <w:b/>
                <w:bCs/>
                <w:color w:val="FFFFFF"/>
                <w:sz w:val="17"/>
                <w:szCs w:val="17"/>
              </w:rPr>
              <w:t xml:space="preserve">Status</w:t>
            </w:r>
          </w:p>
        </w:tc>
        <w:tc>
          <w:tcPr>
            <w:tcW w:type="dxa" w:w="900"/>
            <w:shd w:fill="1F4E5F" w:val="clear"/>
            <w:tcMar>
              <w:top w:type="dxa" w:w="70"/>
              <w:left w:type="dxa" w:w="90"/>
              <w:bottom w:type="dxa" w:w="70"/>
              <w:right w:type="dxa" w:w="90"/>
            </w:tcMar>
          </w:tcPr>
          <w:p>
            <w:r>
              <w:rPr>
                <w:b/>
                <w:bCs/>
                <w:color w:val="FFFFFF"/>
                <w:sz w:val="17"/>
                <w:szCs w:val="17"/>
              </w:rPr>
              <w:t xml:space="preserve">Defect ID</w:t>
            </w:r>
          </w:p>
        </w:tc>
        <w:tc>
          <w:tcPr>
            <w:tcW w:type="dxa" w:w="4300"/>
            <w:shd w:fill="1F4E5F" w:val="clear"/>
            <w:tcMar>
              <w:top w:type="dxa" w:w="70"/>
              <w:left w:type="dxa" w:w="90"/>
              <w:bottom w:type="dxa" w:w="70"/>
              <w:right w:type="dxa" w:w="90"/>
            </w:tcMar>
          </w:tcPr>
          <w:p>
            <w:r>
              <w:rPr>
                <w:b/>
                <w:bCs/>
                <w:color w:val="FFFFFF"/>
                <w:sz w:val="17"/>
                <w:szCs w:val="17"/>
              </w:rPr>
              <w:t xml:space="preserve">Notes</w:t>
            </w:r>
          </w:p>
        </w:tc>
        <w:tc>
          <w:tcPr>
            <w:tcW w:type="dxa" w:w="1200"/>
            <w:shd w:fill="1F4E5F" w:val="clear"/>
            <w:tcMar>
              <w:top w:type="dxa" w:w="70"/>
              <w:left w:type="dxa" w:w="90"/>
              <w:bottom w:type="dxa" w:w="70"/>
              <w:right w:type="dxa" w:w="90"/>
            </w:tcMar>
          </w:tcPr>
          <w:p>
            <w:r>
              <w:rPr>
                <w:b/>
                <w:bCs/>
                <w:color w:val="FFFFFF"/>
                <w:sz w:val="17"/>
                <w:szCs w:val="17"/>
              </w:rPr>
              <w:t xml:space="preserve">Date</w:t>
            </w:r>
          </w:p>
        </w:tc>
      </w:tr>
      <w:tr>
        <w:tc>
          <w:tcPr>
            <w:tcW w:type="dxa" w:w="700"/>
            <w:tcMar>
              <w:top w:type="dxa" w:w="70"/>
              <w:left w:type="dxa" w:w="90"/>
              <w:bottom w:type="dxa" w:w="70"/>
              <w:right w:type="dxa" w:w="90"/>
            </w:tcMar>
          </w:tcPr>
          <w:p>
            <w:r>
              <w:rPr>
                <w:b w:val="false"/>
                <w:bCs w:val="false"/>
                <w:sz w:val="17"/>
                <w:szCs w:val="17"/>
              </w:rPr>
              <w:t xml:space="preserve">TC-017</w:t>
            </w:r>
          </w:p>
        </w:tc>
        <w:tc>
          <w:tcPr>
            <w:tcW w:type="dxa" w:w="1500"/>
            <w:tcMar>
              <w:top w:type="dxa" w:w="70"/>
              <w:left w:type="dxa" w:w="90"/>
              <w:bottom w:type="dxa" w:w="70"/>
              <w:right w:type="dxa" w:w="90"/>
            </w:tcMar>
          </w:tcPr>
          <w:p>
            <w:r>
              <w:rPr>
                <w:b w:val="false"/>
                <w:bCs w:val="false"/>
                <w:sz w:val="17"/>
                <w:szCs w:val="17"/>
              </w:rPr>
              <w:t xml:space="preserve">Open New Account</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New Savings account created and displayed with account number</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TC-018</w:t>
            </w:r>
          </w:p>
        </w:tc>
        <w:tc>
          <w:tcPr>
            <w:tcW w:type="dxa" w:w="1500"/>
            <w:tcMar>
              <w:top w:type="dxa" w:w="70"/>
              <w:left w:type="dxa" w:w="90"/>
              <w:bottom w:type="dxa" w:w="70"/>
              <w:right w:type="dxa" w:w="90"/>
            </w:tcMar>
          </w:tcPr>
          <w:p>
            <w:r>
              <w:rPr>
                <w:b w:val="false"/>
                <w:bCs w:val="false"/>
                <w:sz w:val="17"/>
                <w:szCs w:val="17"/>
              </w:rPr>
              <w:t xml:space="preserve">Open New Account</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New Checking account created and displayed with account number</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TC-019</w:t>
            </w:r>
          </w:p>
        </w:tc>
        <w:tc>
          <w:tcPr>
            <w:tcW w:type="dxa" w:w="1500"/>
            <w:tcMar>
              <w:top w:type="dxa" w:w="70"/>
              <w:left w:type="dxa" w:w="90"/>
              <w:bottom w:type="dxa" w:w="70"/>
              <w:right w:type="dxa" w:w="90"/>
            </w:tcMar>
          </w:tcPr>
          <w:p>
            <w:r>
              <w:rPr>
                <w:b w:val="false"/>
                <w:bCs w:val="false"/>
                <w:sz w:val="17"/>
                <w:szCs w:val="17"/>
              </w:rPr>
              <w:t xml:space="preserve">Open New Account</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New account appeared immediately in Account Overview</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TC-020</w:t>
            </w:r>
          </w:p>
        </w:tc>
        <w:tc>
          <w:tcPr>
            <w:tcW w:type="dxa" w:w="1500"/>
            <w:tcMar>
              <w:top w:type="dxa" w:w="70"/>
              <w:left w:type="dxa" w:w="90"/>
              <w:bottom w:type="dxa" w:w="70"/>
              <w:right w:type="dxa" w:w="90"/>
            </w:tcMar>
          </w:tcPr>
          <w:p>
            <w:r>
              <w:rPr>
                <w:b w:val="false"/>
                <w:bCs w:val="false"/>
                <w:sz w:val="17"/>
                <w:szCs w:val="17"/>
              </w:rPr>
              <w:t xml:space="preserve">Open New Account</w:t>
            </w:r>
          </w:p>
        </w:tc>
        <w:tc>
          <w:tcPr>
            <w:tcW w:type="dxa" w:w="900"/>
            <w:tcMar>
              <w:top w:type="dxa" w:w="70"/>
              <w:left w:type="dxa" w:w="90"/>
              <w:bottom w:type="dxa" w:w="70"/>
              <w:right w:type="dxa" w:w="90"/>
            </w:tcMar>
          </w:tcPr>
          <w:p>
            <w:r>
              <w:rPr>
                <w:b w:val="false"/>
                <w:bCs w:val="false"/>
                <w:sz w:val="17"/>
                <w:szCs w:val="17"/>
              </w:rPr>
              <w:t xml:space="preserve">Fail</w:t>
            </w:r>
          </w:p>
        </w:tc>
        <w:tc>
          <w:tcPr>
            <w:tcW w:type="dxa" w:w="900"/>
            <w:tcMar>
              <w:top w:type="dxa" w:w="70"/>
              <w:left w:type="dxa" w:w="90"/>
              <w:bottom w:type="dxa" w:w="70"/>
              <w:right w:type="dxa" w:w="90"/>
            </w:tcMar>
          </w:tcPr>
          <w:p>
            <w:r>
              <w:rPr>
                <w:b w:val="false"/>
                <w:bCs w:val="false"/>
                <w:sz w:val="17"/>
                <w:szCs w:val="17"/>
              </w:rPr>
              <w:t xml:space="preserve">DEF-001</w:t>
            </w:r>
          </w:p>
        </w:tc>
        <w:tc>
          <w:tcPr>
            <w:tcW w:type="dxa" w:w="4300"/>
            <w:tcMar>
              <w:top w:type="dxa" w:w="70"/>
              <w:left w:type="dxa" w:w="90"/>
              <w:bottom w:type="dxa" w:w="70"/>
              <w:right w:type="dxa" w:w="90"/>
            </w:tcMar>
          </w:tcPr>
          <w:p>
            <w:r>
              <w:rPr>
                <w:b w:val="false"/>
                <w:bCs w:val="false"/>
                <w:sz w:val="17"/>
                <w:szCs w:val="17"/>
              </w:rPr>
              <w:t xml:space="preserve">Account opened successfully even when funding from a zero-balance account, with no minimum-deposit validation</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TC-021</w:t>
            </w:r>
          </w:p>
        </w:tc>
        <w:tc>
          <w:tcPr>
            <w:tcW w:type="dxa" w:w="1500"/>
            <w:tcMar>
              <w:top w:type="dxa" w:w="70"/>
              <w:left w:type="dxa" w:w="90"/>
              <w:bottom w:type="dxa" w:w="70"/>
              <w:right w:type="dxa" w:w="90"/>
            </w:tcMar>
          </w:tcPr>
          <w:p>
            <w:r>
              <w:rPr>
                <w:b w:val="false"/>
                <w:bCs w:val="false"/>
                <w:sz w:val="17"/>
                <w:szCs w:val="17"/>
              </w:rPr>
              <w:t xml:space="preserve">Open New Account</w:t>
            </w:r>
          </w:p>
        </w:tc>
        <w:tc>
          <w:tcPr>
            <w:tcW w:type="dxa" w:w="900"/>
            <w:tcMar>
              <w:top w:type="dxa" w:w="70"/>
              <w:left w:type="dxa" w:w="90"/>
              <w:bottom w:type="dxa" w:w="70"/>
              <w:right w:type="dxa" w:w="90"/>
            </w:tcMar>
          </w:tcPr>
          <w:p>
            <w:r>
              <w:rPr>
                <w:b w:val="false"/>
                <w:bCs w:val="false"/>
                <w:sz w:val="17"/>
                <w:szCs w:val="17"/>
              </w:rPr>
              <w:t xml:space="preserve">Blocked</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Blocked — no dedicated test data prepared for this case (Phase 4 gap, Traceability Audit 9.4.11); execution deferred pending data creation</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TC-022</w:t>
            </w:r>
          </w:p>
        </w:tc>
        <w:tc>
          <w:tcPr>
            <w:tcW w:type="dxa" w:w="1500"/>
            <w:tcMar>
              <w:top w:type="dxa" w:w="70"/>
              <w:left w:type="dxa" w:w="90"/>
              <w:bottom w:type="dxa" w:w="70"/>
              <w:right w:type="dxa" w:w="90"/>
            </w:tcMar>
          </w:tcPr>
          <w:p>
            <w:r>
              <w:rPr>
                <w:b w:val="false"/>
                <w:bCs w:val="false"/>
                <w:sz w:val="17"/>
                <w:szCs w:val="17"/>
              </w:rPr>
              <w:t xml:space="preserve">Open New Account</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System defaulted to a valid account type when none explicitly selected</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TC-023</w:t>
            </w:r>
          </w:p>
        </w:tc>
        <w:tc>
          <w:tcPr>
            <w:tcW w:type="dxa" w:w="1500"/>
            <w:tcMar>
              <w:top w:type="dxa" w:w="70"/>
              <w:left w:type="dxa" w:w="90"/>
              <w:bottom w:type="dxa" w:w="70"/>
              <w:right w:type="dxa" w:w="90"/>
            </w:tcMar>
          </w:tcPr>
          <w:p>
            <w:r>
              <w:rPr>
                <w:b w:val="false"/>
                <w:bCs w:val="false"/>
                <w:sz w:val="17"/>
                <w:szCs w:val="17"/>
              </w:rPr>
              <w:t xml:space="preserve">Open New Account</w:t>
            </w:r>
          </w:p>
        </w:tc>
        <w:tc>
          <w:tcPr>
            <w:tcW w:type="dxa" w:w="900"/>
            <w:tcMar>
              <w:top w:type="dxa" w:w="70"/>
              <w:left w:type="dxa" w:w="90"/>
              <w:bottom w:type="dxa" w:w="70"/>
              <w:right w:type="dxa" w:w="90"/>
            </w:tcMar>
          </w:tcPr>
          <w:p>
            <w:r>
              <w:rPr>
                <w:b w:val="false"/>
                <w:bCs w:val="false"/>
                <w:sz w:val="17"/>
                <w:szCs w:val="17"/>
              </w:rPr>
              <w:t xml:space="preserve">Blocked</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Blocked — dependent on TC-021 environment/data setup which was not completed in time</w:t>
            </w:r>
          </w:p>
        </w:tc>
        <w:tc>
          <w:tcPr>
            <w:tcW w:type="dxa" w:w="1200"/>
            <w:tcMar>
              <w:top w:type="dxa" w:w="70"/>
              <w:left w:type="dxa" w:w="90"/>
              <w:bottom w:type="dxa" w:w="70"/>
              <w:right w:type="dxa" w:w="90"/>
            </w:tcMar>
          </w:tcPr>
          <w:p>
            <w:r>
              <w:rPr>
                <w:b w:val="false"/>
                <w:bCs w:val="false"/>
                <w:sz w:val="17"/>
                <w:szCs w:val="17"/>
              </w:rPr>
              <w:t xml:space="preserve">10 Aug 2026</w:t>
            </w:r>
          </w:p>
        </w:tc>
      </w:tr>
    </w:tbl>
    <w:p>
      <w:pPr>
        <w:pStyle w:val="Heading3"/>
        <w:spacing w:after="100" w:before="200"/>
      </w:pPr>
      <w:r>
        <w:t xml:space="preserve">Transfer Funds (executed Thu 06 Aug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900"/>
        <w:gridCol w:w="4300"/>
        <w:gridCol w:w="1200"/>
      </w:tblGrid>
      <w:tr>
        <w:trPr>
          <w:tblHeader/>
        </w:trPr>
        <w:tc>
          <w:tcPr>
            <w:tcW w:type="dxa" w:w="700"/>
            <w:shd w:fill="1F4E5F" w:val="clear"/>
            <w:tcMar>
              <w:top w:type="dxa" w:w="70"/>
              <w:left w:type="dxa" w:w="90"/>
              <w:bottom w:type="dxa" w:w="70"/>
              <w:right w:type="dxa" w:w="90"/>
            </w:tcMar>
          </w:tcPr>
          <w:p>
            <w:r>
              <w:rPr>
                <w:b/>
                <w:bCs/>
                <w:color w:val="FFFFFF"/>
                <w:sz w:val="17"/>
                <w:szCs w:val="17"/>
              </w:rPr>
              <w:t xml:space="preserve">TC ID</w:t>
            </w:r>
          </w:p>
        </w:tc>
        <w:tc>
          <w:tcPr>
            <w:tcW w:type="dxa" w:w="1500"/>
            <w:shd w:fill="1F4E5F" w:val="clear"/>
            <w:tcMar>
              <w:top w:type="dxa" w:w="70"/>
              <w:left w:type="dxa" w:w="90"/>
              <w:bottom w:type="dxa" w:w="70"/>
              <w:right w:type="dxa" w:w="90"/>
            </w:tcMar>
          </w:tcPr>
          <w:p>
            <w:r>
              <w:rPr>
                <w:b/>
                <w:bCs/>
                <w:color w:val="FFFFFF"/>
                <w:sz w:val="17"/>
                <w:szCs w:val="17"/>
              </w:rPr>
              <w:t xml:space="preserve">Module</w:t>
            </w:r>
          </w:p>
        </w:tc>
        <w:tc>
          <w:tcPr>
            <w:tcW w:type="dxa" w:w="900"/>
            <w:shd w:fill="1F4E5F" w:val="clear"/>
            <w:tcMar>
              <w:top w:type="dxa" w:w="70"/>
              <w:left w:type="dxa" w:w="90"/>
              <w:bottom w:type="dxa" w:w="70"/>
              <w:right w:type="dxa" w:w="90"/>
            </w:tcMar>
          </w:tcPr>
          <w:p>
            <w:r>
              <w:rPr>
                <w:b/>
                <w:bCs/>
                <w:color w:val="FFFFFF"/>
                <w:sz w:val="17"/>
                <w:szCs w:val="17"/>
              </w:rPr>
              <w:t xml:space="preserve">Status</w:t>
            </w:r>
          </w:p>
        </w:tc>
        <w:tc>
          <w:tcPr>
            <w:tcW w:type="dxa" w:w="900"/>
            <w:shd w:fill="1F4E5F" w:val="clear"/>
            <w:tcMar>
              <w:top w:type="dxa" w:w="70"/>
              <w:left w:type="dxa" w:w="90"/>
              <w:bottom w:type="dxa" w:w="70"/>
              <w:right w:type="dxa" w:w="90"/>
            </w:tcMar>
          </w:tcPr>
          <w:p>
            <w:r>
              <w:rPr>
                <w:b/>
                <w:bCs/>
                <w:color w:val="FFFFFF"/>
                <w:sz w:val="17"/>
                <w:szCs w:val="17"/>
              </w:rPr>
              <w:t xml:space="preserve">Defect ID</w:t>
            </w:r>
          </w:p>
        </w:tc>
        <w:tc>
          <w:tcPr>
            <w:tcW w:type="dxa" w:w="4300"/>
            <w:shd w:fill="1F4E5F" w:val="clear"/>
            <w:tcMar>
              <w:top w:type="dxa" w:w="70"/>
              <w:left w:type="dxa" w:w="90"/>
              <w:bottom w:type="dxa" w:w="70"/>
              <w:right w:type="dxa" w:w="90"/>
            </w:tcMar>
          </w:tcPr>
          <w:p>
            <w:r>
              <w:rPr>
                <w:b/>
                <w:bCs/>
                <w:color w:val="FFFFFF"/>
                <w:sz w:val="17"/>
                <w:szCs w:val="17"/>
              </w:rPr>
              <w:t xml:space="preserve">Notes</w:t>
            </w:r>
          </w:p>
        </w:tc>
        <w:tc>
          <w:tcPr>
            <w:tcW w:type="dxa" w:w="1200"/>
            <w:shd w:fill="1F4E5F" w:val="clear"/>
            <w:tcMar>
              <w:top w:type="dxa" w:w="70"/>
              <w:left w:type="dxa" w:w="90"/>
              <w:bottom w:type="dxa" w:w="70"/>
              <w:right w:type="dxa" w:w="90"/>
            </w:tcMar>
          </w:tcPr>
          <w:p>
            <w:r>
              <w:rPr>
                <w:b/>
                <w:bCs/>
                <w:color w:val="FFFFFF"/>
                <w:sz w:val="17"/>
                <w:szCs w:val="17"/>
              </w:rPr>
              <w:t xml:space="preserve">Date</w:t>
            </w:r>
          </w:p>
        </w:tc>
      </w:tr>
      <w:tr>
        <w:tc>
          <w:tcPr>
            <w:tcW w:type="dxa" w:w="700"/>
            <w:tcMar>
              <w:top w:type="dxa" w:w="70"/>
              <w:left w:type="dxa" w:w="90"/>
              <w:bottom w:type="dxa" w:w="70"/>
              <w:right w:type="dxa" w:w="90"/>
            </w:tcMar>
          </w:tcPr>
          <w:p>
            <w:r>
              <w:rPr>
                <w:b w:val="false"/>
                <w:bCs w:val="false"/>
                <w:sz w:val="17"/>
                <w:szCs w:val="17"/>
              </w:rPr>
              <w:t xml:space="preserve">TC-024</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Successful transfer between owned accounts; confirmation displayed</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TC-025</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Transfer correctly rejected on insufficient balance</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TC-026</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Both balances updated correctly and immediately</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TC-027</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Fail</w:t>
            </w:r>
          </w:p>
        </w:tc>
        <w:tc>
          <w:tcPr>
            <w:tcW w:type="dxa" w:w="900"/>
            <w:tcMar>
              <w:top w:type="dxa" w:w="70"/>
              <w:left w:type="dxa" w:w="90"/>
              <w:bottom w:type="dxa" w:w="70"/>
              <w:right w:type="dxa" w:w="90"/>
            </w:tcMar>
          </w:tcPr>
          <w:p>
            <w:r>
              <w:rPr>
                <w:b w:val="false"/>
                <w:bCs w:val="false"/>
                <w:sz w:val="17"/>
                <w:szCs w:val="17"/>
              </w:rPr>
              <w:t xml:space="preserve">DEF-002</w:t>
            </w:r>
          </w:p>
        </w:tc>
        <w:tc>
          <w:tcPr>
            <w:tcW w:type="dxa" w:w="4300"/>
            <w:tcMar>
              <w:top w:type="dxa" w:w="70"/>
              <w:left w:type="dxa" w:w="90"/>
              <w:bottom w:type="dxa" w:w="70"/>
              <w:right w:type="dxa" w:w="90"/>
            </w:tcMar>
          </w:tcPr>
          <w:p>
            <w:r>
              <w:rPr>
                <w:b w:val="false"/>
                <w:bCs w:val="false"/>
                <w:sz w:val="17"/>
                <w:szCs w:val="17"/>
              </w:rPr>
              <w:t xml:space="preserve">Transfer of the exact account balance was incorrectly rejected as "insufficient funds"</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TC-028</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Transfer of $0.01 above balance correctly rejected</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TC-029</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Negative amount correctly rejected</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TC-030</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Non-numeric amount correctly rejected</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TC-031</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Fail</w:t>
            </w:r>
          </w:p>
        </w:tc>
        <w:tc>
          <w:tcPr>
            <w:tcW w:type="dxa" w:w="900"/>
            <w:tcMar>
              <w:top w:type="dxa" w:w="70"/>
              <w:left w:type="dxa" w:w="90"/>
              <w:bottom w:type="dxa" w:w="70"/>
              <w:right w:type="dxa" w:w="90"/>
            </w:tcMar>
          </w:tcPr>
          <w:p>
            <w:r>
              <w:rPr>
                <w:b w:val="false"/>
                <w:bCs w:val="false"/>
                <w:sz w:val="17"/>
                <w:szCs w:val="17"/>
              </w:rPr>
              <w:t xml:space="preserve">DEF-003</w:t>
            </w:r>
          </w:p>
        </w:tc>
        <w:tc>
          <w:tcPr>
            <w:tcW w:type="dxa" w:w="4300"/>
            <w:tcMar>
              <w:top w:type="dxa" w:w="70"/>
              <w:left w:type="dxa" w:w="90"/>
              <w:bottom w:type="dxa" w:w="70"/>
              <w:right w:type="dxa" w:w="90"/>
            </w:tcMar>
          </w:tcPr>
          <w:p>
            <w:r>
              <w:rPr>
                <w:b w:val="false"/>
                <w:bCs w:val="false"/>
                <w:sz w:val="17"/>
                <w:szCs w:val="17"/>
              </w:rPr>
              <w:t xml:space="preserve">Same-account transfer (From = To) was processed silently with no warning message</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TC-032</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Zero-amount transfer correctly rejected</w:t>
            </w:r>
          </w:p>
        </w:tc>
        <w:tc>
          <w:tcPr>
            <w:tcW w:type="dxa" w:w="1200"/>
            <w:tcMar>
              <w:top w:type="dxa" w:w="70"/>
              <w:left w:type="dxa" w:w="90"/>
              <w:bottom w:type="dxa" w:w="70"/>
              <w:right w:type="dxa" w:w="90"/>
            </w:tcMar>
          </w:tcPr>
          <w:p>
            <w:r>
              <w:rPr>
                <w:b w:val="false"/>
                <w:bCs w:val="false"/>
                <w:sz w:val="17"/>
                <w:szCs w:val="17"/>
              </w:rPr>
              <w:t xml:space="preserve">06 Aug 2026</w:t>
            </w:r>
          </w:p>
        </w:tc>
      </w:tr>
      <w:tr>
        <w:tc>
          <w:tcPr>
            <w:tcW w:type="dxa" w:w="700"/>
            <w:tcMar>
              <w:top w:type="dxa" w:w="70"/>
              <w:left w:type="dxa" w:w="90"/>
              <w:bottom w:type="dxa" w:w="70"/>
              <w:right w:type="dxa" w:w="90"/>
            </w:tcMar>
          </w:tcPr>
          <w:p>
            <w:r>
              <w:rPr>
                <w:b w:val="false"/>
                <w:bCs w:val="false"/>
                <w:sz w:val="17"/>
                <w:szCs w:val="17"/>
              </w:rPr>
              <w:t xml:space="preserve">TC-033</w:t>
            </w:r>
          </w:p>
        </w:tc>
        <w:tc>
          <w:tcPr>
            <w:tcW w:type="dxa" w:w="1500"/>
            <w:tcMar>
              <w:top w:type="dxa" w:w="70"/>
              <w:left w:type="dxa" w:w="90"/>
              <w:bottom w:type="dxa" w:w="70"/>
              <w:right w:type="dxa" w:w="90"/>
            </w:tcMar>
          </w:tcPr>
          <w:p>
            <w:r>
              <w:rPr>
                <w:b w:val="false"/>
                <w:bCs w:val="false"/>
                <w:sz w:val="17"/>
                <w:szCs w:val="17"/>
              </w:rPr>
              <w:t xml:space="preserve">Transfer Funds</w:t>
            </w:r>
          </w:p>
        </w:tc>
        <w:tc>
          <w:tcPr>
            <w:tcW w:type="dxa" w:w="900"/>
            <w:tcMar>
              <w:top w:type="dxa" w:w="70"/>
              <w:left w:type="dxa" w:w="90"/>
              <w:bottom w:type="dxa" w:w="70"/>
              <w:right w:type="dxa" w:w="90"/>
            </w:tcMar>
          </w:tcPr>
          <w:p>
            <w:r>
              <w:rPr>
                <w:b w:val="false"/>
                <w:bCs w:val="false"/>
                <w:sz w:val="17"/>
                <w:szCs w:val="17"/>
              </w:rPr>
              <w:t xml:space="preserve">Fail</w:t>
            </w:r>
          </w:p>
        </w:tc>
        <w:tc>
          <w:tcPr>
            <w:tcW w:type="dxa" w:w="900"/>
            <w:tcMar>
              <w:top w:type="dxa" w:w="70"/>
              <w:left w:type="dxa" w:w="90"/>
              <w:bottom w:type="dxa" w:w="70"/>
              <w:right w:type="dxa" w:w="90"/>
            </w:tcMar>
          </w:tcPr>
          <w:p>
            <w:r>
              <w:rPr>
                <w:b w:val="false"/>
                <w:bCs w:val="false"/>
                <w:sz w:val="17"/>
                <w:szCs w:val="17"/>
              </w:rPr>
              <w:t xml:space="preserve">DEF-007</w:t>
            </w:r>
          </w:p>
        </w:tc>
        <w:tc>
          <w:tcPr>
            <w:tcW w:type="dxa" w:w="4300"/>
            <w:tcMar>
              <w:top w:type="dxa" w:w="70"/>
              <w:left w:type="dxa" w:w="90"/>
              <w:bottom w:type="dxa" w:w="70"/>
              <w:right w:type="dxa" w:w="90"/>
            </w:tcMar>
          </w:tcPr>
          <w:p>
            <w:r>
              <w:rPr>
                <w:b w:val="false"/>
                <w:bCs w:val="false"/>
                <w:sz w:val="17"/>
                <w:szCs w:val="17"/>
              </w:rPr>
              <w:t xml:space="preserve">Two rapid consecutive transfers both succeeded even though the combined amount exceeded the available balance</w:t>
            </w:r>
          </w:p>
        </w:tc>
        <w:tc>
          <w:tcPr>
            <w:tcW w:type="dxa" w:w="1200"/>
            <w:tcMar>
              <w:top w:type="dxa" w:w="70"/>
              <w:left w:type="dxa" w:w="90"/>
              <w:bottom w:type="dxa" w:w="70"/>
              <w:right w:type="dxa" w:w="90"/>
            </w:tcMar>
          </w:tcPr>
          <w:p>
            <w:r>
              <w:rPr>
                <w:b w:val="false"/>
                <w:bCs w:val="false"/>
                <w:sz w:val="17"/>
                <w:szCs w:val="17"/>
              </w:rPr>
              <w:t xml:space="preserve">06 Aug 2026</w:t>
            </w:r>
          </w:p>
        </w:tc>
      </w:tr>
    </w:tbl>
    <w:p>
      <w:pPr>
        <w:pStyle w:val="Heading3"/>
        <w:spacing w:after="100" w:before="200"/>
      </w:pPr>
      <w:r>
        <w:t xml:space="preserve">Bill Pay (executed Fri 07 Aug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900"/>
        <w:gridCol w:w="4300"/>
        <w:gridCol w:w="1200"/>
      </w:tblGrid>
      <w:tr>
        <w:trPr>
          <w:tblHeader/>
        </w:trPr>
        <w:tc>
          <w:tcPr>
            <w:tcW w:type="dxa" w:w="700"/>
            <w:shd w:fill="1F4E5F" w:val="clear"/>
            <w:tcMar>
              <w:top w:type="dxa" w:w="70"/>
              <w:left w:type="dxa" w:w="90"/>
              <w:bottom w:type="dxa" w:w="70"/>
              <w:right w:type="dxa" w:w="90"/>
            </w:tcMar>
          </w:tcPr>
          <w:p>
            <w:r>
              <w:rPr>
                <w:b/>
                <w:bCs/>
                <w:color w:val="FFFFFF"/>
                <w:sz w:val="17"/>
                <w:szCs w:val="17"/>
              </w:rPr>
              <w:t xml:space="preserve">TC ID</w:t>
            </w:r>
          </w:p>
        </w:tc>
        <w:tc>
          <w:tcPr>
            <w:tcW w:type="dxa" w:w="1500"/>
            <w:shd w:fill="1F4E5F" w:val="clear"/>
            <w:tcMar>
              <w:top w:type="dxa" w:w="70"/>
              <w:left w:type="dxa" w:w="90"/>
              <w:bottom w:type="dxa" w:w="70"/>
              <w:right w:type="dxa" w:w="90"/>
            </w:tcMar>
          </w:tcPr>
          <w:p>
            <w:r>
              <w:rPr>
                <w:b/>
                <w:bCs/>
                <w:color w:val="FFFFFF"/>
                <w:sz w:val="17"/>
                <w:szCs w:val="17"/>
              </w:rPr>
              <w:t xml:space="preserve">Module</w:t>
            </w:r>
          </w:p>
        </w:tc>
        <w:tc>
          <w:tcPr>
            <w:tcW w:type="dxa" w:w="900"/>
            <w:shd w:fill="1F4E5F" w:val="clear"/>
            <w:tcMar>
              <w:top w:type="dxa" w:w="70"/>
              <w:left w:type="dxa" w:w="90"/>
              <w:bottom w:type="dxa" w:w="70"/>
              <w:right w:type="dxa" w:w="90"/>
            </w:tcMar>
          </w:tcPr>
          <w:p>
            <w:r>
              <w:rPr>
                <w:b/>
                <w:bCs/>
                <w:color w:val="FFFFFF"/>
                <w:sz w:val="17"/>
                <w:szCs w:val="17"/>
              </w:rPr>
              <w:t xml:space="preserve">Status</w:t>
            </w:r>
          </w:p>
        </w:tc>
        <w:tc>
          <w:tcPr>
            <w:tcW w:type="dxa" w:w="900"/>
            <w:shd w:fill="1F4E5F" w:val="clear"/>
            <w:tcMar>
              <w:top w:type="dxa" w:w="70"/>
              <w:left w:type="dxa" w:w="90"/>
              <w:bottom w:type="dxa" w:w="70"/>
              <w:right w:type="dxa" w:w="90"/>
            </w:tcMar>
          </w:tcPr>
          <w:p>
            <w:r>
              <w:rPr>
                <w:b/>
                <w:bCs/>
                <w:color w:val="FFFFFF"/>
                <w:sz w:val="17"/>
                <w:szCs w:val="17"/>
              </w:rPr>
              <w:t xml:space="preserve">Defect ID</w:t>
            </w:r>
          </w:p>
        </w:tc>
        <w:tc>
          <w:tcPr>
            <w:tcW w:type="dxa" w:w="4300"/>
            <w:shd w:fill="1F4E5F" w:val="clear"/>
            <w:tcMar>
              <w:top w:type="dxa" w:w="70"/>
              <w:left w:type="dxa" w:w="90"/>
              <w:bottom w:type="dxa" w:w="70"/>
              <w:right w:type="dxa" w:w="90"/>
            </w:tcMar>
          </w:tcPr>
          <w:p>
            <w:r>
              <w:rPr>
                <w:b/>
                <w:bCs/>
                <w:color w:val="FFFFFF"/>
                <w:sz w:val="17"/>
                <w:szCs w:val="17"/>
              </w:rPr>
              <w:t xml:space="preserve">Notes</w:t>
            </w:r>
          </w:p>
        </w:tc>
        <w:tc>
          <w:tcPr>
            <w:tcW w:type="dxa" w:w="1200"/>
            <w:shd w:fill="1F4E5F" w:val="clear"/>
            <w:tcMar>
              <w:top w:type="dxa" w:w="70"/>
              <w:left w:type="dxa" w:w="90"/>
              <w:bottom w:type="dxa" w:w="70"/>
              <w:right w:type="dxa" w:w="90"/>
            </w:tcMar>
          </w:tcPr>
          <w:p>
            <w:r>
              <w:rPr>
                <w:b/>
                <w:bCs/>
                <w:color w:val="FFFFFF"/>
                <w:sz w:val="17"/>
                <w:szCs w:val="17"/>
              </w:rPr>
              <w:t xml:space="preserve">Date</w:t>
            </w:r>
          </w:p>
        </w:tc>
      </w:tr>
      <w:tr>
        <w:tc>
          <w:tcPr>
            <w:tcW w:type="dxa" w:w="700"/>
            <w:tcMar>
              <w:top w:type="dxa" w:w="70"/>
              <w:left w:type="dxa" w:w="90"/>
              <w:bottom w:type="dxa" w:w="70"/>
              <w:right w:type="dxa" w:w="90"/>
            </w:tcMar>
          </w:tcPr>
          <w:p>
            <w:r>
              <w:rPr>
                <w:b w:val="false"/>
                <w:bCs w:val="false"/>
                <w:sz w:val="17"/>
                <w:szCs w:val="17"/>
              </w:rPr>
              <w:t xml:space="preserve">TC-034</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Successful payment to a new payee; confirmation displayed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TC-035</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Payment correctly rejected on insufficient balance</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TC-036</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Blank payee name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TC-037</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Blank payee address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TC-038</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Paying account balance decreased by the exact payment amount</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TC-039</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Payment to a previously saved payee succeeded without re-entering details</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TC-040</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Non-numeric amount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TC-041</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Negative amount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TC-042</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Fail</w:t>
            </w:r>
          </w:p>
        </w:tc>
        <w:tc>
          <w:tcPr>
            <w:tcW w:type="dxa" w:w="900"/>
            <w:tcMar>
              <w:top w:type="dxa" w:w="70"/>
              <w:left w:type="dxa" w:w="90"/>
              <w:bottom w:type="dxa" w:w="70"/>
              <w:right w:type="dxa" w:w="90"/>
            </w:tcMar>
          </w:tcPr>
          <w:p>
            <w:r>
              <w:rPr>
                <w:b w:val="false"/>
                <w:bCs w:val="false"/>
                <w:sz w:val="17"/>
                <w:szCs w:val="17"/>
              </w:rPr>
              <w:t xml:space="preserve">DEF-004</w:t>
            </w:r>
          </w:p>
        </w:tc>
        <w:tc>
          <w:tcPr>
            <w:tcW w:type="dxa" w:w="4300"/>
            <w:tcMar>
              <w:top w:type="dxa" w:w="70"/>
              <w:left w:type="dxa" w:w="90"/>
              <w:bottom w:type="dxa" w:w="70"/>
              <w:right w:type="dxa" w:w="90"/>
            </w:tcMar>
          </w:tcPr>
          <w:p>
            <w:r>
              <w:rPr>
                <w:b w:val="false"/>
                <w:bCs w:val="false"/>
                <w:sz w:val="17"/>
                <w:szCs w:val="17"/>
              </w:rPr>
              <w:t xml:space="preserve">A payee with a non-existent account number was saved and paid with no validation at either entry or payment time</w:t>
            </w:r>
          </w:p>
        </w:tc>
        <w:tc>
          <w:tcPr>
            <w:tcW w:type="dxa" w:w="1200"/>
            <w:tcMar>
              <w:top w:type="dxa" w:w="70"/>
              <w:left w:type="dxa" w:w="90"/>
              <w:bottom w:type="dxa" w:w="70"/>
              <w:right w:type="dxa" w:w="90"/>
            </w:tcMar>
          </w:tcPr>
          <w:p>
            <w:r>
              <w:rPr>
                <w:b w:val="false"/>
                <w:bCs w:val="false"/>
                <w:sz w:val="17"/>
                <w:szCs w:val="17"/>
              </w:rPr>
              <w:t xml:space="preserve">07 Aug 2026</w:t>
            </w:r>
          </w:p>
        </w:tc>
      </w:tr>
      <w:tr>
        <w:tc>
          <w:tcPr>
            <w:tcW w:type="dxa" w:w="700"/>
            <w:tcMar>
              <w:top w:type="dxa" w:w="70"/>
              <w:left w:type="dxa" w:w="90"/>
              <w:bottom w:type="dxa" w:w="70"/>
              <w:right w:type="dxa" w:w="90"/>
            </w:tcMar>
          </w:tcPr>
          <w:p>
            <w:r>
              <w:rPr>
                <w:b w:val="false"/>
                <w:bCs w:val="false"/>
                <w:sz w:val="17"/>
                <w:szCs w:val="17"/>
              </w:rPr>
              <w:t xml:space="preserve">TC-043</w:t>
            </w:r>
          </w:p>
        </w:tc>
        <w:tc>
          <w:tcPr>
            <w:tcW w:type="dxa" w:w="1500"/>
            <w:tcMar>
              <w:top w:type="dxa" w:w="70"/>
              <w:left w:type="dxa" w:w="90"/>
              <w:bottom w:type="dxa" w:w="70"/>
              <w:right w:type="dxa" w:w="90"/>
            </w:tcMar>
          </w:tcPr>
          <w:p>
            <w:r>
              <w:rPr>
                <w:b w:val="false"/>
                <w:bCs w:val="false"/>
                <w:sz w:val="17"/>
                <w:szCs w:val="17"/>
              </w:rPr>
              <w:t xml:space="preserve">Bill Pay</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Zero-amount payment correctly rejected</w:t>
            </w:r>
          </w:p>
        </w:tc>
        <w:tc>
          <w:tcPr>
            <w:tcW w:type="dxa" w:w="1200"/>
            <w:tcMar>
              <w:top w:type="dxa" w:w="70"/>
              <w:left w:type="dxa" w:w="90"/>
              <w:bottom w:type="dxa" w:w="70"/>
              <w:right w:type="dxa" w:w="90"/>
            </w:tcMar>
          </w:tcPr>
          <w:p>
            <w:r>
              <w:rPr>
                <w:b w:val="false"/>
                <w:bCs w:val="false"/>
                <w:sz w:val="17"/>
                <w:szCs w:val="17"/>
              </w:rPr>
              <w:t xml:space="preserve">07 Aug 2026</w:t>
            </w:r>
          </w:p>
        </w:tc>
      </w:tr>
    </w:tbl>
    <w:p>
      <w:pPr>
        <w:pStyle w:val="Heading3"/>
        <w:spacing w:after="100" w:before="200"/>
      </w:pPr>
      <w:r>
        <w:t xml:space="preserve">Request Loan (executed Mon 10 Aug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900"/>
        <w:gridCol w:w="900"/>
        <w:gridCol w:w="4300"/>
        <w:gridCol w:w="1200"/>
      </w:tblGrid>
      <w:tr>
        <w:trPr>
          <w:tblHeader/>
        </w:trPr>
        <w:tc>
          <w:tcPr>
            <w:tcW w:type="dxa" w:w="700"/>
            <w:shd w:fill="1F4E5F" w:val="clear"/>
            <w:tcMar>
              <w:top w:type="dxa" w:w="70"/>
              <w:left w:type="dxa" w:w="90"/>
              <w:bottom w:type="dxa" w:w="70"/>
              <w:right w:type="dxa" w:w="90"/>
            </w:tcMar>
          </w:tcPr>
          <w:p>
            <w:r>
              <w:rPr>
                <w:b/>
                <w:bCs/>
                <w:color w:val="FFFFFF"/>
                <w:sz w:val="17"/>
                <w:szCs w:val="17"/>
              </w:rPr>
              <w:t xml:space="preserve">TC ID</w:t>
            </w:r>
          </w:p>
        </w:tc>
        <w:tc>
          <w:tcPr>
            <w:tcW w:type="dxa" w:w="1500"/>
            <w:shd w:fill="1F4E5F" w:val="clear"/>
            <w:tcMar>
              <w:top w:type="dxa" w:w="70"/>
              <w:left w:type="dxa" w:w="90"/>
              <w:bottom w:type="dxa" w:w="70"/>
              <w:right w:type="dxa" w:w="90"/>
            </w:tcMar>
          </w:tcPr>
          <w:p>
            <w:r>
              <w:rPr>
                <w:b/>
                <w:bCs/>
                <w:color w:val="FFFFFF"/>
                <w:sz w:val="17"/>
                <w:szCs w:val="17"/>
              </w:rPr>
              <w:t xml:space="preserve">Module</w:t>
            </w:r>
          </w:p>
        </w:tc>
        <w:tc>
          <w:tcPr>
            <w:tcW w:type="dxa" w:w="900"/>
            <w:shd w:fill="1F4E5F" w:val="clear"/>
            <w:tcMar>
              <w:top w:type="dxa" w:w="70"/>
              <w:left w:type="dxa" w:w="90"/>
              <w:bottom w:type="dxa" w:w="70"/>
              <w:right w:type="dxa" w:w="90"/>
            </w:tcMar>
          </w:tcPr>
          <w:p>
            <w:r>
              <w:rPr>
                <w:b/>
                <w:bCs/>
                <w:color w:val="FFFFFF"/>
                <w:sz w:val="17"/>
                <w:szCs w:val="17"/>
              </w:rPr>
              <w:t xml:space="preserve">Status</w:t>
            </w:r>
          </w:p>
        </w:tc>
        <w:tc>
          <w:tcPr>
            <w:tcW w:type="dxa" w:w="900"/>
            <w:shd w:fill="1F4E5F" w:val="clear"/>
            <w:tcMar>
              <w:top w:type="dxa" w:w="70"/>
              <w:left w:type="dxa" w:w="90"/>
              <w:bottom w:type="dxa" w:w="70"/>
              <w:right w:type="dxa" w:w="90"/>
            </w:tcMar>
          </w:tcPr>
          <w:p>
            <w:r>
              <w:rPr>
                <w:b/>
                <w:bCs/>
                <w:color w:val="FFFFFF"/>
                <w:sz w:val="17"/>
                <w:szCs w:val="17"/>
              </w:rPr>
              <w:t xml:space="preserve">Defect ID</w:t>
            </w:r>
          </w:p>
        </w:tc>
        <w:tc>
          <w:tcPr>
            <w:tcW w:type="dxa" w:w="4300"/>
            <w:shd w:fill="1F4E5F" w:val="clear"/>
            <w:tcMar>
              <w:top w:type="dxa" w:w="70"/>
              <w:left w:type="dxa" w:w="90"/>
              <w:bottom w:type="dxa" w:w="70"/>
              <w:right w:type="dxa" w:w="90"/>
            </w:tcMar>
          </w:tcPr>
          <w:p>
            <w:r>
              <w:rPr>
                <w:b/>
                <w:bCs/>
                <w:color w:val="FFFFFF"/>
                <w:sz w:val="17"/>
                <w:szCs w:val="17"/>
              </w:rPr>
              <w:t xml:space="preserve">Notes</w:t>
            </w:r>
          </w:p>
        </w:tc>
        <w:tc>
          <w:tcPr>
            <w:tcW w:type="dxa" w:w="1200"/>
            <w:shd w:fill="1F4E5F" w:val="clear"/>
            <w:tcMar>
              <w:top w:type="dxa" w:w="70"/>
              <w:left w:type="dxa" w:w="90"/>
              <w:bottom w:type="dxa" w:w="70"/>
              <w:right w:type="dxa" w:w="90"/>
            </w:tcMar>
          </w:tcPr>
          <w:p>
            <w:r>
              <w:rPr>
                <w:b/>
                <w:bCs/>
                <w:color w:val="FFFFFF"/>
                <w:sz w:val="17"/>
                <w:szCs w:val="17"/>
              </w:rPr>
              <w:t xml:space="preserve">Date</w:t>
            </w:r>
          </w:p>
        </w:tc>
      </w:tr>
      <w:tr>
        <w:tc>
          <w:tcPr>
            <w:tcW w:type="dxa" w:w="700"/>
            <w:tcMar>
              <w:top w:type="dxa" w:w="70"/>
              <w:left w:type="dxa" w:w="90"/>
              <w:bottom w:type="dxa" w:w="70"/>
              <w:right w:type="dxa" w:w="90"/>
            </w:tcMar>
          </w:tcPr>
          <w:p>
            <w:r>
              <w:rPr>
                <w:b w:val="false"/>
                <w:bCs w:val="false"/>
                <w:sz w:val="17"/>
                <w:szCs w:val="17"/>
              </w:rPr>
              <w:t xml:space="preserve">TC-044</w:t>
            </w:r>
          </w:p>
        </w:tc>
        <w:tc>
          <w:tcPr>
            <w:tcW w:type="dxa" w:w="1500"/>
            <w:tcMar>
              <w:top w:type="dxa" w:w="70"/>
              <w:left w:type="dxa" w:w="90"/>
              <w:bottom w:type="dxa" w:w="70"/>
              <w:right w:type="dxa" w:w="90"/>
            </w:tcMar>
          </w:tcPr>
          <w:p>
            <w:r>
              <w:rPr>
                <w:b w:val="false"/>
                <w:bCs w:val="false"/>
                <w:sz w:val="17"/>
                <w:szCs w:val="17"/>
              </w:rPr>
              <w:t xml:space="preserve">Request Loan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Loan approved with 50% down payment ratio</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TC-045</w:t>
            </w:r>
          </w:p>
        </w:tc>
        <w:tc>
          <w:tcPr>
            <w:tcW w:type="dxa" w:w="1500"/>
            <w:tcMar>
              <w:top w:type="dxa" w:w="70"/>
              <w:left w:type="dxa" w:w="90"/>
              <w:bottom w:type="dxa" w:w="70"/>
              <w:right w:type="dxa" w:w="90"/>
            </w:tcMar>
          </w:tcPr>
          <w:p>
            <w:r>
              <w:rPr>
                <w:b w:val="false"/>
                <w:bCs w:val="false"/>
                <w:sz w:val="17"/>
                <w:szCs w:val="17"/>
              </w:rPr>
              <w:t xml:space="preserve">Request Loan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Loan denied with a low (below assumed threshold) down payment ratio</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TC-046</w:t>
            </w:r>
          </w:p>
        </w:tc>
        <w:tc>
          <w:tcPr>
            <w:tcW w:type="dxa" w:w="1500"/>
            <w:tcMar>
              <w:top w:type="dxa" w:w="70"/>
              <w:left w:type="dxa" w:w="90"/>
              <w:bottom w:type="dxa" w:w="70"/>
              <w:right w:type="dxa" w:w="90"/>
            </w:tcMar>
          </w:tcPr>
          <w:p>
            <w:r>
              <w:rPr>
                <w:b w:val="false"/>
                <w:bCs w:val="false"/>
                <w:sz w:val="17"/>
                <w:szCs w:val="17"/>
              </w:rPr>
              <w:t xml:space="preserve">Request Loan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Decision returned promptly with no error or delay</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TC-047</w:t>
            </w:r>
          </w:p>
        </w:tc>
        <w:tc>
          <w:tcPr>
            <w:tcW w:type="dxa" w:w="1500"/>
            <w:tcMar>
              <w:top w:type="dxa" w:w="70"/>
              <w:left w:type="dxa" w:w="90"/>
              <w:bottom w:type="dxa" w:w="70"/>
              <w:right w:type="dxa" w:w="90"/>
            </w:tcMar>
          </w:tcPr>
          <w:p>
            <w:r>
              <w:rPr>
                <w:b w:val="false"/>
                <w:bCs w:val="false"/>
                <w:sz w:val="17"/>
                <w:szCs w:val="17"/>
              </w:rPr>
              <w:t xml:space="preserve">Request Loan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Non-numeric requested amount correctly rejected</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TC-048</w:t>
            </w:r>
          </w:p>
        </w:tc>
        <w:tc>
          <w:tcPr>
            <w:tcW w:type="dxa" w:w="1500"/>
            <w:tcMar>
              <w:top w:type="dxa" w:w="70"/>
              <w:left w:type="dxa" w:w="90"/>
              <w:bottom w:type="dxa" w:w="70"/>
              <w:right w:type="dxa" w:w="90"/>
            </w:tcMar>
          </w:tcPr>
          <w:p>
            <w:r>
              <w:rPr>
                <w:b w:val="false"/>
                <w:bCs w:val="false"/>
                <w:sz w:val="17"/>
                <w:szCs w:val="17"/>
              </w:rPr>
              <w:t xml:space="preserve">Request Loan</w:t>
            </w:r>
          </w:p>
        </w:tc>
        <w:tc>
          <w:tcPr>
            <w:tcW w:type="dxa" w:w="900"/>
            <w:tcMar>
              <w:top w:type="dxa" w:w="70"/>
              <w:left w:type="dxa" w:w="90"/>
              <w:bottom w:type="dxa" w:w="70"/>
              <w:right w:type="dxa" w:w="90"/>
            </w:tcMar>
          </w:tcPr>
          <w:p>
            <w:r>
              <w:rPr>
                <w:b w:val="false"/>
                <w:bCs w:val="false"/>
                <w:sz w:val="17"/>
                <w:szCs w:val="17"/>
              </w:rPr>
              <w:t xml:space="preserve">Fail</w:t>
            </w:r>
          </w:p>
        </w:tc>
        <w:tc>
          <w:tcPr>
            <w:tcW w:type="dxa" w:w="900"/>
            <w:tcMar>
              <w:top w:type="dxa" w:w="70"/>
              <w:left w:type="dxa" w:w="90"/>
              <w:bottom w:type="dxa" w:w="70"/>
              <w:right w:type="dxa" w:w="90"/>
            </w:tcMar>
          </w:tcPr>
          <w:p>
            <w:r>
              <w:rPr>
                <w:b w:val="false"/>
                <w:bCs w:val="false"/>
                <w:sz w:val="17"/>
                <w:szCs w:val="17"/>
              </w:rPr>
              <w:t xml:space="preserve">DEF-005</w:t>
            </w:r>
          </w:p>
        </w:tc>
        <w:tc>
          <w:tcPr>
            <w:tcW w:type="dxa" w:w="4300"/>
            <w:tcMar>
              <w:top w:type="dxa" w:w="70"/>
              <w:left w:type="dxa" w:w="90"/>
              <w:bottom w:type="dxa" w:w="70"/>
              <w:right w:type="dxa" w:w="90"/>
            </w:tcMar>
          </w:tcPr>
          <w:p>
            <w:r>
              <w:rPr>
                <w:b w:val="false"/>
                <w:bCs w:val="false"/>
                <w:sz w:val="17"/>
                <w:szCs w:val="17"/>
              </w:rPr>
              <w:t xml:space="preserve">Loan with a down payment exceeding the requested amount was incorrectly approved instead of rejected</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TC-049</w:t>
            </w:r>
          </w:p>
        </w:tc>
        <w:tc>
          <w:tcPr>
            <w:tcW w:type="dxa" w:w="1500"/>
            <w:tcMar>
              <w:top w:type="dxa" w:w="70"/>
              <w:left w:type="dxa" w:w="90"/>
              <w:bottom w:type="dxa" w:w="70"/>
              <w:right w:type="dxa" w:w="90"/>
            </w:tcMar>
          </w:tcPr>
          <w:p>
            <w:r>
              <w:rPr>
                <w:b w:val="false"/>
                <w:bCs w:val="false"/>
                <w:sz w:val="17"/>
                <w:szCs w:val="17"/>
              </w:rPr>
              <w:t xml:space="preserve">Request Loan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Down payment exactly equal to requested amount (100%) resulted in approval, as expected</w:t>
            </w:r>
          </w:p>
        </w:tc>
        <w:tc>
          <w:tcPr>
            <w:tcW w:type="dxa" w:w="1200"/>
            <w:tcMar>
              <w:top w:type="dxa" w:w="70"/>
              <w:left w:type="dxa" w:w="90"/>
              <w:bottom w:type="dxa" w:w="70"/>
              <w:right w:type="dxa" w:w="90"/>
            </w:tcMar>
          </w:tcPr>
          <w:p>
            <w:r>
              <w:rPr>
                <w:b w:val="false"/>
                <w:bCs w:val="false"/>
                <w:sz w:val="17"/>
                <w:szCs w:val="17"/>
              </w:rPr>
              <w:t xml:space="preserve">10 Aug 2026</w:t>
            </w:r>
          </w:p>
        </w:tc>
      </w:tr>
      <w:tr>
        <w:tc>
          <w:tcPr>
            <w:tcW w:type="dxa" w:w="700"/>
            <w:tcMar>
              <w:top w:type="dxa" w:w="70"/>
              <w:left w:type="dxa" w:w="90"/>
              <w:bottom w:type="dxa" w:w="70"/>
              <w:right w:type="dxa" w:w="90"/>
            </w:tcMar>
          </w:tcPr>
          <w:p>
            <w:r>
              <w:rPr>
                <w:b w:val="false"/>
                <w:bCs w:val="false"/>
                <w:sz w:val="17"/>
                <w:szCs w:val="17"/>
              </w:rPr>
              <w:t xml:space="preserve">TC-050</w:t>
            </w:r>
          </w:p>
        </w:tc>
        <w:tc>
          <w:tcPr>
            <w:tcW w:type="dxa" w:w="1500"/>
            <w:tcMar>
              <w:top w:type="dxa" w:w="70"/>
              <w:left w:type="dxa" w:w="90"/>
              <w:bottom w:type="dxa" w:w="70"/>
              <w:right w:type="dxa" w:w="90"/>
            </w:tcMar>
          </w:tcPr>
          <w:p>
            <w:r>
              <w:rPr>
                <w:b w:val="false"/>
                <w:bCs w:val="false"/>
                <w:sz w:val="17"/>
                <w:szCs w:val="17"/>
              </w:rPr>
              <w:t xml:space="preserve">Request Loan</w:t>
            </w:r>
          </w:p>
        </w:tc>
        <w:tc>
          <w:tcPr>
            <w:tcW w:type="dxa" w:w="900"/>
            <w:tcMar>
              <w:top w:type="dxa" w:w="70"/>
              <w:left w:type="dxa" w:w="90"/>
              <w:bottom w:type="dxa" w:w="70"/>
              <w:right w:type="dxa" w:w="90"/>
            </w:tcMar>
          </w:tcPr>
          <w:p>
            <w:r>
              <w:rPr>
                <w:b w:val="false"/>
                <w:bCs w:val="false"/>
                <w:sz w:val="17"/>
                <w:szCs w:val="17"/>
              </w:rPr>
              <w:t xml:space="preserve">Pass</w:t>
            </w:r>
          </w:p>
        </w:tc>
        <w:tc>
          <w:tcPr>
            <w:tcW w:type="dxa" w:w="900"/>
            <w:tcMar>
              <w:top w:type="dxa" w:w="70"/>
              <w:left w:type="dxa" w:w="90"/>
              <w:bottom w:type="dxa" w:w="70"/>
              <w:right w:type="dxa" w:w="90"/>
            </w:tcMar>
          </w:tcPr>
          <w:p>
            <w:r>
              <w:rPr>
                <w:b w:val="false"/>
                <w:bCs w:val="false"/>
                <w:sz w:val="17"/>
                <w:szCs w:val="17"/>
              </w:rPr>
              <w:t xml:space="preserve">N/A</w:t>
            </w:r>
          </w:p>
        </w:tc>
        <w:tc>
          <w:tcPr>
            <w:tcW w:type="dxa" w:w="4300"/>
            <w:tcMar>
              <w:top w:type="dxa" w:w="70"/>
              <w:left w:type="dxa" w:w="90"/>
              <w:bottom w:type="dxa" w:w="70"/>
              <w:right w:type="dxa" w:w="90"/>
            </w:tcMar>
          </w:tcPr>
          <w:p>
            <w:r>
              <w:rPr>
                <w:b w:val="false"/>
                <w:bCs w:val="false"/>
                <w:sz w:val="17"/>
                <w:szCs w:val="17"/>
              </w:rPr>
              <w:t xml:space="preserve">Zero down payment correctly resulted in denial</w:t>
            </w:r>
          </w:p>
        </w:tc>
        <w:tc>
          <w:tcPr>
            <w:tcW w:type="dxa" w:w="1200"/>
            <w:tcMar>
              <w:top w:type="dxa" w:w="70"/>
              <w:left w:type="dxa" w:w="90"/>
              <w:bottom w:type="dxa" w:w="70"/>
              <w:right w:type="dxa" w:w="90"/>
            </w:tcMar>
          </w:tcPr>
          <w:p>
            <w:r>
              <w:rPr>
                <w:b w:val="false"/>
                <w:bCs w:val="false"/>
                <w:sz w:val="17"/>
                <w:szCs w:val="17"/>
              </w:rPr>
              <w:t xml:space="preserve">10 Aug 2026</w:t>
            </w:r>
          </w:p>
        </w:tc>
      </w:tr>
    </w:tbl>
    <w:p>
      <w:pPr>
        <w:spacing w:after="100"/>
      </w:pPr>
    </w:p>
    <w:p>
      <w:pPr>
        <w:pStyle w:val="Heading2"/>
        <w:spacing w:after="120" w:before="240"/>
      </w:pPr>
      <w:r>
        <w:t xml:space="preserve">10.4.2 Evidence Folder</w:t>
      </w:r>
    </w:p>
    <w:p>
      <w:pPr>
        <w:spacing w:after="120"/>
      </w:pPr>
      <w:r>
        <w:t xml:space="preserve">Screenshot evidence for every Failed and Blocked test case, and for all 11 defects below, is captured and stored following the naming convention and folder structure defined in the Phase 4 Evidence Management Strategy (9.4.7) — e.g. TC-020_OpenNewAccount_Fail_01.png for the DEF-001 test case, and DEF-001_OpenNewAccount_01.png filed in the dedicated /Evidence/Phase3_TestExecution/Defects/ folder. Every defect listed in Section 10.4.3 has at least one evidence file referenced in its Evidence field below, consistent with the client requirement that a defect without evidence will not be accepted.</w:t>
      </w:r>
    </w:p>
    <w:p>
      <w:pPr>
        <w:spacing w:after="100"/>
      </w:pPr>
    </w:p>
    <w:p>
      <w:pPr>
        <w:pStyle w:val="Heading2"/>
        <w:spacing w:after="120" w:before="240"/>
      </w:pPr>
      <w:r>
        <w:t xml:space="preserve">10.4.3 Defect Report</w:t>
      </w:r>
    </w:p>
    <w:p>
      <w:pPr>
        <w:spacing w:after="120"/>
      </w:pPr>
      <w:r>
        <w:t xml:space="preserve">11 defects raised — exceeding the 10-defect minimum — spanning 7 scripted test case failures and 4 exploratory testing findings (Section 10.4.13).</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DEF-001</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Open New Account allows account creation without meeting a minimum funding deposit</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Open New Account</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Major</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High</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Open</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Log in with a customer account holding an account with a $0.00 balance. 2. Navigate to Open New Account. 3. Select Savings as the account type. 4. Select the zero-balance account as the funding source. 5. Click Open New Account.</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system should block account creation with a clear insufficient-funds or minimum-deposit message, since no valid funding can occur from a zero-balance source.</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The new Savings account is created successfully with no funds transferred and no validation message shown.</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TC-020_OpenNewAccount_Fail_01.png; DEF-001_OpenNewAccount_01.png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DEF-002</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Transfer of the exact account balance is incorrectly rejected as insufficient funds</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Transfer Funds</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Major</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High</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Closed (Fixed and retested)</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Log in with a customer account with a source account balance of exactly $200.00. 2. Navigate to Transfer Funds. 3. Enter $200.00 as the transfer amount. 4. Select the $200.00 account as From and any other owned account as To. 5. Click Transfer.</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transfer should succeed, since the amount does not exceed the available balance, resulting in a source balance of exactly $0.00.</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The transfer was rejected with an "insufficient funds" message, apparently due to a rounding or strict-inequality comparison error.</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TC-027_TransferFunds_Fail_01.png; DEF-002_TransferFunds_01.png (retest evidence: DEF-002_TransferFunds_Retest_01.png)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DEF-003</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Transfer to the same account (From = To) is processed silently with no warning</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Transfer Funds</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Minor</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Low</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Closed (Fixed and retested)</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Log in with a customer account holding at least one account. 2. Navigate to Transfer Funds. 3. Select the same account for both From and To. 4. Enter a valid amount. 5. Click Transfer.</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system should either block the action with a clear message that From and To cannot be the same account, or process it explicitly as a documented no-op with a clear explanation.</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The transfer is silently accepted and processed, producing a confusing transaction record showing money moving from an account to itself with no explanatory message.</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TC-031_TransferFunds_Fail_01.png; DEF-003_TransferFunds_01.png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DEF-004</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Bill Pay accepts and pays a non-existent payee account number with no validation</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Bill Pay</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Major</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High</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Open</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Log in with a customer account with a funded Checking account. 2. Navigate to Bill Pay. 3. Enter a new payee with account number 000000000 (a value that does not correspond to any real account). 4. Enter a valid payment amount. 5. Click Send Payment.</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system should reject the payee account number as invalid, either at entry or at payment submission, since it cannot correspond to a real recipient.</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The payee is saved and the payment is processed successfully with no validation of the account number at any point in the workflow.</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TC-042_BillPay_Fail_01.png; DEF-004_BillPay_01.png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DEF-005</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Loan request with a down payment exceeding the requested amount is incorrectly approved</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Request Loan</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Critical</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High</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Open</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Log in with a customer account with a funded Checking account. 2. Navigate to Request Loan. 3. Enter Requested Amount: $1,000.00. 4. Enter Down Payment: $1,500.00 (exceeding the requested amount). 5. Click Apply Now.</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system should reject the request with a validation error, since a down payment cannot logically exceed the amount being borrowed, or at minimum deny the loan outright.</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The loan is approved and a new loan account is created despite the down payment exceeding the requested amount.</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TC-048_RequestLoan_Fail_01.png; DEF-005_RequestLoan_01.png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DEF-006</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Registration allows a case-varied duplicate username to be created</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Registration</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Minor</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Medium</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Open</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Confirm username "jsmith01" is already registered. 2. Navigate to Registration. 3. Complete the form using username "JSmith01" (identical except for capitalization). 4. Complete remaining fields with valid data. 5. Click Register.</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system should reject the registration as a duplicate username, since "jsmith01" and "JSmith01" represent the same effective identifier for login purposes.</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Registration succeeds and a second, case-varied account is created, potentially causing login ambiguity and duplicate-identity confusion later.</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TC-007_Registration_Fail_01.png; DEF-006_Registration_01.png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DEF-007</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Rapid consecutive transfers from the same account can both succeed, over-drawing the account</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Transfer Funds</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Critical</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High</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Open</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Log in with a customer account with a source account balance of $100.00. 2. Submit a $50.00 transfer from that account. 3. Immediately (within approximately one second) submit a second, separate $50.00 transfer from the same source account before the first has visibly completed. 4. Check the final source account balance.</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second transfer should be evaluated against the balance remaining after the first transfer completes, resulting in a final balance of $0.00 if both are valid, or the second should be rejected if it would over-draw the account.</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Both transfers were accepted and processed, and the resulting balance reflects a discrepancy consistent with both balance checks having been evaluated against the original $100.00 rather than sequentially, indicating a race condition in the balance-check logic.</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TC-033_TransferFunds_Fail_01.png; DEF-007_TransferFunds_01.png; DEF-007_TransferFunds_BalanceLog_01.png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DEF-008</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Session remains active after logout; browser back button can redisplay cached account data</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Login / Session Management</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Critical</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High</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In Progress</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Log in with a valid customer account. 2. Navigate to Accounts Overview. 3. Click Log Out. 4. Click the browser's Back button. 5. Observe the page displayed.</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browser back button should not display account data after logout; the user should be redirected to the login page or shown a session-expired message, per NFR-SEC-002.</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A cached version of the Accounts Overview page is briefly redisplayed via the browser back button before any redirect occurs, suggesting the session token is not immediately and fully invalidated server-side.</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DEF-008_Login_Exploratory_01.png; DEF-008_Login_Exploratory_02.png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DEF-009</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SSN field accepts non-numeric input without validation during registration</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Registration</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Major</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Medium</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Open</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Navigate to Registration. 2. Complete all fields with valid data except SSN. 3. Enter "ABC-DE-FGHI" in the SSN field. 4. Click Register.</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system should reject the SSN field for containing non-numeric characters, since a Social Security Number is a defined numeric format.</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Registration succeeds with the non-numeric SSN value accepted and stored without any format validation.</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DEF-009_Registration_Exploratory_01.png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DEF-010</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Login error messages differ between incorrect password and non-existent username, enabling username enumeration</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Login</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Major</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Medium</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Open</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Attempt login with a valid username and an incorrect password; note the exact error message and response time. 2. Attempt login with a clearly non-existent username and any password; note the exact error message and response time. 3. Compare the two results.</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Both cases should return an identical, generic authentication error with no distinguishable difference in wording or timing, so an attacker cannot determine whether a given username exists.</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A subtle but consistent difference was observed between the two error paths, which could allow an attacker to enumerate valid usernames through repeated login attempts.</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DEF-010_Login_Exploratory_01.png; DEF-010_Login_Exploratory_02.png</w:t>
            </w:r>
          </w:p>
        </w:tc>
      </w:tr>
    </w:tbl>
    <w:p>
      <w:pPr>
        <w:spacing w:after="1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tcW w:type="dxa" w:w="2000"/>
            <w:shd w:fill="1F4E5F" w:val="clear"/>
            <w:tcMar>
              <w:top w:type="dxa" w:w="70"/>
              <w:left w:type="dxa" w:w="90"/>
              <w:bottom w:type="dxa" w:w="70"/>
              <w:right w:type="dxa" w:w="90"/>
            </w:tcMar>
          </w:tcPr>
          <w:p>
            <w:r>
              <w:rPr>
                <w:b/>
                <w:bCs/>
                <w:color w:val="FFFFFF"/>
                <w:sz w:val="17"/>
                <w:szCs w:val="17"/>
              </w:rPr>
              <w:t xml:space="preserve">Field</w:t>
            </w:r>
          </w:p>
        </w:tc>
        <w:tc>
          <w:tcPr>
            <w:tcW w:type="dxa" w:w="7640"/>
            <w:shd w:fill="1F4E5F" w:val="clear"/>
            <w:tcMar>
              <w:top w:type="dxa" w:w="70"/>
              <w:left w:type="dxa" w:w="90"/>
              <w:bottom w:type="dxa" w:w="70"/>
              <w:right w:type="dxa" w:w="90"/>
            </w:tcMar>
          </w:tcPr>
          <w:p>
            <w:r>
              <w:rPr>
                <w:b/>
                <w:bCs/>
                <w:color w:val="FFFFFF"/>
                <w:sz w:val="17"/>
                <w:szCs w:val="17"/>
              </w:rPr>
              <w:t xml:space="preserve">Description</w:t>
            </w:r>
          </w:p>
        </w:tc>
      </w:tr>
      <w:tr>
        <w:tc>
          <w:tcPr>
            <w:tcW w:type="dxa" w:w="2000"/>
            <w:tcMar>
              <w:top w:type="dxa" w:w="70"/>
              <w:left w:type="dxa" w:w="90"/>
              <w:bottom w:type="dxa" w:w="70"/>
              <w:right w:type="dxa" w:w="90"/>
            </w:tcMar>
          </w:tcPr>
          <w:p>
            <w:r>
              <w:rPr>
                <w:b w:val="false"/>
                <w:bCs w:val="false"/>
                <w:sz w:val="17"/>
                <w:szCs w:val="17"/>
              </w:rPr>
              <w:t xml:space="preserve">Defect ID</w:t>
            </w:r>
          </w:p>
        </w:tc>
        <w:tc>
          <w:tcPr>
            <w:tcW w:type="dxa" w:w="7640"/>
            <w:tcMar>
              <w:top w:type="dxa" w:w="70"/>
              <w:left w:type="dxa" w:w="90"/>
              <w:bottom w:type="dxa" w:w="70"/>
              <w:right w:type="dxa" w:w="90"/>
            </w:tcMar>
          </w:tcPr>
          <w:p>
            <w:r>
              <w:rPr>
                <w:b w:val="false"/>
                <w:bCs w:val="false"/>
                <w:sz w:val="17"/>
                <w:szCs w:val="17"/>
              </w:rPr>
              <w:t xml:space="preserve">DEF-011</w:t>
            </w:r>
          </w:p>
        </w:tc>
      </w:tr>
      <w:tr>
        <w:tc>
          <w:tcPr>
            <w:tcW w:type="dxa" w:w="2000"/>
            <w:tcMar>
              <w:top w:type="dxa" w:w="70"/>
              <w:left w:type="dxa" w:w="90"/>
              <w:bottom w:type="dxa" w:w="70"/>
              <w:right w:type="dxa" w:w="90"/>
            </w:tcMar>
          </w:tcPr>
          <w:p>
            <w:r>
              <w:rPr>
                <w:b w:val="false"/>
                <w:bCs w:val="false"/>
                <w:sz w:val="17"/>
                <w:szCs w:val="17"/>
              </w:rPr>
              <w:t xml:space="preserve">Title</w:t>
            </w:r>
          </w:p>
        </w:tc>
        <w:tc>
          <w:tcPr>
            <w:tcW w:type="dxa" w:w="7640"/>
            <w:tcMar>
              <w:top w:type="dxa" w:w="70"/>
              <w:left w:type="dxa" w:w="90"/>
              <w:bottom w:type="dxa" w:w="70"/>
              <w:right w:type="dxa" w:w="90"/>
            </w:tcMar>
          </w:tcPr>
          <w:p>
            <w:r>
              <w:rPr>
                <w:b w:val="false"/>
                <w:bCs w:val="false"/>
                <w:sz w:val="17"/>
                <w:szCs w:val="17"/>
              </w:rPr>
              <w:t xml:space="preserve">Bill Pay payee name field accepts excessively long input, causing display overflow on the confirmation page</w:t>
            </w:r>
          </w:p>
        </w:tc>
      </w:tr>
      <w:tr>
        <w:tc>
          <w:tcPr>
            <w:tcW w:type="dxa" w:w="2000"/>
            <w:tcMar>
              <w:top w:type="dxa" w:w="70"/>
              <w:left w:type="dxa" w:w="90"/>
              <w:bottom w:type="dxa" w:w="70"/>
              <w:right w:type="dxa" w:w="90"/>
            </w:tcMar>
          </w:tcPr>
          <w:p>
            <w:r>
              <w:rPr>
                <w:b w:val="false"/>
                <w:bCs w:val="false"/>
                <w:sz w:val="17"/>
                <w:szCs w:val="17"/>
              </w:rPr>
              <w:t xml:space="preserve">Module</w:t>
            </w:r>
          </w:p>
        </w:tc>
        <w:tc>
          <w:tcPr>
            <w:tcW w:type="dxa" w:w="7640"/>
            <w:tcMar>
              <w:top w:type="dxa" w:w="70"/>
              <w:left w:type="dxa" w:w="90"/>
              <w:bottom w:type="dxa" w:w="70"/>
              <w:right w:type="dxa" w:w="90"/>
            </w:tcMar>
          </w:tcPr>
          <w:p>
            <w:r>
              <w:rPr>
                <w:b w:val="false"/>
                <w:bCs w:val="false"/>
                <w:sz w:val="17"/>
                <w:szCs w:val="17"/>
              </w:rPr>
              <w:t xml:space="preserve">Bill Pay</w:t>
            </w:r>
          </w:p>
        </w:tc>
      </w:tr>
      <w:tr>
        <w:tc>
          <w:tcPr>
            <w:tcW w:type="dxa" w:w="2000"/>
            <w:tcMar>
              <w:top w:type="dxa" w:w="70"/>
              <w:left w:type="dxa" w:w="90"/>
              <w:bottom w:type="dxa" w:w="70"/>
              <w:right w:type="dxa" w:w="90"/>
            </w:tcMar>
          </w:tcPr>
          <w:p>
            <w:r>
              <w:rPr>
                <w:b w:val="false"/>
                <w:bCs w:val="false"/>
                <w:sz w:val="17"/>
                <w:szCs w:val="17"/>
              </w:rPr>
              <w:t xml:space="preserve">Severity</w:t>
            </w:r>
          </w:p>
        </w:tc>
        <w:tc>
          <w:tcPr>
            <w:tcW w:type="dxa" w:w="7640"/>
            <w:tcMar>
              <w:top w:type="dxa" w:w="70"/>
              <w:left w:type="dxa" w:w="90"/>
              <w:bottom w:type="dxa" w:w="70"/>
              <w:right w:type="dxa" w:w="90"/>
            </w:tcMar>
          </w:tcPr>
          <w:p>
            <w:r>
              <w:rPr>
                <w:b w:val="false"/>
                <w:bCs w:val="false"/>
                <w:sz w:val="17"/>
                <w:szCs w:val="17"/>
              </w:rPr>
              <w:t xml:space="preserve">Trivial</w:t>
            </w:r>
          </w:p>
        </w:tc>
      </w:tr>
      <w:tr>
        <w:tc>
          <w:tcPr>
            <w:tcW w:type="dxa" w:w="2000"/>
            <w:tcMar>
              <w:top w:type="dxa" w:w="70"/>
              <w:left w:type="dxa" w:w="90"/>
              <w:bottom w:type="dxa" w:w="70"/>
              <w:right w:type="dxa" w:w="90"/>
            </w:tcMar>
          </w:tcPr>
          <w:p>
            <w:r>
              <w:rPr>
                <w:b w:val="false"/>
                <w:bCs w:val="false"/>
                <w:sz w:val="17"/>
                <w:szCs w:val="17"/>
              </w:rPr>
              <w:t xml:space="preserve">Priority</w:t>
            </w:r>
          </w:p>
        </w:tc>
        <w:tc>
          <w:tcPr>
            <w:tcW w:type="dxa" w:w="7640"/>
            <w:tcMar>
              <w:top w:type="dxa" w:w="70"/>
              <w:left w:type="dxa" w:w="90"/>
              <w:bottom w:type="dxa" w:w="70"/>
              <w:right w:type="dxa" w:w="90"/>
            </w:tcMar>
          </w:tcPr>
          <w:p>
            <w:r>
              <w:rPr>
                <w:b w:val="false"/>
                <w:bCs w:val="false"/>
                <w:sz w:val="17"/>
                <w:szCs w:val="17"/>
              </w:rPr>
              <w:t xml:space="preserve">Low</w:t>
            </w:r>
          </w:p>
        </w:tc>
      </w:tr>
      <w:tr>
        <w:tc>
          <w:tcPr>
            <w:tcW w:type="dxa" w:w="2000"/>
            <w:tcMar>
              <w:top w:type="dxa" w:w="70"/>
              <w:left w:type="dxa" w:w="90"/>
              <w:bottom w:type="dxa" w:w="70"/>
              <w:right w:type="dxa" w:w="90"/>
            </w:tcMar>
          </w:tcPr>
          <w:p>
            <w:r>
              <w:rPr>
                <w:b w:val="false"/>
                <w:bCs w:val="false"/>
                <w:sz w:val="17"/>
                <w:szCs w:val="17"/>
              </w:rPr>
              <w:t xml:space="preserve">Status</w:t>
            </w:r>
          </w:p>
        </w:tc>
        <w:tc>
          <w:tcPr>
            <w:tcW w:type="dxa" w:w="7640"/>
            <w:tcMar>
              <w:top w:type="dxa" w:w="70"/>
              <w:left w:type="dxa" w:w="90"/>
              <w:bottom w:type="dxa" w:w="70"/>
              <w:right w:type="dxa" w:w="90"/>
            </w:tcMar>
          </w:tcPr>
          <w:p>
            <w:r>
              <w:rPr>
                <w:b w:val="false"/>
                <w:bCs w:val="false"/>
                <w:sz w:val="17"/>
                <w:szCs w:val="17"/>
              </w:rPr>
              <w:t xml:space="preserve">Open</w:t>
            </w:r>
          </w:p>
        </w:tc>
      </w:tr>
      <w:tr>
        <w:tc>
          <w:tcPr>
            <w:tcW w:type="dxa" w:w="2000"/>
            <w:tcMar>
              <w:top w:type="dxa" w:w="70"/>
              <w:left w:type="dxa" w:w="90"/>
              <w:bottom w:type="dxa" w:w="70"/>
              <w:right w:type="dxa" w:w="90"/>
            </w:tcMar>
          </w:tcPr>
          <w:p>
            <w:r>
              <w:rPr>
                <w:b w:val="false"/>
                <w:bCs w:val="false"/>
                <w:sz w:val="17"/>
                <w:szCs w:val="17"/>
              </w:rPr>
              <w:t xml:space="preserve">Steps to Reproduce</w:t>
            </w:r>
          </w:p>
        </w:tc>
        <w:tc>
          <w:tcPr>
            <w:tcW w:type="dxa" w:w="7640"/>
            <w:tcMar>
              <w:top w:type="dxa" w:w="70"/>
              <w:left w:type="dxa" w:w="90"/>
              <w:bottom w:type="dxa" w:w="70"/>
              <w:right w:type="dxa" w:w="90"/>
            </w:tcMar>
          </w:tcPr>
          <w:p>
            <w:r>
              <w:rPr>
                <w:b w:val="false"/>
                <w:bCs w:val="false"/>
                <w:sz w:val="17"/>
                <w:szCs w:val="17"/>
              </w:rPr>
              <w:t xml:space="preserve">1. Navigate to Bill Pay. 2. Enter a payee name of 500+ characters. 3. Complete the remaining fields with valid data. 4. Click Send Payment. 5. Observe the confirmation page.</w:t>
            </w:r>
          </w:p>
        </w:tc>
      </w:tr>
      <w:tr>
        <w:tc>
          <w:tcPr>
            <w:tcW w:type="dxa" w:w="2000"/>
            <w:tcMar>
              <w:top w:type="dxa" w:w="70"/>
              <w:left w:type="dxa" w:w="90"/>
              <w:bottom w:type="dxa" w:w="70"/>
              <w:right w:type="dxa" w:w="90"/>
            </w:tcMar>
          </w:tcPr>
          <w:p>
            <w:r>
              <w:rPr>
                <w:b w:val="false"/>
                <w:bCs w:val="false"/>
                <w:sz w:val="17"/>
                <w:szCs w:val="17"/>
              </w:rPr>
              <w:t xml:space="preserve">Expected Result</w:t>
            </w:r>
          </w:p>
        </w:tc>
        <w:tc>
          <w:tcPr>
            <w:tcW w:type="dxa" w:w="7640"/>
            <w:tcMar>
              <w:top w:type="dxa" w:w="70"/>
              <w:left w:type="dxa" w:w="90"/>
              <w:bottom w:type="dxa" w:w="70"/>
              <w:right w:type="dxa" w:w="90"/>
            </w:tcMar>
          </w:tcPr>
          <w:p>
            <w:r>
              <w:rPr>
                <w:b w:val="false"/>
                <w:bCs w:val="false"/>
                <w:sz w:val="17"/>
                <w:szCs w:val="17"/>
              </w:rPr>
              <w:t xml:space="preserve">The field should either enforce a reasonable maximum length at entry, or gracefully truncate/wrap the value for display on the confirmation page.</w:t>
            </w:r>
          </w:p>
        </w:tc>
      </w:tr>
      <w:tr>
        <w:tc>
          <w:tcPr>
            <w:tcW w:type="dxa" w:w="2000"/>
            <w:tcMar>
              <w:top w:type="dxa" w:w="70"/>
              <w:left w:type="dxa" w:w="90"/>
              <w:bottom w:type="dxa" w:w="70"/>
              <w:right w:type="dxa" w:w="90"/>
            </w:tcMar>
          </w:tcPr>
          <w:p>
            <w:r>
              <w:rPr>
                <w:b w:val="false"/>
                <w:bCs w:val="false"/>
                <w:sz w:val="17"/>
                <w:szCs w:val="17"/>
              </w:rPr>
              <w:t xml:space="preserve">Actual Result</w:t>
            </w:r>
          </w:p>
        </w:tc>
        <w:tc>
          <w:tcPr>
            <w:tcW w:type="dxa" w:w="7640"/>
            <w:tcMar>
              <w:top w:type="dxa" w:w="70"/>
              <w:left w:type="dxa" w:w="90"/>
              <w:bottom w:type="dxa" w:w="70"/>
              <w:right w:type="dxa" w:w="90"/>
            </w:tcMar>
          </w:tcPr>
          <w:p>
            <w:r>
              <w:rPr>
                <w:b w:val="false"/>
                <w:bCs w:val="false"/>
                <w:sz w:val="17"/>
                <w:szCs w:val="17"/>
              </w:rPr>
              <w:t xml:space="preserve">The full unformatted string is accepted and displayed on the confirmation page, breaking the page layout and pushing other confirmation details out of view.</w:t>
            </w:r>
          </w:p>
        </w:tc>
      </w:tr>
      <w:tr>
        <w:tc>
          <w:tcPr>
            <w:tcW w:type="dxa" w:w="2000"/>
            <w:tcMar>
              <w:top w:type="dxa" w:w="70"/>
              <w:left w:type="dxa" w:w="90"/>
              <w:bottom w:type="dxa" w:w="70"/>
              <w:right w:type="dxa" w:w="90"/>
            </w:tcMar>
          </w:tcPr>
          <w:p>
            <w:r>
              <w:rPr>
                <w:b w:val="false"/>
                <w:bCs w:val="false"/>
                <w:sz w:val="17"/>
                <w:szCs w:val="17"/>
              </w:rPr>
              <w:t xml:space="preserve">Evidence</w:t>
            </w:r>
          </w:p>
        </w:tc>
        <w:tc>
          <w:tcPr>
            <w:tcW w:type="dxa" w:w="7640"/>
            <w:tcMar>
              <w:top w:type="dxa" w:w="70"/>
              <w:left w:type="dxa" w:w="90"/>
              <w:bottom w:type="dxa" w:w="70"/>
              <w:right w:type="dxa" w:w="90"/>
            </w:tcMar>
          </w:tcPr>
          <w:p>
            <w:r>
              <w:rPr>
                <w:b w:val="false"/>
                <w:bCs w:val="false"/>
                <w:sz w:val="17"/>
                <w:szCs w:val="17"/>
              </w:rPr>
              <w:t xml:space="preserve">DEF-011_BillPay_Exploratory_01.png</w:t>
            </w:r>
          </w:p>
        </w:tc>
      </w:tr>
    </w:tbl>
    <w:p>
      <w:pPr>
        <w:spacing w:after="100"/>
      </w:pPr>
    </w:p>
    <w:p>
      <w:pPr>
        <w:pStyle w:val="Heading2"/>
        <w:spacing w:after="120" w:before="240"/>
      </w:pPr>
      <w:r>
        <w:t xml:space="preserve">10.4.4 Defect Analysis Report</w:t>
      </w:r>
    </w:p>
    <w:p>
      <w:pPr>
        <w:pStyle w:val="Heading3"/>
        <w:spacing w:after="100" w:before="200"/>
      </w:pPr>
      <w:r>
        <w:t xml:space="preserve">Severity Breakdown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140"/>
        <w:gridCol w:w="3300"/>
      </w:tblGrid>
      <w:tr>
        <w:trPr>
          <w:tblHeader/>
        </w:trPr>
        <w:tc>
          <w:tcPr>
            <w:tcW w:type="dxa" w:w="3200"/>
            <w:shd w:fill="1F4E5F" w:val="clear"/>
            <w:tcMar>
              <w:top w:type="dxa" w:w="70"/>
              <w:left w:type="dxa" w:w="90"/>
              <w:bottom w:type="dxa" w:w="70"/>
              <w:right w:type="dxa" w:w="90"/>
            </w:tcMar>
          </w:tcPr>
          <w:p>
            <w:r>
              <w:rPr>
                <w:b/>
                <w:bCs/>
                <w:color w:val="FFFFFF"/>
                <w:sz w:val="17"/>
                <w:szCs w:val="17"/>
              </w:rPr>
              <w:t xml:space="preserve">Severity</w:t>
            </w:r>
          </w:p>
        </w:tc>
        <w:tc>
          <w:tcPr>
            <w:tcW w:type="dxa" w:w="3140"/>
            <w:shd w:fill="1F4E5F" w:val="clear"/>
            <w:tcMar>
              <w:top w:type="dxa" w:w="70"/>
              <w:left w:type="dxa" w:w="90"/>
              <w:bottom w:type="dxa" w:w="70"/>
              <w:right w:type="dxa" w:w="90"/>
            </w:tcMar>
          </w:tcPr>
          <w:p>
            <w:r>
              <w:rPr>
                <w:b/>
                <w:bCs/>
                <w:color w:val="FFFFFF"/>
                <w:sz w:val="17"/>
                <w:szCs w:val="17"/>
              </w:rPr>
              <w:t xml:space="preserve">Count</w:t>
            </w:r>
          </w:p>
        </w:tc>
        <w:tc>
          <w:tcPr>
            <w:tcW w:type="dxa" w:w="3300"/>
            <w:shd w:fill="1F4E5F" w:val="clear"/>
            <w:tcMar>
              <w:top w:type="dxa" w:w="70"/>
              <w:left w:type="dxa" w:w="90"/>
              <w:bottom w:type="dxa" w:w="70"/>
              <w:right w:type="dxa" w:w="90"/>
            </w:tcMar>
          </w:tcPr>
          <w:p>
            <w:r>
              <w:rPr>
                <w:b/>
                <w:bCs/>
                <w:color w:val="FFFFFF"/>
                <w:sz w:val="17"/>
                <w:szCs w:val="17"/>
              </w:rPr>
              <w:t xml:space="preserve">Percentage</w:t>
            </w:r>
          </w:p>
        </w:tc>
      </w:tr>
      <w:tr>
        <w:tc>
          <w:tcPr>
            <w:tcW w:type="dxa" w:w="3200"/>
            <w:tcMar>
              <w:top w:type="dxa" w:w="70"/>
              <w:left w:type="dxa" w:w="90"/>
              <w:bottom w:type="dxa" w:w="70"/>
              <w:right w:type="dxa" w:w="90"/>
            </w:tcMar>
          </w:tcPr>
          <w:p>
            <w:r>
              <w:rPr>
                <w:b w:val="false"/>
                <w:bCs w:val="false"/>
                <w:sz w:val="17"/>
                <w:szCs w:val="17"/>
              </w:rPr>
              <w:t xml:space="preserve">Critical</w:t>
            </w:r>
          </w:p>
        </w:tc>
        <w:tc>
          <w:tcPr>
            <w:tcW w:type="dxa" w:w="3140"/>
            <w:tcMar>
              <w:top w:type="dxa" w:w="70"/>
              <w:left w:type="dxa" w:w="90"/>
              <w:bottom w:type="dxa" w:w="70"/>
              <w:right w:type="dxa" w:w="90"/>
            </w:tcMar>
          </w:tcPr>
          <w:p>
            <w:r>
              <w:rPr>
                <w:b w:val="false"/>
                <w:bCs w:val="false"/>
                <w:sz w:val="17"/>
                <w:szCs w:val="17"/>
              </w:rPr>
              <w:t xml:space="preserve">3</w:t>
            </w:r>
          </w:p>
        </w:tc>
        <w:tc>
          <w:tcPr>
            <w:tcW w:type="dxa" w:w="3300"/>
            <w:tcMar>
              <w:top w:type="dxa" w:w="70"/>
              <w:left w:type="dxa" w:w="90"/>
              <w:bottom w:type="dxa" w:w="70"/>
              <w:right w:type="dxa" w:w="90"/>
            </w:tcMar>
          </w:tcPr>
          <w:p>
            <w:r>
              <w:rPr>
                <w:b w:val="false"/>
                <w:bCs w:val="false"/>
                <w:sz w:val="17"/>
                <w:szCs w:val="17"/>
              </w:rPr>
              <w:t xml:space="preserve">27.3%</w:t>
            </w:r>
          </w:p>
        </w:tc>
      </w:tr>
      <w:tr>
        <w:tc>
          <w:tcPr>
            <w:tcW w:type="dxa" w:w="3200"/>
            <w:tcMar>
              <w:top w:type="dxa" w:w="70"/>
              <w:left w:type="dxa" w:w="90"/>
              <w:bottom w:type="dxa" w:w="70"/>
              <w:right w:type="dxa" w:w="90"/>
            </w:tcMar>
          </w:tcPr>
          <w:p>
            <w:r>
              <w:rPr>
                <w:b w:val="false"/>
                <w:bCs w:val="false"/>
                <w:sz w:val="17"/>
                <w:szCs w:val="17"/>
              </w:rPr>
              <w:t xml:space="preserve">Major</w:t>
            </w:r>
          </w:p>
        </w:tc>
        <w:tc>
          <w:tcPr>
            <w:tcW w:type="dxa" w:w="3140"/>
            <w:tcMar>
              <w:top w:type="dxa" w:w="70"/>
              <w:left w:type="dxa" w:w="90"/>
              <w:bottom w:type="dxa" w:w="70"/>
              <w:right w:type="dxa" w:w="90"/>
            </w:tcMar>
          </w:tcPr>
          <w:p>
            <w:r>
              <w:rPr>
                <w:b w:val="false"/>
                <w:bCs w:val="false"/>
                <w:sz w:val="17"/>
                <w:szCs w:val="17"/>
              </w:rPr>
              <w:t xml:space="preserve">5</w:t>
            </w:r>
          </w:p>
        </w:tc>
        <w:tc>
          <w:tcPr>
            <w:tcW w:type="dxa" w:w="3300"/>
            <w:tcMar>
              <w:top w:type="dxa" w:w="70"/>
              <w:left w:type="dxa" w:w="90"/>
              <w:bottom w:type="dxa" w:w="70"/>
              <w:right w:type="dxa" w:w="90"/>
            </w:tcMar>
          </w:tcPr>
          <w:p>
            <w:r>
              <w:rPr>
                <w:b w:val="false"/>
                <w:bCs w:val="false"/>
                <w:sz w:val="17"/>
                <w:szCs w:val="17"/>
              </w:rPr>
              <w:t xml:space="preserve">45.5%</w:t>
            </w:r>
          </w:p>
        </w:tc>
      </w:tr>
      <w:tr>
        <w:tc>
          <w:tcPr>
            <w:tcW w:type="dxa" w:w="3200"/>
            <w:tcMar>
              <w:top w:type="dxa" w:w="70"/>
              <w:left w:type="dxa" w:w="90"/>
              <w:bottom w:type="dxa" w:w="70"/>
              <w:right w:type="dxa" w:w="90"/>
            </w:tcMar>
          </w:tcPr>
          <w:p>
            <w:r>
              <w:rPr>
                <w:b w:val="false"/>
                <w:bCs w:val="false"/>
                <w:sz w:val="17"/>
                <w:szCs w:val="17"/>
              </w:rPr>
              <w:t xml:space="preserve">Minor</w:t>
            </w:r>
          </w:p>
        </w:tc>
        <w:tc>
          <w:tcPr>
            <w:tcW w:type="dxa" w:w="3140"/>
            <w:tcMar>
              <w:top w:type="dxa" w:w="70"/>
              <w:left w:type="dxa" w:w="90"/>
              <w:bottom w:type="dxa" w:w="70"/>
              <w:right w:type="dxa" w:w="90"/>
            </w:tcMar>
          </w:tcPr>
          <w:p>
            <w:r>
              <w:rPr>
                <w:b w:val="false"/>
                <w:bCs w:val="false"/>
                <w:sz w:val="17"/>
                <w:szCs w:val="17"/>
              </w:rPr>
              <w:t xml:space="preserve">2</w:t>
            </w:r>
          </w:p>
        </w:tc>
        <w:tc>
          <w:tcPr>
            <w:tcW w:type="dxa" w:w="3300"/>
            <w:tcMar>
              <w:top w:type="dxa" w:w="70"/>
              <w:left w:type="dxa" w:w="90"/>
              <w:bottom w:type="dxa" w:w="70"/>
              <w:right w:type="dxa" w:w="90"/>
            </w:tcMar>
          </w:tcPr>
          <w:p>
            <w:r>
              <w:rPr>
                <w:b w:val="false"/>
                <w:bCs w:val="false"/>
                <w:sz w:val="17"/>
                <w:szCs w:val="17"/>
              </w:rPr>
              <w:t xml:space="preserve">18.2%</w:t>
            </w:r>
          </w:p>
        </w:tc>
      </w:tr>
      <w:tr>
        <w:tc>
          <w:tcPr>
            <w:tcW w:type="dxa" w:w="3200"/>
            <w:tcMar>
              <w:top w:type="dxa" w:w="70"/>
              <w:left w:type="dxa" w:w="90"/>
              <w:bottom w:type="dxa" w:w="70"/>
              <w:right w:type="dxa" w:w="90"/>
            </w:tcMar>
          </w:tcPr>
          <w:p>
            <w:r>
              <w:rPr>
                <w:b w:val="false"/>
                <w:bCs w:val="false"/>
                <w:sz w:val="17"/>
                <w:szCs w:val="17"/>
              </w:rPr>
              <w:t xml:space="preserve">Trivial</w:t>
            </w:r>
          </w:p>
        </w:tc>
        <w:tc>
          <w:tcPr>
            <w:tcW w:type="dxa" w:w="3140"/>
            <w:tcMar>
              <w:top w:type="dxa" w:w="70"/>
              <w:left w:type="dxa" w:w="90"/>
              <w:bottom w:type="dxa" w:w="70"/>
              <w:right w:type="dxa" w:w="90"/>
            </w:tcMar>
          </w:tcPr>
          <w:p>
            <w:r>
              <w:rPr>
                <w:b w:val="false"/>
                <w:bCs w:val="false"/>
                <w:sz w:val="17"/>
                <w:szCs w:val="17"/>
              </w:rPr>
              <w:t xml:space="preserve">1</w:t>
            </w:r>
          </w:p>
        </w:tc>
        <w:tc>
          <w:tcPr>
            <w:tcW w:type="dxa" w:w="3300"/>
            <w:tcMar>
              <w:top w:type="dxa" w:w="70"/>
              <w:left w:type="dxa" w:w="90"/>
              <w:bottom w:type="dxa" w:w="70"/>
              <w:right w:type="dxa" w:w="90"/>
            </w:tcMar>
          </w:tcPr>
          <w:p>
            <w:r>
              <w:rPr>
                <w:b w:val="false"/>
                <w:bCs w:val="false"/>
                <w:sz w:val="17"/>
                <w:szCs w:val="17"/>
              </w:rPr>
              <w:t xml:space="preserve">9.1%</w:t>
            </w:r>
          </w:p>
        </w:tc>
      </w:tr>
    </w:tbl>
    <w:p>
      <w:pPr>
        <w:spacing w:after="100"/>
      </w:pPr>
    </w:p>
    <w:p>
      <w:pPr>
        <w:pStyle w:val="Heading3"/>
        <w:spacing w:after="100" w:before="200"/>
      </w:pPr>
      <w:r>
        <w:t xml:space="preserve">Priority Breakdown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140"/>
        <w:gridCol w:w="3300"/>
      </w:tblGrid>
      <w:tr>
        <w:trPr>
          <w:tblHeader/>
        </w:trPr>
        <w:tc>
          <w:tcPr>
            <w:tcW w:type="dxa" w:w="3200"/>
            <w:shd w:fill="1F4E5F" w:val="clear"/>
            <w:tcMar>
              <w:top w:type="dxa" w:w="70"/>
              <w:left w:type="dxa" w:w="90"/>
              <w:bottom w:type="dxa" w:w="70"/>
              <w:right w:type="dxa" w:w="90"/>
            </w:tcMar>
          </w:tcPr>
          <w:p>
            <w:r>
              <w:rPr>
                <w:b/>
                <w:bCs/>
                <w:color w:val="FFFFFF"/>
                <w:sz w:val="17"/>
                <w:szCs w:val="17"/>
              </w:rPr>
              <w:t xml:space="preserve">Priority</w:t>
            </w:r>
          </w:p>
        </w:tc>
        <w:tc>
          <w:tcPr>
            <w:tcW w:type="dxa" w:w="3140"/>
            <w:shd w:fill="1F4E5F" w:val="clear"/>
            <w:tcMar>
              <w:top w:type="dxa" w:w="70"/>
              <w:left w:type="dxa" w:w="90"/>
              <w:bottom w:type="dxa" w:w="70"/>
              <w:right w:type="dxa" w:w="90"/>
            </w:tcMar>
          </w:tcPr>
          <w:p>
            <w:r>
              <w:rPr>
                <w:b/>
                <w:bCs/>
                <w:color w:val="FFFFFF"/>
                <w:sz w:val="17"/>
                <w:szCs w:val="17"/>
              </w:rPr>
              <w:t xml:space="preserve">Count</w:t>
            </w:r>
          </w:p>
        </w:tc>
        <w:tc>
          <w:tcPr>
            <w:tcW w:type="dxa" w:w="3300"/>
            <w:shd w:fill="1F4E5F" w:val="clear"/>
            <w:tcMar>
              <w:top w:type="dxa" w:w="70"/>
              <w:left w:type="dxa" w:w="90"/>
              <w:bottom w:type="dxa" w:w="70"/>
              <w:right w:type="dxa" w:w="90"/>
            </w:tcMar>
          </w:tcPr>
          <w:p>
            <w:r>
              <w:rPr>
                <w:b/>
                <w:bCs/>
                <w:color w:val="FFFFFF"/>
                <w:sz w:val="17"/>
                <w:szCs w:val="17"/>
              </w:rPr>
              <w:t xml:space="preserve">Percentage</w:t>
            </w:r>
          </w:p>
        </w:tc>
      </w:tr>
      <w:tr>
        <w:tc>
          <w:tcPr>
            <w:tcW w:type="dxa" w:w="3200"/>
            <w:tcMar>
              <w:top w:type="dxa" w:w="70"/>
              <w:left w:type="dxa" w:w="90"/>
              <w:bottom w:type="dxa" w:w="70"/>
              <w:right w:type="dxa" w:w="90"/>
            </w:tcMar>
          </w:tcPr>
          <w:p>
            <w:r>
              <w:rPr>
                <w:b w:val="false"/>
                <w:bCs w:val="false"/>
                <w:sz w:val="17"/>
                <w:szCs w:val="17"/>
              </w:rPr>
              <w:t xml:space="preserve">High</w:t>
            </w:r>
          </w:p>
        </w:tc>
        <w:tc>
          <w:tcPr>
            <w:tcW w:type="dxa" w:w="3140"/>
            <w:tcMar>
              <w:top w:type="dxa" w:w="70"/>
              <w:left w:type="dxa" w:w="90"/>
              <w:bottom w:type="dxa" w:w="70"/>
              <w:right w:type="dxa" w:w="90"/>
            </w:tcMar>
          </w:tcPr>
          <w:p>
            <w:r>
              <w:rPr>
                <w:b w:val="false"/>
                <w:bCs w:val="false"/>
                <w:sz w:val="17"/>
                <w:szCs w:val="17"/>
              </w:rPr>
              <w:t xml:space="preserve">6</w:t>
            </w:r>
          </w:p>
        </w:tc>
        <w:tc>
          <w:tcPr>
            <w:tcW w:type="dxa" w:w="3300"/>
            <w:tcMar>
              <w:top w:type="dxa" w:w="70"/>
              <w:left w:type="dxa" w:w="90"/>
              <w:bottom w:type="dxa" w:w="70"/>
              <w:right w:type="dxa" w:w="90"/>
            </w:tcMar>
          </w:tcPr>
          <w:p>
            <w:r>
              <w:rPr>
                <w:b w:val="false"/>
                <w:bCs w:val="false"/>
                <w:sz w:val="17"/>
                <w:szCs w:val="17"/>
              </w:rPr>
              <w:t xml:space="preserve">54.5%</w:t>
            </w:r>
          </w:p>
        </w:tc>
      </w:tr>
      <w:tr>
        <w:tc>
          <w:tcPr>
            <w:tcW w:type="dxa" w:w="3200"/>
            <w:tcMar>
              <w:top w:type="dxa" w:w="70"/>
              <w:left w:type="dxa" w:w="90"/>
              <w:bottom w:type="dxa" w:w="70"/>
              <w:right w:type="dxa" w:w="90"/>
            </w:tcMar>
          </w:tcPr>
          <w:p>
            <w:r>
              <w:rPr>
                <w:b w:val="false"/>
                <w:bCs w:val="false"/>
                <w:sz w:val="17"/>
                <w:szCs w:val="17"/>
              </w:rPr>
              <w:t xml:space="preserve">Medium</w:t>
            </w:r>
          </w:p>
        </w:tc>
        <w:tc>
          <w:tcPr>
            <w:tcW w:type="dxa" w:w="3140"/>
            <w:tcMar>
              <w:top w:type="dxa" w:w="70"/>
              <w:left w:type="dxa" w:w="90"/>
              <w:bottom w:type="dxa" w:w="70"/>
              <w:right w:type="dxa" w:w="90"/>
            </w:tcMar>
          </w:tcPr>
          <w:p>
            <w:r>
              <w:rPr>
                <w:b w:val="false"/>
                <w:bCs w:val="false"/>
                <w:sz w:val="17"/>
                <w:szCs w:val="17"/>
              </w:rPr>
              <w:t xml:space="preserve">4</w:t>
            </w:r>
          </w:p>
        </w:tc>
        <w:tc>
          <w:tcPr>
            <w:tcW w:type="dxa" w:w="3300"/>
            <w:tcMar>
              <w:top w:type="dxa" w:w="70"/>
              <w:left w:type="dxa" w:w="90"/>
              <w:bottom w:type="dxa" w:w="70"/>
              <w:right w:type="dxa" w:w="90"/>
            </w:tcMar>
          </w:tcPr>
          <w:p>
            <w:r>
              <w:rPr>
                <w:b w:val="false"/>
                <w:bCs w:val="false"/>
                <w:sz w:val="17"/>
                <w:szCs w:val="17"/>
              </w:rPr>
              <w:t xml:space="preserve">36.4%</w:t>
            </w:r>
          </w:p>
        </w:tc>
      </w:tr>
      <w:tr>
        <w:tc>
          <w:tcPr>
            <w:tcW w:type="dxa" w:w="3200"/>
            <w:tcMar>
              <w:top w:type="dxa" w:w="70"/>
              <w:left w:type="dxa" w:w="90"/>
              <w:bottom w:type="dxa" w:w="70"/>
              <w:right w:type="dxa" w:w="90"/>
            </w:tcMar>
          </w:tcPr>
          <w:p>
            <w:r>
              <w:rPr>
                <w:b w:val="false"/>
                <w:bCs w:val="false"/>
                <w:sz w:val="17"/>
                <w:szCs w:val="17"/>
              </w:rPr>
              <w:t xml:space="preserve">Low</w:t>
            </w:r>
          </w:p>
        </w:tc>
        <w:tc>
          <w:tcPr>
            <w:tcW w:type="dxa" w:w="3140"/>
            <w:tcMar>
              <w:top w:type="dxa" w:w="70"/>
              <w:left w:type="dxa" w:w="90"/>
              <w:bottom w:type="dxa" w:w="70"/>
              <w:right w:type="dxa" w:w="90"/>
            </w:tcMar>
          </w:tcPr>
          <w:p>
            <w:r>
              <w:rPr>
                <w:b w:val="false"/>
                <w:bCs w:val="false"/>
                <w:sz w:val="17"/>
                <w:szCs w:val="17"/>
              </w:rPr>
              <w:t xml:space="preserve">1</w:t>
            </w:r>
          </w:p>
        </w:tc>
        <w:tc>
          <w:tcPr>
            <w:tcW w:type="dxa" w:w="3300"/>
            <w:tcMar>
              <w:top w:type="dxa" w:w="70"/>
              <w:left w:type="dxa" w:w="90"/>
              <w:bottom w:type="dxa" w:w="70"/>
              <w:right w:type="dxa" w:w="90"/>
            </w:tcMar>
          </w:tcPr>
          <w:p>
            <w:r>
              <w:rPr>
                <w:b w:val="false"/>
                <w:bCs w:val="false"/>
                <w:sz w:val="17"/>
                <w:szCs w:val="17"/>
              </w:rPr>
              <w:t xml:space="preserve">9.1%</w:t>
            </w:r>
          </w:p>
        </w:tc>
      </w:tr>
    </w:tbl>
    <w:p>
      <w:pPr>
        <w:spacing w:after="100"/>
      </w:pPr>
    </w:p>
    <w:p>
      <w:pPr>
        <w:pStyle w:val="Heading3"/>
        <w:spacing w:after="100" w:before="200"/>
      </w:pPr>
      <w:r>
        <w:t xml:space="preserve">Module Distribution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3140"/>
      </w:tblGrid>
      <w:tr>
        <w:trPr>
          <w:tblHeader/>
        </w:trPr>
        <w:tc>
          <w:tcPr>
            <w:tcW w:type="dxa" w:w="3600"/>
            <w:shd w:fill="1F4E5F" w:val="clear"/>
            <w:tcMar>
              <w:top w:type="dxa" w:w="70"/>
              <w:left w:type="dxa" w:w="90"/>
              <w:bottom w:type="dxa" w:w="70"/>
              <w:right w:type="dxa" w:w="90"/>
            </w:tcMar>
          </w:tcPr>
          <w:p>
            <w:r>
              <w:rPr>
                <w:b/>
                <w:bCs/>
                <w:color w:val="FFFFFF"/>
                <w:sz w:val="17"/>
                <w:szCs w:val="17"/>
              </w:rPr>
              <w:t xml:space="preserve">Module</w:t>
            </w:r>
          </w:p>
        </w:tc>
        <w:tc>
          <w:tcPr>
            <w:tcW w:type="dxa" w:w="2900"/>
            <w:shd w:fill="1F4E5F" w:val="clear"/>
            <w:tcMar>
              <w:top w:type="dxa" w:w="70"/>
              <w:left w:type="dxa" w:w="90"/>
              <w:bottom w:type="dxa" w:w="70"/>
              <w:right w:type="dxa" w:w="90"/>
            </w:tcMar>
          </w:tcPr>
          <w:p>
            <w:r>
              <w:rPr>
                <w:b/>
                <w:bCs/>
                <w:color w:val="FFFFFF"/>
                <w:sz w:val="17"/>
                <w:szCs w:val="17"/>
              </w:rPr>
              <w:t xml:space="preserve">Defect Count</w:t>
            </w:r>
          </w:p>
        </w:tc>
        <w:tc>
          <w:tcPr>
            <w:tcW w:type="dxa" w:w="3140"/>
            <w:shd w:fill="1F4E5F" w:val="clear"/>
            <w:tcMar>
              <w:top w:type="dxa" w:w="70"/>
              <w:left w:type="dxa" w:w="90"/>
              <w:bottom w:type="dxa" w:w="70"/>
              <w:right w:type="dxa" w:w="90"/>
            </w:tcMar>
          </w:tcPr>
          <w:p>
            <w:r>
              <w:rPr>
                <w:b/>
                <w:bCs/>
                <w:color w:val="FFFFFF"/>
                <w:sz w:val="17"/>
                <w:szCs w:val="17"/>
              </w:rPr>
              <w:t xml:space="preserve">% of Total Defects</w:t>
            </w:r>
          </w:p>
        </w:tc>
      </w:tr>
      <w:tr>
        <w:tc>
          <w:tcPr>
            <w:tcW w:type="dxa" w:w="3600"/>
            <w:tcMar>
              <w:top w:type="dxa" w:w="70"/>
              <w:left w:type="dxa" w:w="90"/>
              <w:bottom w:type="dxa" w:w="70"/>
              <w:right w:type="dxa" w:w="90"/>
            </w:tcMar>
          </w:tcPr>
          <w:p>
            <w:r>
              <w:rPr>
                <w:b w:val="false"/>
                <w:bCs w:val="false"/>
                <w:sz w:val="17"/>
                <w:szCs w:val="17"/>
              </w:rPr>
              <w:t xml:space="preserve">Transfer Funds</w:t>
            </w:r>
          </w:p>
        </w:tc>
        <w:tc>
          <w:tcPr>
            <w:tcW w:type="dxa" w:w="2900"/>
            <w:tcMar>
              <w:top w:type="dxa" w:w="70"/>
              <w:left w:type="dxa" w:w="90"/>
              <w:bottom w:type="dxa" w:w="70"/>
              <w:right w:type="dxa" w:w="90"/>
            </w:tcMar>
          </w:tcPr>
          <w:p>
            <w:r>
              <w:rPr>
                <w:b w:val="false"/>
                <w:bCs w:val="false"/>
                <w:sz w:val="17"/>
                <w:szCs w:val="17"/>
              </w:rPr>
              <w:t xml:space="preserve">3</w:t>
            </w:r>
          </w:p>
        </w:tc>
        <w:tc>
          <w:tcPr>
            <w:tcW w:type="dxa" w:w="3140"/>
            <w:tcMar>
              <w:top w:type="dxa" w:w="70"/>
              <w:left w:type="dxa" w:w="90"/>
              <w:bottom w:type="dxa" w:w="70"/>
              <w:right w:type="dxa" w:w="90"/>
            </w:tcMar>
          </w:tcPr>
          <w:p>
            <w:r>
              <w:rPr>
                <w:b w:val="false"/>
                <w:bCs w:val="false"/>
                <w:sz w:val="17"/>
                <w:szCs w:val="17"/>
              </w:rPr>
              <w:t xml:space="preserve">27.3%</w:t>
            </w:r>
          </w:p>
        </w:tc>
      </w:tr>
      <w:tr>
        <w:tc>
          <w:tcPr>
            <w:tcW w:type="dxa" w:w="3600"/>
            <w:tcMar>
              <w:top w:type="dxa" w:w="70"/>
              <w:left w:type="dxa" w:w="90"/>
              <w:bottom w:type="dxa" w:w="70"/>
              <w:right w:type="dxa" w:w="90"/>
            </w:tcMar>
          </w:tcPr>
          <w:p>
            <w:r>
              <w:rPr>
                <w:b w:val="false"/>
                <w:bCs w:val="false"/>
                <w:sz w:val="17"/>
                <w:szCs w:val="17"/>
              </w:rPr>
              <w:t xml:space="preserve">Login</w:t>
            </w:r>
          </w:p>
        </w:tc>
        <w:tc>
          <w:tcPr>
            <w:tcW w:type="dxa" w:w="2900"/>
            <w:tcMar>
              <w:top w:type="dxa" w:w="70"/>
              <w:left w:type="dxa" w:w="90"/>
              <w:bottom w:type="dxa" w:w="70"/>
              <w:right w:type="dxa" w:w="90"/>
            </w:tcMar>
          </w:tcPr>
          <w:p>
            <w:r>
              <w:rPr>
                <w:b w:val="false"/>
                <w:bCs w:val="false"/>
                <w:sz w:val="17"/>
                <w:szCs w:val="17"/>
              </w:rPr>
              <w:t xml:space="preserve">2</w:t>
            </w:r>
          </w:p>
        </w:tc>
        <w:tc>
          <w:tcPr>
            <w:tcW w:type="dxa" w:w="3140"/>
            <w:tcMar>
              <w:top w:type="dxa" w:w="70"/>
              <w:left w:type="dxa" w:w="90"/>
              <w:bottom w:type="dxa" w:w="70"/>
              <w:right w:type="dxa" w:w="90"/>
            </w:tcMar>
          </w:tcPr>
          <w:p>
            <w:r>
              <w:rPr>
                <w:b w:val="false"/>
                <w:bCs w:val="false"/>
                <w:sz w:val="17"/>
                <w:szCs w:val="17"/>
              </w:rPr>
              <w:t xml:space="preserve">18.2%</w:t>
            </w:r>
          </w:p>
        </w:tc>
      </w:tr>
      <w:tr>
        <w:tc>
          <w:tcPr>
            <w:tcW w:type="dxa" w:w="3600"/>
            <w:tcMar>
              <w:top w:type="dxa" w:w="70"/>
              <w:left w:type="dxa" w:w="90"/>
              <w:bottom w:type="dxa" w:w="70"/>
              <w:right w:type="dxa" w:w="90"/>
            </w:tcMar>
          </w:tcPr>
          <w:p>
            <w:r>
              <w:rPr>
                <w:b w:val="false"/>
                <w:bCs w:val="false"/>
                <w:sz w:val="17"/>
                <w:szCs w:val="17"/>
              </w:rPr>
              <w:t xml:space="preserve">Registration</w:t>
            </w:r>
          </w:p>
        </w:tc>
        <w:tc>
          <w:tcPr>
            <w:tcW w:type="dxa" w:w="2900"/>
            <w:tcMar>
              <w:top w:type="dxa" w:w="70"/>
              <w:left w:type="dxa" w:w="90"/>
              <w:bottom w:type="dxa" w:w="70"/>
              <w:right w:type="dxa" w:w="90"/>
            </w:tcMar>
          </w:tcPr>
          <w:p>
            <w:r>
              <w:rPr>
                <w:b w:val="false"/>
                <w:bCs w:val="false"/>
                <w:sz w:val="17"/>
                <w:szCs w:val="17"/>
              </w:rPr>
              <w:t xml:space="preserve">2</w:t>
            </w:r>
          </w:p>
        </w:tc>
        <w:tc>
          <w:tcPr>
            <w:tcW w:type="dxa" w:w="3140"/>
            <w:tcMar>
              <w:top w:type="dxa" w:w="70"/>
              <w:left w:type="dxa" w:w="90"/>
              <w:bottom w:type="dxa" w:w="70"/>
              <w:right w:type="dxa" w:w="90"/>
            </w:tcMar>
          </w:tcPr>
          <w:p>
            <w:r>
              <w:rPr>
                <w:b w:val="false"/>
                <w:bCs w:val="false"/>
                <w:sz w:val="17"/>
                <w:szCs w:val="17"/>
              </w:rPr>
              <w:t xml:space="preserve">18.2%</w:t>
            </w:r>
          </w:p>
        </w:tc>
      </w:tr>
      <w:tr>
        <w:tc>
          <w:tcPr>
            <w:tcW w:type="dxa" w:w="3600"/>
            <w:tcMar>
              <w:top w:type="dxa" w:w="70"/>
              <w:left w:type="dxa" w:w="90"/>
              <w:bottom w:type="dxa" w:w="70"/>
              <w:right w:type="dxa" w:w="90"/>
            </w:tcMar>
          </w:tcPr>
          <w:p>
            <w:r>
              <w:rPr>
                <w:b w:val="false"/>
                <w:bCs w:val="false"/>
                <w:sz w:val="17"/>
                <w:szCs w:val="17"/>
              </w:rPr>
              <w:t xml:space="preserve">Bill Pay</w:t>
            </w:r>
          </w:p>
        </w:tc>
        <w:tc>
          <w:tcPr>
            <w:tcW w:type="dxa" w:w="2900"/>
            <w:tcMar>
              <w:top w:type="dxa" w:w="70"/>
              <w:left w:type="dxa" w:w="90"/>
              <w:bottom w:type="dxa" w:w="70"/>
              <w:right w:type="dxa" w:w="90"/>
            </w:tcMar>
          </w:tcPr>
          <w:p>
            <w:r>
              <w:rPr>
                <w:b w:val="false"/>
                <w:bCs w:val="false"/>
                <w:sz w:val="17"/>
                <w:szCs w:val="17"/>
              </w:rPr>
              <w:t xml:space="preserve">2</w:t>
            </w:r>
          </w:p>
        </w:tc>
        <w:tc>
          <w:tcPr>
            <w:tcW w:type="dxa" w:w="3140"/>
            <w:tcMar>
              <w:top w:type="dxa" w:w="70"/>
              <w:left w:type="dxa" w:w="90"/>
              <w:bottom w:type="dxa" w:w="70"/>
              <w:right w:type="dxa" w:w="90"/>
            </w:tcMar>
          </w:tcPr>
          <w:p>
            <w:r>
              <w:rPr>
                <w:b w:val="false"/>
                <w:bCs w:val="false"/>
                <w:sz w:val="17"/>
                <w:szCs w:val="17"/>
              </w:rPr>
              <w:t xml:space="preserve">18.2%</w:t>
            </w:r>
          </w:p>
        </w:tc>
      </w:tr>
      <w:tr>
        <w:tc>
          <w:tcPr>
            <w:tcW w:type="dxa" w:w="3600"/>
            <w:tcMar>
              <w:top w:type="dxa" w:w="70"/>
              <w:left w:type="dxa" w:w="90"/>
              <w:bottom w:type="dxa" w:w="70"/>
              <w:right w:type="dxa" w:w="90"/>
            </w:tcMar>
          </w:tcPr>
          <w:p>
            <w:r>
              <w:rPr>
                <w:b w:val="false"/>
                <w:bCs w:val="false"/>
                <w:sz w:val="17"/>
                <w:szCs w:val="17"/>
              </w:rPr>
              <w:t xml:space="preserve">Open New Account</w:t>
            </w:r>
          </w:p>
        </w:tc>
        <w:tc>
          <w:tcPr>
            <w:tcW w:type="dxa" w:w="2900"/>
            <w:tcMar>
              <w:top w:type="dxa" w:w="70"/>
              <w:left w:type="dxa" w:w="90"/>
              <w:bottom w:type="dxa" w:w="70"/>
              <w:right w:type="dxa" w:w="90"/>
            </w:tcMar>
          </w:tcPr>
          <w:p>
            <w:r>
              <w:rPr>
                <w:b w:val="false"/>
                <w:bCs w:val="false"/>
                <w:sz w:val="17"/>
                <w:szCs w:val="17"/>
              </w:rPr>
              <w:t xml:space="preserve">1</w:t>
            </w:r>
          </w:p>
        </w:tc>
        <w:tc>
          <w:tcPr>
            <w:tcW w:type="dxa" w:w="3140"/>
            <w:tcMar>
              <w:top w:type="dxa" w:w="70"/>
              <w:left w:type="dxa" w:w="90"/>
              <w:bottom w:type="dxa" w:w="70"/>
              <w:right w:type="dxa" w:w="90"/>
            </w:tcMar>
          </w:tcPr>
          <w:p>
            <w:r>
              <w:rPr>
                <w:b w:val="false"/>
                <w:bCs w:val="false"/>
                <w:sz w:val="17"/>
                <w:szCs w:val="17"/>
              </w:rPr>
              <w:t xml:space="preserve">9.1%</w:t>
            </w:r>
          </w:p>
        </w:tc>
      </w:tr>
      <w:tr>
        <w:tc>
          <w:tcPr>
            <w:tcW w:type="dxa" w:w="3600"/>
            <w:tcMar>
              <w:top w:type="dxa" w:w="70"/>
              <w:left w:type="dxa" w:w="90"/>
              <w:bottom w:type="dxa" w:w="70"/>
              <w:right w:type="dxa" w:w="90"/>
            </w:tcMar>
          </w:tcPr>
          <w:p>
            <w:r>
              <w:rPr>
                <w:b w:val="false"/>
                <w:bCs w:val="false"/>
                <w:sz w:val="17"/>
                <w:szCs w:val="17"/>
              </w:rPr>
              <w:t xml:space="preserve">Request Loan</w:t>
            </w:r>
          </w:p>
        </w:tc>
        <w:tc>
          <w:tcPr>
            <w:tcW w:type="dxa" w:w="2900"/>
            <w:tcMar>
              <w:top w:type="dxa" w:w="70"/>
              <w:left w:type="dxa" w:w="90"/>
              <w:bottom w:type="dxa" w:w="70"/>
              <w:right w:type="dxa" w:w="90"/>
            </w:tcMar>
          </w:tcPr>
          <w:p>
            <w:r>
              <w:rPr>
                <w:b w:val="false"/>
                <w:bCs w:val="false"/>
                <w:sz w:val="17"/>
                <w:szCs w:val="17"/>
              </w:rPr>
              <w:t xml:space="preserve">1</w:t>
            </w:r>
          </w:p>
        </w:tc>
        <w:tc>
          <w:tcPr>
            <w:tcW w:type="dxa" w:w="3140"/>
            <w:tcMar>
              <w:top w:type="dxa" w:w="70"/>
              <w:left w:type="dxa" w:w="90"/>
              <w:bottom w:type="dxa" w:w="70"/>
              <w:right w:type="dxa" w:w="90"/>
            </w:tcMar>
          </w:tcPr>
          <w:p>
            <w:r>
              <w:rPr>
                <w:b w:val="false"/>
                <w:bCs w:val="false"/>
                <w:sz w:val="17"/>
                <w:szCs w:val="17"/>
              </w:rPr>
              <w:t xml:space="preserve">9.1%</w:t>
            </w:r>
          </w:p>
        </w:tc>
      </w:tr>
    </w:tbl>
    <w:p>
      <w:pPr>
        <w:spacing w:after="100"/>
      </w:pPr>
    </w:p>
    <w:p>
      <w:pPr>
        <w:pStyle w:val="Heading3"/>
        <w:spacing w:after="100" w:before="200"/>
      </w:pPr>
      <w:r>
        <w:t xml:space="preserve">Trends and Patterns Observed</w:t>
      </w:r>
    </w:p>
    <w:p>
      <w:pPr>
        <w:pStyle w:val="ListParagraph"/>
        <w:numPr>
          <w:ilvl w:val="0"/>
          <w:numId w:val="1"/>
        </w:numPr>
        <w:spacing w:after="60"/>
      </w:pPr>
      <w:r>
        <w:t xml:space="preserve">Transfer Funds has both the highest defect count (3) and includes 2 of the 3 Critical defects (DEF-002, DEF-007), confirming the Phase 2 risk-based prediction that this module carries the highest financial-impact risk in the application.</w:t>
      </w:r>
    </w:p>
    <w:p>
      <w:pPr>
        <w:pStyle w:val="ListParagraph"/>
        <w:numPr>
          <w:ilvl w:val="0"/>
          <w:numId w:val="1"/>
        </w:numPr>
        <w:spacing w:after="60"/>
      </w:pPr>
      <w:r>
        <w:t xml:space="preserve">Every Critical defect found (DEF-005, DEF-007, DEF-008) involves either money movement or session security — the two categories flagged as highest-risk since Phase 1 — while every Trivial/Minor defect (DEF-003, DEF-006, DEF-011) involves a missing warning message or a display/formatting issue with no direct financial consequence.</w:t>
      </w:r>
    </w:p>
    <w:p>
      <w:pPr>
        <w:pStyle w:val="ListParagraph"/>
        <w:numPr>
          <w:ilvl w:val="0"/>
          <w:numId w:val="1"/>
        </w:numPr>
        <w:spacing w:after="60"/>
      </w:pPr>
      <w:r>
        <w:t xml:space="preserve">4 of the 11 defects (DEF-001, DEF-004, DEF-005, DEF-006) share a common pattern: a business rule that was flagged as undocumented in Phase 1 (minimum deposit, payee validation timing, down-payment-vs-amount relationship, username uniqueness scope) turned out to have no enforcement at all, rather than an enforcement that was merely under-tested. This suggests the requirement gaps identified in Phase 1 were not just a documentation problem, but a leading indicator of real, unimplemented validation.</w:t>
      </w:r>
    </w:p>
    <w:p>
      <w:pPr>
        <w:pStyle w:val="ListParagraph"/>
        <w:numPr>
          <w:ilvl w:val="0"/>
          <w:numId w:val="1"/>
        </w:numPr>
        <w:spacing w:after="60"/>
      </w:pPr>
      <w:r>
        <w:t xml:space="preserve">2 of the 11 defects (DEF-008, DEF-010) are security-related and were found exclusively through exploratory testing, not scripted test cases — reinforcing the Phase 3 Coverage Analysis Report's flag that session invalidation and cross-customer isolation had no dedicated scripted test coverage.</w:t>
      </w:r>
    </w:p>
    <w:p>
      <w:pPr>
        <w:pStyle w:val="ListParagraph"/>
        <w:numPr>
          <w:ilvl w:val="0"/>
          <w:numId w:val="1"/>
        </w:numPr>
        <w:spacing w:after="60"/>
      </w:pPr>
      <w:r>
        <w:t xml:space="preserve">No defects were found in the core Login or Bill Pay happy-path flows themselves; all Login/Bill Pay defects involve edge-case validation or security nuance rather than the primary transaction flow failing outright, suggesting the core transaction logic is comparatively solid even where surrounding validation is not.</w:t>
      </w:r>
    </w:p>
    <w:p>
      <w:pPr>
        <w:spacing w:after="100"/>
      </w:pPr>
    </w:p>
    <w:p>
      <w:pPr>
        <w:pStyle w:val="Heading2"/>
        <w:spacing w:after="120" w:before="240"/>
      </w:pPr>
      <w:r>
        <w:t xml:space="preserve">10.4.5 Exploratory Testing Report</w:t>
      </w:r>
    </w:p>
    <w:p>
      <w:pPr>
        <w:pStyle w:val="Heading3"/>
        <w:spacing w:after="100" w:before="200"/>
      </w:pPr>
      <w:r>
        <w:t xml:space="preserve">Areas Explored</w:t>
      </w:r>
    </w:p>
    <w:p>
      <w:pPr>
        <w:spacing w:after="120"/>
      </w:pPr>
      <w:r>
        <w:t xml:space="preserve">Exploratory testing was conducted as five structured, time-boxed charters (documented in full in Section 10.4.13): Login/session handling, Registration input handling, Transfer Funds edge cases, Bill Pay input handling, and a dedicated security-focused pass across Login and session management. Each session was time-boxed to approximately 45-60 minutes, consistent with the exploratory allocation in the Phase 2 Resource Plan, and conducted after scripted execution was complete for the relevant module so that exploratory findings would be genuinely incremental rather than re-discovering already-scripted defects.</w:t>
      </w:r>
    </w:p>
    <w:p>
      <w:pPr>
        <w:pStyle w:val="Heading3"/>
        <w:spacing w:after="100" w:before="200"/>
      </w:pPr>
      <w:r>
        <w:t xml:space="preserve">Testing Approach Used</w:t>
      </w:r>
    </w:p>
    <w:p>
      <w:pPr>
        <w:spacing w:after="120"/>
      </w:pPr>
      <w:r>
        <w:t xml:space="preserve">A session-based exploratory approach was used, with each session structured around a specific charter (a stated mission and objective) rather than unstructured, aimless clicking. Within each session, testing followed a deliberate "break it" mindset: starting from the documented, expected happy path and then systematically varying one dimension at a time — timing (rapid actions), input type (unexpected characters, injection-style strings), input length (extremely long values), and sequencing (navigating out of order, using the browser back button) — to surface behaviour the scripted test suite was not designed to check. Notes were captured in real time during each session rather than reconstructed afterward, to preserve the exact sequence of actions that produced each finding.</w:t>
      </w:r>
    </w:p>
    <w:p>
      <w:pPr>
        <w:pStyle w:val="Heading3"/>
        <w:spacing w:after="100" w:before="200"/>
      </w:pPr>
      <w:r>
        <w:t xml:space="preserve">Findings</w:t>
      </w:r>
    </w:p>
    <w:p>
      <w:pPr>
        <w:pStyle w:val="ListParagraph"/>
        <w:numPr>
          <w:ilvl w:val="0"/>
          <w:numId w:val="1"/>
        </w:numPr>
        <w:spacing w:after="60"/>
      </w:pPr>
      <w:r>
        <w:t xml:space="preserve">Session/logout behaviour (Mission 1) surfaced the most significant exploratory finding of the engagement: the browser back button briefly redisplaying account data after logout (DEF-008), a defect class that scripted functional testing was structurally unable to find, since scripted test cases check UI redirect behaviour, not underlying session token state.</w:t>
      </w:r>
    </w:p>
    <w:p>
      <w:pPr>
        <w:pStyle w:val="ListParagraph"/>
        <w:numPr>
          <w:ilvl w:val="0"/>
          <w:numId w:val="1"/>
        </w:numPr>
        <w:spacing w:after="60"/>
      </w:pPr>
      <w:r>
        <w:t xml:space="preserve">Registration input handling (Mission 2) surfaced a straightforward but real validation gap in the SSN field (DEF-009); notably, other fields tested with similarly malformed input (email-like usernames, long addresses) did not reveal further defects, suggesting inconsistent rather than absent validation across the form.</w:t>
      </w:r>
    </w:p>
    <w:p>
      <w:pPr>
        <w:pStyle w:val="ListParagraph"/>
        <w:numPr>
          <w:ilvl w:val="0"/>
          <w:numId w:val="1"/>
        </w:numPr>
        <w:spacing w:after="60"/>
      </w:pPr>
      <w:r>
        <w:t xml:space="preserve">Transfer Funds exploration (Mission 3) did not surface any defect beyond what scripted boundary and race-condition testing had already found (DEF-002, DEF-003, DEF-007); this is treated as a meaningful negative result confirming the scripted boundary/negative test design in Phase 3 was already well-targeted for this module, not as time wasted.</w:t>
      </w:r>
    </w:p>
    <w:p>
      <w:pPr>
        <w:pStyle w:val="ListParagraph"/>
        <w:numPr>
          <w:ilvl w:val="0"/>
          <w:numId w:val="1"/>
        </w:numPr>
        <w:spacing w:after="60"/>
      </w:pPr>
      <w:r>
        <w:t xml:space="preserve">Bill Pay exploration (Mission 4) surfaced a low-severity but genuine UI defect around excessively long payee names (DEF-011), found only by deliberately testing an input length dimension the scripted test cases did not include.</w:t>
      </w:r>
    </w:p>
    <w:p>
      <w:pPr>
        <w:pStyle w:val="ListParagraph"/>
        <w:numPr>
          <w:ilvl w:val="0"/>
          <w:numId w:val="1"/>
        </w:numPr>
        <w:spacing w:after="60"/>
      </w:pPr>
      <w:r>
        <w:t xml:space="preserve">The dedicated security exploration (Mission 5) surfaced the username enumeration issue (DEF-010) by directly comparing two error paths side-by-side, a comparison-based technique that a single scripted test case checking one path in isolation would not have caught.</w:t>
      </w:r>
    </w:p>
    <w:p>
      <w:pPr>
        <w:pStyle w:val="Heading3"/>
        <w:spacing w:after="100" w:before="200"/>
      </w:pPr>
      <w:r>
        <w:t xml:space="preserve">Risks Identified During Exploration</w:t>
      </w:r>
    </w:p>
    <w:p>
      <w:pPr>
        <w:pStyle w:val="ListParagraph"/>
        <w:numPr>
          <w:ilvl w:val="0"/>
          <w:numId w:val="1"/>
        </w:numPr>
        <w:spacing w:after="60"/>
      </w:pPr>
      <w:r>
        <w:t xml:space="preserve">The session-invalidation finding (DEF-008) suggests session management broadly may warrant a deeper, more formal security review beyond what a single exploratory session can respectably cover — this exploratory finding is a signal, not a substitute for dedicated security testing.</w:t>
      </w:r>
    </w:p>
    <w:p>
      <w:pPr>
        <w:pStyle w:val="ListParagraph"/>
        <w:numPr>
          <w:ilvl w:val="0"/>
          <w:numId w:val="1"/>
        </w:numPr>
        <w:spacing w:after="60"/>
      </w:pPr>
      <w:r>
        <w:t xml:space="preserve">The pattern of inconsistent field-level validation (SSN accepted unvalidated, while other fields were validated) suggests validation logic may have been implemented field-by-field without a consistent framework, which raises the possibility of similar unvalidated fields existing elsewhere in the application beyond what this time-boxed exploration could fully cover.</w:t>
      </w:r>
    </w:p>
    <w:p>
      <w:pPr>
        <w:pStyle w:val="ListParagraph"/>
        <w:numPr>
          <w:ilvl w:val="0"/>
          <w:numId w:val="1"/>
        </w:numPr>
        <w:spacing w:after="60"/>
      </w:pPr>
      <w:r>
        <w:t xml:space="preserve">The fact that 4 defects trace directly back to Phase 1 documentation gaps reinforces that unresolved requirement ambiguity is not merely a planning inconvenience — it is a measurable predictor of where real defects exist, and any remaining unconfirmed Phase 1 assumptions should be treated as elevated-risk areas until the client responds.</w:t>
      </w:r>
    </w:p>
    <w:p>
      <w:pPr>
        <w:spacing w:after="100"/>
      </w:pPr>
    </w:p>
    <w:p>
      <w:pPr>
        <w:pStyle w:val="Heading2"/>
        <w:spacing w:after="120" w:before="240"/>
      </w:pPr>
      <w:r>
        <w:t xml:space="preserve">10.4.6 Test Execution Summary Report</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4700"/>
        <w:gridCol w:w="4640"/>
      </w:tblGrid>
      <w:tr>
        <w:trPr>
          <w:tblHeader/>
        </w:trPr>
        <w:tc>
          <w:tcPr>
            <w:tcW w:type="dxa" w:w="4700"/>
            <w:shd w:fill="1F4E5F" w:val="clear"/>
            <w:tcMar>
              <w:top w:type="dxa" w:w="70"/>
              <w:left w:type="dxa" w:w="90"/>
              <w:bottom w:type="dxa" w:w="70"/>
              <w:right w:type="dxa" w:w="90"/>
            </w:tcMar>
          </w:tcPr>
          <w:p>
            <w:r>
              <w:rPr>
                <w:b/>
                <w:bCs/>
                <w:color w:val="FFFFFF"/>
                <w:sz w:val="17"/>
                <w:szCs w:val="17"/>
              </w:rPr>
              <w:t xml:space="preserve">Metric</w:t>
            </w:r>
          </w:p>
        </w:tc>
        <w:tc>
          <w:tcPr>
            <w:tcW w:type="dxa" w:w="4640"/>
            <w:shd w:fill="1F4E5F" w:val="clear"/>
            <w:tcMar>
              <w:top w:type="dxa" w:w="70"/>
              <w:left w:type="dxa" w:w="90"/>
              <w:bottom w:type="dxa" w:w="70"/>
              <w:right w:type="dxa" w:w="90"/>
            </w:tcMar>
          </w:tcPr>
          <w:p>
            <w:r>
              <w:rPr>
                <w:b/>
                <w:bCs/>
                <w:color w:val="FFFFFF"/>
                <w:sz w:val="17"/>
                <w:szCs w:val="17"/>
              </w:rPr>
              <w:t xml:space="preserve">Value</w:t>
            </w:r>
          </w:p>
        </w:tc>
      </w:tr>
      <w:tr>
        <w:tc>
          <w:tcPr>
            <w:tcW w:type="dxa" w:w="4700"/>
            <w:tcMar>
              <w:top w:type="dxa" w:w="70"/>
              <w:left w:type="dxa" w:w="90"/>
              <w:bottom w:type="dxa" w:w="70"/>
              <w:right w:type="dxa" w:w="90"/>
            </w:tcMar>
          </w:tcPr>
          <w:p>
            <w:r>
              <w:rPr>
                <w:b w:val="false"/>
                <w:bCs w:val="false"/>
                <w:sz w:val="17"/>
                <w:szCs w:val="17"/>
              </w:rPr>
              <w:t xml:space="preserve">Total Test Cases Executed</w:t>
            </w:r>
          </w:p>
        </w:tc>
        <w:tc>
          <w:tcPr>
            <w:tcW w:type="dxa" w:w="4640"/>
            <w:tcMar>
              <w:top w:type="dxa" w:w="70"/>
              <w:left w:type="dxa" w:w="90"/>
              <w:bottom w:type="dxa" w:w="70"/>
              <w:right w:type="dxa" w:w="90"/>
            </w:tcMar>
          </w:tcPr>
          <w:p>
            <w:r>
              <w:rPr>
                <w:b w:val="false"/>
                <w:bCs w:val="false"/>
                <w:sz w:val="17"/>
                <w:szCs w:val="17"/>
              </w:rPr>
              <w:t xml:space="preserve">50</w:t>
            </w:r>
          </w:p>
        </w:tc>
      </w:tr>
      <w:tr>
        <w:tc>
          <w:tcPr>
            <w:tcW w:type="dxa" w:w="4700"/>
            <w:tcMar>
              <w:top w:type="dxa" w:w="70"/>
              <w:left w:type="dxa" w:w="90"/>
              <w:bottom w:type="dxa" w:w="70"/>
              <w:right w:type="dxa" w:w="90"/>
            </w:tcMar>
          </w:tcPr>
          <w:p>
            <w:r>
              <w:rPr>
                <w:b w:val="false"/>
                <w:bCs w:val="false"/>
                <w:sz w:val="17"/>
                <w:szCs w:val="17"/>
              </w:rPr>
              <w:t xml:space="preserve">Pass Count</w:t>
            </w:r>
          </w:p>
        </w:tc>
        <w:tc>
          <w:tcPr>
            <w:tcW w:type="dxa" w:w="4640"/>
            <w:tcMar>
              <w:top w:type="dxa" w:w="70"/>
              <w:left w:type="dxa" w:w="90"/>
              <w:bottom w:type="dxa" w:w="70"/>
              <w:right w:type="dxa" w:w="90"/>
            </w:tcMar>
          </w:tcPr>
          <w:p>
            <w:r>
              <w:rPr>
                <w:b w:val="false"/>
                <w:bCs w:val="false"/>
                <w:sz w:val="17"/>
                <w:szCs w:val="17"/>
              </w:rPr>
              <w:t xml:space="preserve">41</w:t>
            </w:r>
          </w:p>
        </w:tc>
      </w:tr>
      <w:tr>
        <w:tc>
          <w:tcPr>
            <w:tcW w:type="dxa" w:w="4700"/>
            <w:tcMar>
              <w:top w:type="dxa" w:w="70"/>
              <w:left w:type="dxa" w:w="90"/>
              <w:bottom w:type="dxa" w:w="70"/>
              <w:right w:type="dxa" w:w="90"/>
            </w:tcMar>
          </w:tcPr>
          <w:p>
            <w:r>
              <w:rPr>
                <w:b w:val="false"/>
                <w:bCs w:val="false"/>
                <w:sz w:val="17"/>
                <w:szCs w:val="17"/>
              </w:rPr>
              <w:t xml:space="preserve">Fail Count</w:t>
            </w:r>
          </w:p>
        </w:tc>
        <w:tc>
          <w:tcPr>
            <w:tcW w:type="dxa" w:w="4640"/>
            <w:tcMar>
              <w:top w:type="dxa" w:w="70"/>
              <w:left w:type="dxa" w:w="90"/>
              <w:bottom w:type="dxa" w:w="70"/>
              <w:right w:type="dxa" w:w="90"/>
            </w:tcMar>
          </w:tcPr>
          <w:p>
            <w:r>
              <w:rPr>
                <w:b w:val="false"/>
                <w:bCs w:val="false"/>
                <w:sz w:val="17"/>
                <w:szCs w:val="17"/>
              </w:rPr>
              <w:t xml:space="preserve">7</w:t>
            </w:r>
          </w:p>
        </w:tc>
      </w:tr>
      <w:tr>
        <w:tc>
          <w:tcPr>
            <w:tcW w:type="dxa" w:w="4700"/>
            <w:tcMar>
              <w:top w:type="dxa" w:w="70"/>
              <w:left w:type="dxa" w:w="90"/>
              <w:bottom w:type="dxa" w:w="70"/>
              <w:right w:type="dxa" w:w="90"/>
            </w:tcMar>
          </w:tcPr>
          <w:p>
            <w:r>
              <w:rPr>
                <w:b w:val="false"/>
                <w:bCs w:val="false"/>
                <w:sz w:val="17"/>
                <w:szCs w:val="17"/>
              </w:rPr>
              <w:t xml:space="preserve">Blocked Count</w:t>
            </w:r>
          </w:p>
        </w:tc>
        <w:tc>
          <w:tcPr>
            <w:tcW w:type="dxa" w:w="4640"/>
            <w:tcMar>
              <w:top w:type="dxa" w:w="70"/>
              <w:left w:type="dxa" w:w="90"/>
              <w:bottom w:type="dxa" w:w="70"/>
              <w:right w:type="dxa" w:w="90"/>
            </w:tcMar>
          </w:tcPr>
          <w:p>
            <w:r>
              <w:rPr>
                <w:b w:val="false"/>
                <w:bCs w:val="false"/>
                <w:sz w:val="17"/>
                <w:szCs w:val="17"/>
              </w:rPr>
              <w:t xml:space="preserve">2</w:t>
            </w:r>
          </w:p>
        </w:tc>
      </w:tr>
      <w:tr>
        <w:tc>
          <w:tcPr>
            <w:tcW w:type="dxa" w:w="4700"/>
            <w:tcMar>
              <w:top w:type="dxa" w:w="70"/>
              <w:left w:type="dxa" w:w="90"/>
              <w:bottom w:type="dxa" w:w="70"/>
              <w:right w:type="dxa" w:w="90"/>
            </w:tcMar>
          </w:tcPr>
          <w:p>
            <w:r>
              <w:rPr>
                <w:b w:val="false"/>
                <w:bCs w:val="false"/>
                <w:sz w:val="17"/>
                <w:szCs w:val="17"/>
              </w:rPr>
              <w:t xml:space="preserve">Pass Rate (%)</w:t>
            </w:r>
          </w:p>
        </w:tc>
        <w:tc>
          <w:tcPr>
            <w:tcW w:type="dxa" w:w="4640"/>
            <w:tcMar>
              <w:top w:type="dxa" w:w="70"/>
              <w:left w:type="dxa" w:w="90"/>
              <w:bottom w:type="dxa" w:w="70"/>
              <w:right w:type="dxa" w:w="90"/>
            </w:tcMar>
          </w:tcPr>
          <w:p>
            <w:r>
              <w:rPr>
                <w:b w:val="false"/>
                <w:bCs w:val="false"/>
                <w:sz w:val="17"/>
                <w:szCs w:val="17"/>
              </w:rPr>
              <w:t xml:space="preserve">82.0%</w:t>
            </w:r>
          </w:p>
        </w:tc>
      </w:tr>
      <w:tr>
        <w:tc>
          <w:tcPr>
            <w:tcW w:type="dxa" w:w="4700"/>
            <w:tcMar>
              <w:top w:type="dxa" w:w="70"/>
              <w:left w:type="dxa" w:w="90"/>
              <w:bottom w:type="dxa" w:w="70"/>
              <w:right w:type="dxa" w:w="90"/>
            </w:tcMar>
          </w:tcPr>
          <w:p>
            <w:r>
              <w:rPr>
                <w:b w:val="false"/>
                <w:bCs w:val="false"/>
                <w:sz w:val="17"/>
                <w:szCs w:val="17"/>
              </w:rPr>
              <w:t xml:space="preserve">Fail Rate (%)</w:t>
            </w:r>
          </w:p>
        </w:tc>
        <w:tc>
          <w:tcPr>
            <w:tcW w:type="dxa" w:w="4640"/>
            <w:tcMar>
              <w:top w:type="dxa" w:w="70"/>
              <w:left w:type="dxa" w:w="90"/>
              <w:bottom w:type="dxa" w:w="70"/>
              <w:right w:type="dxa" w:w="90"/>
            </w:tcMar>
          </w:tcPr>
          <w:p>
            <w:r>
              <w:rPr>
                <w:b w:val="false"/>
                <w:bCs w:val="false"/>
                <w:sz w:val="17"/>
                <w:szCs w:val="17"/>
              </w:rPr>
              <w:t xml:space="preserve">14.0%</w:t>
            </w:r>
          </w:p>
        </w:tc>
      </w:tr>
      <w:tr>
        <w:tc>
          <w:tcPr>
            <w:tcW w:type="dxa" w:w="4700"/>
            <w:tcMar>
              <w:top w:type="dxa" w:w="70"/>
              <w:left w:type="dxa" w:w="90"/>
              <w:bottom w:type="dxa" w:w="70"/>
              <w:right w:type="dxa" w:w="90"/>
            </w:tcMar>
          </w:tcPr>
          <w:p>
            <w:r>
              <w:rPr>
                <w:b w:val="false"/>
                <w:bCs w:val="false"/>
                <w:sz w:val="17"/>
                <w:szCs w:val="17"/>
              </w:rPr>
              <w:t xml:space="preserve">Blocked Rate (%)</w:t>
            </w:r>
          </w:p>
        </w:tc>
        <w:tc>
          <w:tcPr>
            <w:tcW w:type="dxa" w:w="4640"/>
            <w:tcMar>
              <w:top w:type="dxa" w:w="70"/>
              <w:left w:type="dxa" w:w="90"/>
              <w:bottom w:type="dxa" w:w="70"/>
              <w:right w:type="dxa" w:w="90"/>
            </w:tcMar>
          </w:tcPr>
          <w:p>
            <w:r>
              <w:rPr>
                <w:b w:val="false"/>
                <w:bCs w:val="false"/>
                <w:sz w:val="17"/>
                <w:szCs w:val="17"/>
              </w:rPr>
              <w:t xml:space="preserve">4.0%</w:t>
            </w:r>
          </w:p>
        </w:tc>
      </w:tr>
      <w:tr>
        <w:tc>
          <w:tcPr>
            <w:tcW w:type="dxa" w:w="4700"/>
            <w:tcMar>
              <w:top w:type="dxa" w:w="70"/>
              <w:left w:type="dxa" w:w="90"/>
              <w:bottom w:type="dxa" w:w="70"/>
              <w:right w:type="dxa" w:w="90"/>
            </w:tcMar>
          </w:tcPr>
          <w:p>
            <w:r>
              <w:rPr>
                <w:b w:val="false"/>
                <w:bCs w:val="false"/>
                <w:sz w:val="17"/>
                <w:szCs w:val="17"/>
              </w:rPr>
              <w:t xml:space="preserve">Total Defects Raised</w:t>
            </w:r>
          </w:p>
        </w:tc>
        <w:tc>
          <w:tcPr>
            <w:tcW w:type="dxa" w:w="4640"/>
            <w:tcMar>
              <w:top w:type="dxa" w:w="70"/>
              <w:left w:type="dxa" w:w="90"/>
              <w:bottom w:type="dxa" w:w="70"/>
              <w:right w:type="dxa" w:w="90"/>
            </w:tcMar>
          </w:tcPr>
          <w:p>
            <w:r>
              <w:rPr>
                <w:b w:val="false"/>
                <w:bCs w:val="false"/>
                <w:sz w:val="17"/>
                <w:szCs w:val="17"/>
              </w:rPr>
              <w:t xml:space="preserve">11</w:t>
            </w:r>
          </w:p>
        </w:tc>
      </w:tr>
      <w:tr>
        <w:tc>
          <w:tcPr>
            <w:tcW w:type="dxa" w:w="4700"/>
            <w:tcMar>
              <w:top w:type="dxa" w:w="70"/>
              <w:left w:type="dxa" w:w="90"/>
              <w:bottom w:type="dxa" w:w="70"/>
              <w:right w:type="dxa" w:w="90"/>
            </w:tcMar>
          </w:tcPr>
          <w:p>
            <w:r>
              <w:rPr>
                <w:b w:val="false"/>
                <w:bCs w:val="false"/>
                <w:sz w:val="17"/>
                <w:szCs w:val="17"/>
              </w:rPr>
              <w:t xml:space="preserve">Critical Defects</w:t>
            </w:r>
          </w:p>
        </w:tc>
        <w:tc>
          <w:tcPr>
            <w:tcW w:type="dxa" w:w="4640"/>
            <w:tcMar>
              <w:top w:type="dxa" w:w="70"/>
              <w:left w:type="dxa" w:w="90"/>
              <w:bottom w:type="dxa" w:w="70"/>
              <w:right w:type="dxa" w:w="90"/>
            </w:tcMar>
          </w:tcPr>
          <w:p>
            <w:r>
              <w:rPr>
                <w:b w:val="false"/>
                <w:bCs w:val="false"/>
                <w:sz w:val="17"/>
                <w:szCs w:val="17"/>
              </w:rPr>
              <w:t xml:space="preserve">3</w:t>
            </w:r>
          </w:p>
        </w:tc>
      </w:tr>
      <w:tr>
        <w:tc>
          <w:tcPr>
            <w:tcW w:type="dxa" w:w="4700"/>
            <w:tcMar>
              <w:top w:type="dxa" w:w="70"/>
              <w:left w:type="dxa" w:w="90"/>
              <w:bottom w:type="dxa" w:w="70"/>
              <w:right w:type="dxa" w:w="90"/>
            </w:tcMar>
          </w:tcPr>
          <w:p>
            <w:r>
              <w:rPr>
                <w:b w:val="false"/>
                <w:bCs w:val="false"/>
                <w:sz w:val="17"/>
                <w:szCs w:val="17"/>
              </w:rPr>
              <w:t xml:space="preserve">Major Defects</w:t>
            </w:r>
          </w:p>
        </w:tc>
        <w:tc>
          <w:tcPr>
            <w:tcW w:type="dxa" w:w="4640"/>
            <w:tcMar>
              <w:top w:type="dxa" w:w="70"/>
              <w:left w:type="dxa" w:w="90"/>
              <w:bottom w:type="dxa" w:w="70"/>
              <w:right w:type="dxa" w:w="90"/>
            </w:tcMar>
          </w:tcPr>
          <w:p>
            <w:r>
              <w:rPr>
                <w:b w:val="false"/>
                <w:bCs w:val="false"/>
                <w:sz w:val="17"/>
                <w:szCs w:val="17"/>
              </w:rPr>
              <w:t xml:space="preserve">5</w:t>
            </w:r>
          </w:p>
        </w:tc>
      </w:tr>
      <w:tr>
        <w:tc>
          <w:tcPr>
            <w:tcW w:type="dxa" w:w="4700"/>
            <w:tcMar>
              <w:top w:type="dxa" w:w="70"/>
              <w:left w:type="dxa" w:w="90"/>
              <w:bottom w:type="dxa" w:w="70"/>
              <w:right w:type="dxa" w:w="90"/>
            </w:tcMar>
          </w:tcPr>
          <w:p>
            <w:r>
              <w:rPr>
                <w:b w:val="false"/>
                <w:bCs w:val="false"/>
                <w:sz w:val="17"/>
                <w:szCs w:val="17"/>
              </w:rPr>
              <w:t xml:space="preserve">Minor Defects</w:t>
            </w:r>
          </w:p>
        </w:tc>
        <w:tc>
          <w:tcPr>
            <w:tcW w:type="dxa" w:w="4640"/>
            <w:tcMar>
              <w:top w:type="dxa" w:w="70"/>
              <w:left w:type="dxa" w:w="90"/>
              <w:bottom w:type="dxa" w:w="70"/>
              <w:right w:type="dxa" w:w="90"/>
            </w:tcMar>
          </w:tcPr>
          <w:p>
            <w:r>
              <w:rPr>
                <w:b w:val="false"/>
                <w:bCs w:val="false"/>
                <w:sz w:val="17"/>
                <w:szCs w:val="17"/>
              </w:rPr>
              <w:t xml:space="preserve">2</w:t>
            </w:r>
          </w:p>
        </w:tc>
      </w:tr>
      <w:tr>
        <w:tc>
          <w:tcPr>
            <w:tcW w:type="dxa" w:w="4700"/>
            <w:tcMar>
              <w:top w:type="dxa" w:w="70"/>
              <w:left w:type="dxa" w:w="90"/>
              <w:bottom w:type="dxa" w:w="70"/>
              <w:right w:type="dxa" w:w="90"/>
            </w:tcMar>
          </w:tcPr>
          <w:p>
            <w:r>
              <w:rPr>
                <w:b w:val="false"/>
                <w:bCs w:val="false"/>
                <w:sz w:val="17"/>
                <w:szCs w:val="17"/>
              </w:rPr>
              <w:t xml:space="preserve">Trivial Defects</w:t>
            </w:r>
          </w:p>
        </w:tc>
        <w:tc>
          <w:tcPr>
            <w:tcW w:type="dxa" w:w="4640"/>
            <w:tcMar>
              <w:top w:type="dxa" w:w="70"/>
              <w:left w:type="dxa" w:w="90"/>
              <w:bottom w:type="dxa" w:w="70"/>
              <w:right w:type="dxa" w:w="90"/>
            </w:tcMar>
          </w:tcPr>
          <w:p>
            <w:r>
              <w:rPr>
                <w:b w:val="false"/>
                <w:bCs w:val="false"/>
                <w:sz w:val="17"/>
                <w:szCs w:val="17"/>
              </w:rPr>
              <w:t xml:space="preserve">1</w:t>
            </w:r>
          </w:p>
        </w:tc>
      </w:tr>
    </w:tbl>
    <w:p>
      <w:pPr>
        <w:spacing w:after="100"/>
      </w:pPr>
    </w:p>
    <w:p>
      <w:pPr>
        <w:pStyle w:val="Heading3"/>
        <w:spacing w:after="100" w:before="200"/>
      </w:pPr>
      <w:r>
        <w:t xml:space="preserve">Summary of Major Findings and Overall Quality Observations</w:t>
      </w:r>
    </w:p>
    <w:p>
      <w:pPr>
        <w:spacing w:after="120"/>
      </w:pPr>
      <w:r>
        <w:t xml:space="preserve">At 82% pass rate, ParaBank's core happy-path functionality across all six tested modules is fundamentally sound — every core positive scenario (successful registration, login, transfer, bill payment, and loan approval) executed correctly. The quality concern is not that core flows are broken, but that edge-case and boundary handling is inconsistent, and that 3 of the 11 defects found are Critical, all involving either direct financial risk (over-draw via race condition, wrongful loan approval) or security (session invalidation). This is a meaningfully different risk profile than a high defect count spread evenly across trivial issues would represent: a small number of defects concentrated at the highest severity level, in the areas Phase 1 and Phase 2 both independently identified as highest business risk, is the central finding of this execution phase.</w:t>
      </w:r>
    </w:p>
    <w:p>
      <w:pPr>
        <w:spacing w:after="100"/>
      </w:pPr>
    </w:p>
    <w:p>
      <w:pPr>
        <w:pStyle w:val="Heading2"/>
        <w:spacing w:after="120" w:before="240"/>
      </w:pPr>
      <w:r>
        <w:t xml:space="preserve">10.4.7 Release Risk Assessment</w:t>
      </w:r>
    </w:p>
    <w:p>
      <w:pPr>
        <w:spacing w:after="120"/>
      </w:pPr>
      <w:r>
        <w:rPr>
          <w:b/>
          <w:bCs/>
          <w:sz w:val="24"/>
          <w:szCs w:val="24"/>
        </w:rPr>
        <w:t xml:space="preserve">Recommendation: RELEASE NOT RECOMMENDED (in current state).</w:t>
      </w:r>
    </w:p>
    <w:p>
      <w:pPr>
        <w:spacing w:after="120"/>
      </w:pPr>
      <w:r>
        <w:t xml:space="preserve">This recommendation is specific to the application's current, unfixed state — it is a statement about today's build, not a permanent verdict, and it is narrower than it may first sound.</w:t>
      </w:r>
    </w:p>
    <w:p>
      <w:pPr>
        <w:pStyle w:val="Heading3"/>
        <w:spacing w:after="100" w:before="200"/>
      </w:pPr>
      <w:r>
        <w:t xml:space="preserve">Justification</w:t>
      </w:r>
    </w:p>
    <w:p>
      <w:pPr>
        <w:pStyle w:val="ListParagraph"/>
        <w:numPr>
          <w:ilvl w:val="0"/>
          <w:numId w:val="1"/>
        </w:numPr>
        <w:spacing w:after="60"/>
      </w:pPr>
      <w:r>
        <w:t xml:space="preserve">Two of the three Critical defects (DEF-005, DEF-007) remain Open with no fix in progress, and both represent direct, quantifiable financial risk: DEF-007 allows an account to be over-drawn through a timing-based race condition, and DEF-005 allows a loan to be approved on terms that should have been automatically rejected. Both are exactly the class of defect the Phase 1 Business Understanding Document identified as carrying the highest cost of failure for a banking application.</w:t>
      </w:r>
    </w:p>
    <w:p>
      <w:pPr>
        <w:pStyle w:val="ListParagraph"/>
        <w:numPr>
          <w:ilvl w:val="0"/>
          <w:numId w:val="1"/>
        </w:numPr>
        <w:spacing w:after="60"/>
      </w:pPr>
      <w:r>
        <w:t xml:space="preserve">The third Critical defect (DEF-008, session not invalidated after logout) is In Progress but not yet Closed and retested; per the Phase 2 Exit Criteria (7.4.8), zero Critical defects should remain open at exit, and this condition is not yet met.</w:t>
      </w:r>
    </w:p>
    <w:p>
      <w:pPr>
        <w:pStyle w:val="ListParagraph"/>
        <w:numPr>
          <w:ilvl w:val="0"/>
          <w:numId w:val="1"/>
        </w:numPr>
        <w:spacing w:after="60"/>
      </w:pPr>
      <w:r>
        <w:t xml:space="preserve">The two defects that have reached Closed status (DEF-002, DEF-003) demonstrate the fix-and-retest cycle works and gives confidence that the remaining Critical defects are fixable within a similar short timeframe — this is a reason for cautious optimism about a near-term release, not a reason to release today.</w:t>
      </w:r>
    </w:p>
    <w:p>
      <w:pPr>
        <w:pStyle w:val="ListParagraph"/>
        <w:numPr>
          <w:ilvl w:val="0"/>
          <w:numId w:val="1"/>
        </w:numPr>
        <w:spacing w:after="60"/>
      </w:pPr>
      <w:r>
        <w:t xml:space="preserve">82% pass rate and a fundamentally sound happy path support that this is a release readiness gap, not a fundamental application quality failure — the recommendation is to fix and retest the 3 Critical defects, not to conclude the application is broadly unreliable.</w:t>
      </w:r>
    </w:p>
    <w:p>
      <w:pPr>
        <w:spacing w:after="120"/>
      </w:pPr>
      <w:r>
        <w:rPr>
          <w:b/>
          <w:bCs/>
        </w:rPr>
        <w:t xml:space="preserve">Conditions for reconsideration: this recommendation would move to Release with Risks or Release Recommended once DEF-005 and DEF-007 are fixed and retested to Closed status, and DEF-008's fix is confirmed and retested rather than left In Progress. The 8 remaining Major/Minor/Trivial defects do not, on their own, justify withholding release, and could reasonably be accepted as known issues with a documented remediation timeline.</w:t>
      </w:r>
    </w:p>
    <w:p>
      <w:pPr>
        <w:spacing w:after="100"/>
      </w:pPr>
    </w:p>
    <w:p>
      <w:pPr>
        <w:pStyle w:val="Heading2"/>
        <w:spacing w:after="120" w:before="240"/>
      </w:pPr>
      <w:r>
        <w:t xml:space="preserve">10.4.8 Defect Triage Workshop</w:t>
      </w:r>
    </w:p>
    <w:p>
      <w:pPr>
        <w:spacing w:after="120"/>
      </w:pPr>
      <w:r>
        <w:t xml:space="preserve">Formal justification for the Severity and Priority assigned to each of the 11 defects, explaining why the rating chosen was correct and not one level higher or lower.</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5140"/>
      </w:tblGrid>
      <w:tr>
        <w:trPr>
          <w:tblHeader/>
        </w:trPr>
        <w:tc>
          <w:tcPr>
            <w:tcW w:type="dxa" w:w="900"/>
            <w:shd w:fill="1F4E5F" w:val="clear"/>
            <w:tcMar>
              <w:top w:type="dxa" w:w="70"/>
              <w:left w:type="dxa" w:w="90"/>
              <w:bottom w:type="dxa" w:w="70"/>
              <w:right w:type="dxa" w:w="90"/>
            </w:tcMar>
          </w:tcPr>
          <w:p>
            <w:r>
              <w:rPr>
                <w:b/>
                <w:bCs/>
                <w:color w:val="FFFFFF"/>
                <w:sz w:val="17"/>
                <w:szCs w:val="17"/>
              </w:rPr>
              <w:t xml:space="preserve">Defect ID</w:t>
            </w:r>
          </w:p>
        </w:tc>
        <w:tc>
          <w:tcPr>
            <w:tcW w:type="dxa" w:w="1600"/>
            <w:shd w:fill="1F4E5F" w:val="clear"/>
            <w:tcMar>
              <w:top w:type="dxa" w:w="70"/>
              <w:left w:type="dxa" w:w="90"/>
              <w:bottom w:type="dxa" w:w="70"/>
              <w:right w:type="dxa" w:w="90"/>
            </w:tcMar>
          </w:tcPr>
          <w:p>
            <w:r>
              <w:rPr>
                <w:b/>
                <w:bCs/>
                <w:color w:val="FFFFFF"/>
                <w:sz w:val="17"/>
                <w:szCs w:val="17"/>
              </w:rPr>
              <w:t xml:space="preserve">Severity Justification</w:t>
            </w:r>
          </w:p>
        </w:tc>
        <w:tc>
          <w:tcPr>
            <w:tcW w:type="dxa" w:w="1600"/>
            <w:shd w:fill="1F4E5F" w:val="clear"/>
            <w:tcMar>
              <w:top w:type="dxa" w:w="70"/>
              <w:left w:type="dxa" w:w="90"/>
              <w:bottom w:type="dxa" w:w="70"/>
              <w:right w:type="dxa" w:w="90"/>
            </w:tcMar>
          </w:tcPr>
          <w:p>
            <w:r>
              <w:rPr>
                <w:b/>
                <w:bCs/>
                <w:color w:val="FFFFFF"/>
                <w:sz w:val="17"/>
                <w:szCs w:val="17"/>
              </w:rPr>
              <w:t xml:space="preserve">Priority Justification</w:t>
            </w:r>
          </w:p>
        </w:tc>
        <w:tc>
          <w:tcPr>
            <w:tcW w:type="dxa" w:w="5140"/>
            <w:shd w:fill="1F4E5F" w:val="clear"/>
            <w:tcMar>
              <w:top w:type="dxa" w:w="70"/>
              <w:left w:type="dxa" w:w="90"/>
              <w:bottom w:type="dxa" w:w="70"/>
              <w:right w:type="dxa" w:w="90"/>
            </w:tcMar>
          </w:tcPr>
          <w:p>
            <w:r>
              <w:rPr>
                <w:b/>
                <w:bCs/>
                <w:color w:val="FFFFFF"/>
                <w:sz w:val="17"/>
                <w:szCs w:val="17"/>
              </w:rPr>
              <w:t xml:space="preserve">Explanation</w:t>
            </w:r>
          </w:p>
        </w:tc>
      </w:tr>
      <w:tr>
        <w:tc>
          <w:tcPr>
            <w:tcW w:type="dxa" w:w="900"/>
            <w:tcMar>
              <w:top w:type="dxa" w:w="70"/>
              <w:left w:type="dxa" w:w="90"/>
              <w:bottom w:type="dxa" w:w="70"/>
              <w:right w:type="dxa" w:w="90"/>
            </w:tcMar>
          </w:tcPr>
          <w:p>
            <w:r>
              <w:rPr>
                <w:b w:val="false"/>
                <w:bCs w:val="false"/>
                <w:sz w:val="17"/>
                <w:szCs w:val="17"/>
              </w:rPr>
              <w:t xml:space="preserve">DEF-001</w:t>
            </w:r>
          </w:p>
        </w:tc>
        <w:tc>
          <w:tcPr>
            <w:tcW w:type="dxa" w:w="1600"/>
            <w:tcMar>
              <w:top w:type="dxa" w:w="70"/>
              <w:left w:type="dxa" w:w="90"/>
              <w:bottom w:type="dxa" w:w="70"/>
              <w:right w:type="dxa" w:w="90"/>
            </w:tcMar>
          </w:tcPr>
          <w:p>
            <w:r>
              <w:rPr>
                <w:b w:val="false"/>
                <w:bCs w:val="false"/>
                <w:sz w:val="17"/>
                <w:szCs w:val="17"/>
              </w:rPr>
              <w:t xml:space="preserve">Major, not Critical</w:t>
            </w:r>
          </w:p>
        </w:tc>
        <w:tc>
          <w:tcPr>
            <w:tcW w:type="dxa" w:w="1600"/>
            <w:tcMar>
              <w:top w:type="dxa" w:w="70"/>
              <w:left w:type="dxa" w:w="90"/>
              <w:bottom w:type="dxa" w:w="70"/>
              <w:right w:type="dxa" w:w="90"/>
            </w:tcMar>
          </w:tcPr>
          <w:p>
            <w:r>
              <w:rPr>
                <w:b w:val="false"/>
                <w:bCs w:val="false"/>
                <w:sz w:val="17"/>
                <w:szCs w:val="17"/>
              </w:rPr>
              <w:t xml:space="preserve">Major, not Critical/High-only</w:t>
            </w:r>
          </w:p>
        </w:tc>
        <w:tc>
          <w:tcPr>
            <w:tcW w:type="dxa" w:w="5140"/>
            <w:tcMar>
              <w:top w:type="dxa" w:w="70"/>
              <w:left w:type="dxa" w:w="90"/>
              <w:bottom w:type="dxa" w:w="70"/>
              <w:right w:type="dxa" w:w="90"/>
            </w:tcMar>
          </w:tcPr>
          <w:p>
            <w:r>
              <w:rPr>
                <w:b w:val="false"/>
                <w:bCs w:val="false"/>
                <w:sz w:val="17"/>
                <w:szCs w:val="17"/>
              </w:rPr>
              <w:t xml:space="preserve">Major because it allows a structurally invalid account (unfunded, undocumented state) to exist, which could cause downstream reconciliation issues — but not Critical, since no existing customer funds are lost or exposed; it is a data-integrity risk rather than an active financial-harm risk. High priority because it should be fixed before release, but does not block other testing.</w:t>
            </w:r>
          </w:p>
        </w:tc>
      </w:tr>
      <w:tr>
        <w:tc>
          <w:tcPr>
            <w:tcW w:type="dxa" w:w="900"/>
            <w:tcMar>
              <w:top w:type="dxa" w:w="70"/>
              <w:left w:type="dxa" w:w="90"/>
              <w:bottom w:type="dxa" w:w="70"/>
              <w:right w:type="dxa" w:w="90"/>
            </w:tcMar>
          </w:tcPr>
          <w:p>
            <w:r>
              <w:rPr>
                <w:b w:val="false"/>
                <w:bCs w:val="false"/>
                <w:sz w:val="17"/>
                <w:szCs w:val="17"/>
              </w:rPr>
              <w:t xml:space="preserve">DEF-002</w:t>
            </w:r>
          </w:p>
        </w:tc>
        <w:tc>
          <w:tcPr>
            <w:tcW w:type="dxa" w:w="1600"/>
            <w:tcMar>
              <w:top w:type="dxa" w:w="70"/>
              <w:left w:type="dxa" w:w="90"/>
              <w:bottom w:type="dxa" w:w="70"/>
              <w:right w:type="dxa" w:w="90"/>
            </w:tcMar>
          </w:tcPr>
          <w:p>
            <w:r>
              <w:rPr>
                <w:b w:val="false"/>
                <w:bCs w:val="false"/>
                <w:sz w:val="17"/>
                <w:szCs w:val="17"/>
              </w:rPr>
              <w:t xml:space="preserve">Major, not Critical</w:t>
            </w:r>
          </w:p>
        </w:tc>
        <w:tc>
          <w:tcPr>
            <w:tcW w:type="dxa" w:w="1600"/>
            <w:tcMar>
              <w:top w:type="dxa" w:w="70"/>
              <w:left w:type="dxa" w:w="90"/>
              <w:bottom w:type="dxa" w:w="70"/>
              <w:right w:type="dxa" w:w="90"/>
            </w:tcMar>
          </w:tcPr>
          <w:p>
            <w:r>
              <w:rPr>
                <w:b w:val="false"/>
                <w:bCs w:val="false"/>
                <w:sz w:val="17"/>
                <w:szCs w:val="17"/>
              </w:rPr>
              <w:t xml:space="preserve">High, not Medium</w:t>
            </w:r>
          </w:p>
        </w:tc>
        <w:tc>
          <w:tcPr>
            <w:tcW w:type="dxa" w:w="5140"/>
            <w:tcMar>
              <w:top w:type="dxa" w:w="70"/>
              <w:left w:type="dxa" w:w="90"/>
              <w:bottom w:type="dxa" w:w="70"/>
              <w:right w:type="dxa" w:w="90"/>
            </w:tcMar>
          </w:tcPr>
          <w:p>
            <w:r>
              <w:rPr>
                <w:b w:val="false"/>
                <w:bCs w:val="false"/>
                <w:sz w:val="17"/>
                <w:szCs w:val="17"/>
              </w:rPr>
              <w:t xml:space="preserve">Major because it incorrectly blocks a completely legitimate customer transaction at a common, predictable value (exact balance) — a real usability and trust failure — but not Critical, since it fails safe (rejects rather than corrupts data) and has a simple, obvious workaround (transfer $0.01 less). High priority because exact-balance transfers are a realistic, frequent customer scenario, not a rare edge case.</w:t>
            </w:r>
          </w:p>
        </w:tc>
      </w:tr>
      <w:tr>
        <w:tc>
          <w:tcPr>
            <w:tcW w:type="dxa" w:w="900"/>
            <w:tcMar>
              <w:top w:type="dxa" w:w="70"/>
              <w:left w:type="dxa" w:w="90"/>
              <w:bottom w:type="dxa" w:w="70"/>
              <w:right w:type="dxa" w:w="90"/>
            </w:tcMar>
          </w:tcPr>
          <w:p>
            <w:r>
              <w:rPr>
                <w:b w:val="false"/>
                <w:bCs w:val="false"/>
                <w:sz w:val="17"/>
                <w:szCs w:val="17"/>
              </w:rPr>
              <w:t xml:space="preserve">DEF-003</w:t>
            </w:r>
          </w:p>
        </w:tc>
        <w:tc>
          <w:tcPr>
            <w:tcW w:type="dxa" w:w="1600"/>
            <w:tcMar>
              <w:top w:type="dxa" w:w="70"/>
              <w:left w:type="dxa" w:w="90"/>
              <w:bottom w:type="dxa" w:w="70"/>
              <w:right w:type="dxa" w:w="90"/>
            </w:tcMar>
          </w:tcPr>
          <w:p>
            <w:r>
              <w:rPr>
                <w:b w:val="false"/>
                <w:bCs w:val="false"/>
                <w:sz w:val="17"/>
                <w:szCs w:val="17"/>
              </w:rPr>
              <w:t xml:space="preserve">Minor, not Major</w:t>
            </w:r>
          </w:p>
        </w:tc>
        <w:tc>
          <w:tcPr>
            <w:tcW w:type="dxa" w:w="1600"/>
            <w:tcMar>
              <w:top w:type="dxa" w:w="70"/>
              <w:left w:type="dxa" w:w="90"/>
              <w:bottom w:type="dxa" w:w="70"/>
              <w:right w:type="dxa" w:w="90"/>
            </w:tcMar>
          </w:tcPr>
          <w:p>
            <w:r>
              <w:rPr>
                <w:b w:val="false"/>
                <w:bCs w:val="false"/>
                <w:sz w:val="17"/>
                <w:szCs w:val="17"/>
              </w:rPr>
              <w:t xml:space="preserve">Low, not Medium</w:t>
            </w:r>
          </w:p>
        </w:tc>
        <w:tc>
          <w:tcPr>
            <w:tcW w:type="dxa" w:w="5140"/>
            <w:tcMar>
              <w:top w:type="dxa" w:w="70"/>
              <w:left w:type="dxa" w:w="90"/>
              <w:bottom w:type="dxa" w:w="70"/>
              <w:right w:type="dxa" w:w="90"/>
            </w:tcMar>
          </w:tcPr>
          <w:p>
            <w:r>
              <w:rPr>
                <w:b w:val="false"/>
                <w:bCs w:val="false"/>
                <w:sz w:val="17"/>
                <w:szCs w:val="17"/>
              </w:rPr>
              <w:t xml:space="preserve">Minor because the transaction is technically harmless (money moves from an account to itself, net effect zero) and creates only a confusing record, not financial loss. Low priority because it has no financial or security consequence and can reasonably wait behind every other open defect.</w:t>
            </w:r>
          </w:p>
        </w:tc>
      </w:tr>
      <w:tr>
        <w:tc>
          <w:tcPr>
            <w:tcW w:type="dxa" w:w="900"/>
            <w:tcMar>
              <w:top w:type="dxa" w:w="70"/>
              <w:left w:type="dxa" w:w="90"/>
              <w:bottom w:type="dxa" w:w="70"/>
              <w:right w:type="dxa" w:w="90"/>
            </w:tcMar>
          </w:tcPr>
          <w:p>
            <w:r>
              <w:rPr>
                <w:b w:val="false"/>
                <w:bCs w:val="false"/>
                <w:sz w:val="17"/>
                <w:szCs w:val="17"/>
              </w:rPr>
              <w:t xml:space="preserve">DEF-004</w:t>
            </w:r>
          </w:p>
        </w:tc>
        <w:tc>
          <w:tcPr>
            <w:tcW w:type="dxa" w:w="1600"/>
            <w:tcMar>
              <w:top w:type="dxa" w:w="70"/>
              <w:left w:type="dxa" w:w="90"/>
              <w:bottom w:type="dxa" w:w="70"/>
              <w:right w:type="dxa" w:w="90"/>
            </w:tcMar>
          </w:tcPr>
          <w:p>
            <w:r>
              <w:rPr>
                <w:b w:val="false"/>
                <w:bCs w:val="false"/>
                <w:sz w:val="17"/>
                <w:szCs w:val="17"/>
              </w:rPr>
              <w:t xml:space="preserve">Major, not Critical</w:t>
            </w:r>
          </w:p>
        </w:tc>
        <w:tc>
          <w:tcPr>
            <w:tcW w:type="dxa" w:w="1600"/>
            <w:tcMar>
              <w:top w:type="dxa" w:w="70"/>
              <w:left w:type="dxa" w:w="90"/>
              <w:bottom w:type="dxa" w:w="70"/>
              <w:right w:type="dxa" w:w="90"/>
            </w:tcMar>
          </w:tcPr>
          <w:p>
            <w:r>
              <w:rPr>
                <w:b w:val="false"/>
                <w:bCs w:val="false"/>
                <w:sz w:val="17"/>
                <w:szCs w:val="17"/>
              </w:rPr>
              <w:t xml:space="preserve">High, not Medium</w:t>
            </w:r>
          </w:p>
        </w:tc>
        <w:tc>
          <w:tcPr>
            <w:tcW w:type="dxa" w:w="5140"/>
            <w:tcMar>
              <w:top w:type="dxa" w:w="70"/>
              <w:left w:type="dxa" w:w="90"/>
              <w:bottom w:type="dxa" w:w="70"/>
              <w:right w:type="dxa" w:w="90"/>
            </w:tcMar>
          </w:tcPr>
          <w:p>
            <w:r>
              <w:rPr>
                <w:b w:val="false"/>
                <w:bCs w:val="false"/>
                <w:sz w:val="17"/>
                <w:szCs w:val="17"/>
              </w:rPr>
              <w:t xml:space="preserve">Major because an unvalidated payee account number could result in a payment that is unrecoverable if sent to a real but unintended account number, which is a genuine financial risk to the customer — but not Critical, since it requires an already-invalid or mistyped account number rather than being exploitable at will. High priority given the direct financial exposure once triggered.</w:t>
            </w:r>
          </w:p>
        </w:tc>
      </w:tr>
      <w:tr>
        <w:tc>
          <w:tcPr>
            <w:tcW w:type="dxa" w:w="900"/>
            <w:tcMar>
              <w:top w:type="dxa" w:w="70"/>
              <w:left w:type="dxa" w:w="90"/>
              <w:bottom w:type="dxa" w:w="70"/>
              <w:right w:type="dxa" w:w="90"/>
            </w:tcMar>
          </w:tcPr>
          <w:p>
            <w:r>
              <w:rPr>
                <w:b w:val="false"/>
                <w:bCs w:val="false"/>
                <w:sz w:val="17"/>
                <w:szCs w:val="17"/>
              </w:rPr>
              <w:t xml:space="preserve">DEF-005</w:t>
            </w:r>
          </w:p>
        </w:tc>
        <w:tc>
          <w:tcPr>
            <w:tcW w:type="dxa" w:w="1600"/>
            <w:tcMar>
              <w:top w:type="dxa" w:w="70"/>
              <w:left w:type="dxa" w:w="90"/>
              <w:bottom w:type="dxa" w:w="70"/>
              <w:right w:type="dxa" w:w="90"/>
            </w:tcMar>
          </w:tcPr>
          <w:p>
            <w:r>
              <w:rPr>
                <w:b w:val="false"/>
                <w:bCs w:val="false"/>
                <w:sz w:val="17"/>
                <w:szCs w:val="17"/>
              </w:rPr>
              <w:t xml:space="preserve">Critical</w:t>
            </w:r>
          </w:p>
        </w:tc>
        <w:tc>
          <w:tcPr>
            <w:tcW w:type="dxa" w:w="1600"/>
            <w:tcMar>
              <w:top w:type="dxa" w:w="70"/>
              <w:left w:type="dxa" w:w="90"/>
              <w:bottom w:type="dxa" w:w="70"/>
              <w:right w:type="dxa" w:w="90"/>
            </w:tcMar>
          </w:tcPr>
          <w:p>
            <w:r>
              <w:rPr>
                <w:b w:val="false"/>
                <w:bCs w:val="false"/>
                <w:sz w:val="17"/>
                <w:szCs w:val="17"/>
              </w:rPr>
              <w:t xml:space="preserve">High</w:t>
            </w:r>
          </w:p>
        </w:tc>
        <w:tc>
          <w:tcPr>
            <w:tcW w:type="dxa" w:w="5140"/>
            <w:tcMar>
              <w:top w:type="dxa" w:w="70"/>
              <w:left w:type="dxa" w:w="90"/>
              <w:bottom w:type="dxa" w:w="70"/>
              <w:right w:type="dxa" w:w="90"/>
            </w:tcMar>
          </w:tcPr>
          <w:p>
            <w:r>
              <w:rPr>
                <w:b w:val="false"/>
                <w:bCs w:val="false"/>
                <w:sz w:val="17"/>
                <w:szCs w:val="17"/>
              </w:rPr>
              <w:t xml:space="preserve">Critical because it allows the lending decision logic to be bypassed entirely on a case that should be mathematically impossible to approve (down payment exceeding the loan itself), representing a direct, quantifiable financial risk to the bank's lending exposure with no customer action required beyond a single form submission. High priority is the natural pairing with Critical severity for a financial logic defect.</w:t>
            </w:r>
          </w:p>
        </w:tc>
      </w:tr>
      <w:tr>
        <w:tc>
          <w:tcPr>
            <w:tcW w:type="dxa" w:w="900"/>
            <w:tcMar>
              <w:top w:type="dxa" w:w="70"/>
              <w:left w:type="dxa" w:w="90"/>
              <w:bottom w:type="dxa" w:w="70"/>
              <w:right w:type="dxa" w:w="90"/>
            </w:tcMar>
          </w:tcPr>
          <w:p>
            <w:r>
              <w:rPr>
                <w:b w:val="false"/>
                <w:bCs w:val="false"/>
                <w:sz w:val="17"/>
                <w:szCs w:val="17"/>
              </w:rPr>
              <w:t xml:space="preserve">DEF-006</w:t>
            </w:r>
          </w:p>
        </w:tc>
        <w:tc>
          <w:tcPr>
            <w:tcW w:type="dxa" w:w="1600"/>
            <w:tcMar>
              <w:top w:type="dxa" w:w="70"/>
              <w:left w:type="dxa" w:w="90"/>
              <w:bottom w:type="dxa" w:w="70"/>
              <w:right w:type="dxa" w:w="90"/>
            </w:tcMar>
          </w:tcPr>
          <w:p>
            <w:r>
              <w:rPr>
                <w:b w:val="false"/>
                <w:bCs w:val="false"/>
                <w:sz w:val="17"/>
                <w:szCs w:val="17"/>
              </w:rPr>
              <w:t xml:space="preserve">Minor, not Major</w:t>
            </w:r>
          </w:p>
        </w:tc>
        <w:tc>
          <w:tcPr>
            <w:tcW w:type="dxa" w:w="1600"/>
            <w:tcMar>
              <w:top w:type="dxa" w:w="70"/>
              <w:left w:type="dxa" w:w="90"/>
              <w:bottom w:type="dxa" w:w="70"/>
              <w:right w:type="dxa" w:w="90"/>
            </w:tcMar>
          </w:tcPr>
          <w:p>
            <w:r>
              <w:rPr>
                <w:b w:val="false"/>
                <w:bCs w:val="false"/>
                <w:sz w:val="17"/>
                <w:szCs w:val="17"/>
              </w:rPr>
              <w:t xml:space="preserve">Medium, not Low</w:t>
            </w:r>
          </w:p>
        </w:tc>
        <w:tc>
          <w:tcPr>
            <w:tcW w:type="dxa" w:w="5140"/>
            <w:tcMar>
              <w:top w:type="dxa" w:w="70"/>
              <w:left w:type="dxa" w:w="90"/>
              <w:bottom w:type="dxa" w:w="70"/>
              <w:right w:type="dxa" w:w="90"/>
            </w:tcMar>
          </w:tcPr>
          <w:p>
            <w:r>
              <w:rPr>
                <w:b w:val="false"/>
                <w:bCs w:val="false"/>
                <w:sz w:val="17"/>
                <w:szCs w:val="17"/>
              </w:rPr>
              <w:t xml:space="preserve">Minor because it does not cause data loss or financial harm on its own — but Medium rather than Low priority, since a duplicate identity could later complicate login, support, or account-recovery processes in ways that are inconvenient rather than urgent, warranting a fix before release without demanding immediate attention.</w:t>
            </w:r>
          </w:p>
        </w:tc>
      </w:tr>
      <w:tr>
        <w:tc>
          <w:tcPr>
            <w:tcW w:type="dxa" w:w="900"/>
            <w:tcMar>
              <w:top w:type="dxa" w:w="70"/>
              <w:left w:type="dxa" w:w="90"/>
              <w:bottom w:type="dxa" w:w="70"/>
              <w:right w:type="dxa" w:w="90"/>
            </w:tcMar>
          </w:tcPr>
          <w:p>
            <w:r>
              <w:rPr>
                <w:b w:val="false"/>
                <w:bCs w:val="false"/>
                <w:sz w:val="17"/>
                <w:szCs w:val="17"/>
              </w:rPr>
              <w:t xml:space="preserve">DEF-007</w:t>
            </w:r>
          </w:p>
        </w:tc>
        <w:tc>
          <w:tcPr>
            <w:tcW w:type="dxa" w:w="1600"/>
            <w:tcMar>
              <w:top w:type="dxa" w:w="70"/>
              <w:left w:type="dxa" w:w="90"/>
              <w:bottom w:type="dxa" w:w="70"/>
              <w:right w:type="dxa" w:w="90"/>
            </w:tcMar>
          </w:tcPr>
          <w:p>
            <w:r>
              <w:rPr>
                <w:b w:val="false"/>
                <w:bCs w:val="false"/>
                <w:sz w:val="17"/>
                <w:szCs w:val="17"/>
              </w:rPr>
              <w:t xml:space="preserve">Critical</w:t>
            </w:r>
          </w:p>
        </w:tc>
        <w:tc>
          <w:tcPr>
            <w:tcW w:type="dxa" w:w="1600"/>
            <w:tcMar>
              <w:top w:type="dxa" w:w="70"/>
              <w:left w:type="dxa" w:w="90"/>
              <w:bottom w:type="dxa" w:w="70"/>
              <w:right w:type="dxa" w:w="90"/>
            </w:tcMar>
          </w:tcPr>
          <w:p>
            <w:r>
              <w:rPr>
                <w:b w:val="false"/>
                <w:bCs w:val="false"/>
                <w:sz w:val="17"/>
                <w:szCs w:val="17"/>
              </w:rPr>
              <w:t xml:space="preserve">High</w:t>
            </w:r>
          </w:p>
        </w:tc>
        <w:tc>
          <w:tcPr>
            <w:tcW w:type="dxa" w:w="5140"/>
            <w:tcMar>
              <w:top w:type="dxa" w:w="70"/>
              <w:left w:type="dxa" w:w="90"/>
              <w:bottom w:type="dxa" w:w="70"/>
              <w:right w:type="dxa" w:w="90"/>
            </w:tcMar>
          </w:tcPr>
          <w:p>
            <w:r>
              <w:rPr>
                <w:b w:val="false"/>
                <w:bCs w:val="false"/>
                <w:sz w:val="17"/>
                <w:szCs w:val="17"/>
              </w:rPr>
              <w:t xml:space="preserve">Critical because it allows an account to be over-drawn through normal customer usage (two quick, plausible actions) rather than a contrived attack, meaning it could occur in real production usage without any malicious intent — this is the clearest direct-financial-harm defect in the entire defect set. High priority is the only defensible pairing for a defect of this severity.</w:t>
            </w:r>
          </w:p>
        </w:tc>
      </w:tr>
      <w:tr>
        <w:tc>
          <w:tcPr>
            <w:tcW w:type="dxa" w:w="900"/>
            <w:tcMar>
              <w:top w:type="dxa" w:w="70"/>
              <w:left w:type="dxa" w:w="90"/>
              <w:bottom w:type="dxa" w:w="70"/>
              <w:right w:type="dxa" w:w="90"/>
            </w:tcMar>
          </w:tcPr>
          <w:p>
            <w:r>
              <w:rPr>
                <w:b w:val="false"/>
                <w:bCs w:val="false"/>
                <w:sz w:val="17"/>
                <w:szCs w:val="17"/>
              </w:rPr>
              <w:t xml:space="preserve">DEF-008</w:t>
            </w:r>
          </w:p>
        </w:tc>
        <w:tc>
          <w:tcPr>
            <w:tcW w:type="dxa" w:w="1600"/>
            <w:tcMar>
              <w:top w:type="dxa" w:w="70"/>
              <w:left w:type="dxa" w:w="90"/>
              <w:bottom w:type="dxa" w:w="70"/>
              <w:right w:type="dxa" w:w="90"/>
            </w:tcMar>
          </w:tcPr>
          <w:p>
            <w:r>
              <w:rPr>
                <w:b w:val="false"/>
                <w:bCs w:val="false"/>
                <w:sz w:val="17"/>
                <w:szCs w:val="17"/>
              </w:rPr>
              <w:t xml:space="preserve">Critical</w:t>
            </w:r>
          </w:p>
        </w:tc>
        <w:tc>
          <w:tcPr>
            <w:tcW w:type="dxa" w:w="1600"/>
            <w:tcMar>
              <w:top w:type="dxa" w:w="70"/>
              <w:left w:type="dxa" w:w="90"/>
              <w:bottom w:type="dxa" w:w="70"/>
              <w:right w:type="dxa" w:w="90"/>
            </w:tcMar>
          </w:tcPr>
          <w:p>
            <w:r>
              <w:rPr>
                <w:b w:val="false"/>
                <w:bCs w:val="false"/>
                <w:sz w:val="17"/>
                <w:szCs w:val="17"/>
              </w:rPr>
              <w:t xml:space="preserve">High</w:t>
            </w:r>
          </w:p>
        </w:tc>
        <w:tc>
          <w:tcPr>
            <w:tcW w:type="dxa" w:w="5140"/>
            <w:tcMar>
              <w:top w:type="dxa" w:w="70"/>
              <w:left w:type="dxa" w:w="90"/>
              <w:bottom w:type="dxa" w:w="70"/>
              <w:right w:type="dxa" w:w="90"/>
            </w:tcMar>
          </w:tcPr>
          <w:p>
            <w:r>
              <w:rPr>
                <w:b w:val="false"/>
                <w:bCs w:val="false"/>
                <w:sz w:val="17"/>
                <w:szCs w:val="17"/>
              </w:rPr>
              <w:t xml:space="preserve">Critical because session/security defects carry disproportionate risk relative to their apparent simplicity — even a brief window of cached account data exposure on a shared or public device is a real privacy and security failure for a banking application, matching the Phase 1 Business Understanding's explicit flag that security defects carry severe reputational and regulatory consequence. High priority given the security classification.</w:t>
            </w:r>
          </w:p>
        </w:tc>
      </w:tr>
      <w:tr>
        <w:tc>
          <w:tcPr>
            <w:tcW w:type="dxa" w:w="900"/>
            <w:tcMar>
              <w:top w:type="dxa" w:w="70"/>
              <w:left w:type="dxa" w:w="90"/>
              <w:bottom w:type="dxa" w:w="70"/>
              <w:right w:type="dxa" w:w="90"/>
            </w:tcMar>
          </w:tcPr>
          <w:p>
            <w:r>
              <w:rPr>
                <w:b w:val="false"/>
                <w:bCs w:val="false"/>
                <w:sz w:val="17"/>
                <w:szCs w:val="17"/>
              </w:rPr>
              <w:t xml:space="preserve">DEF-009</w:t>
            </w:r>
          </w:p>
        </w:tc>
        <w:tc>
          <w:tcPr>
            <w:tcW w:type="dxa" w:w="1600"/>
            <w:tcMar>
              <w:top w:type="dxa" w:w="70"/>
              <w:left w:type="dxa" w:w="90"/>
              <w:bottom w:type="dxa" w:w="70"/>
              <w:right w:type="dxa" w:w="90"/>
            </w:tcMar>
          </w:tcPr>
          <w:p>
            <w:r>
              <w:rPr>
                <w:b w:val="false"/>
                <w:bCs w:val="false"/>
                <w:sz w:val="17"/>
                <w:szCs w:val="17"/>
              </w:rPr>
              <w:t xml:space="preserve">Major, not Critical</w:t>
            </w:r>
          </w:p>
        </w:tc>
        <w:tc>
          <w:tcPr>
            <w:tcW w:type="dxa" w:w="1600"/>
            <w:tcMar>
              <w:top w:type="dxa" w:w="70"/>
              <w:left w:type="dxa" w:w="90"/>
              <w:bottom w:type="dxa" w:w="70"/>
              <w:right w:type="dxa" w:w="90"/>
            </w:tcMar>
          </w:tcPr>
          <w:p>
            <w:r>
              <w:rPr>
                <w:b w:val="false"/>
                <w:bCs w:val="false"/>
                <w:sz w:val="17"/>
                <w:szCs w:val="17"/>
              </w:rPr>
              <w:t xml:space="preserve">Medium, not High</w:t>
            </w:r>
          </w:p>
        </w:tc>
        <w:tc>
          <w:tcPr>
            <w:tcW w:type="dxa" w:w="5140"/>
            <w:tcMar>
              <w:top w:type="dxa" w:w="70"/>
              <w:left w:type="dxa" w:w="90"/>
              <w:bottom w:type="dxa" w:w="70"/>
              <w:right w:type="dxa" w:w="90"/>
            </w:tcMar>
          </w:tcPr>
          <w:p>
            <w:r>
              <w:rPr>
                <w:b w:val="false"/>
                <w:bCs w:val="false"/>
                <w:sz w:val="17"/>
                <w:szCs w:val="17"/>
              </w:rPr>
              <w:t xml:space="preserve">Major because it represents a genuine, systemic gap in a mandatory field's validation, not a cosmetic issue — but not Critical, since an unvalidated SSN does not itself cause financial loss or unauthorized access; it is a data-quality and potential compliance concern. Medium priority reflects real but non-urgent risk relative to the financial/security Critical defects.</w:t>
            </w:r>
          </w:p>
        </w:tc>
      </w:tr>
      <w:tr>
        <w:tc>
          <w:tcPr>
            <w:tcW w:type="dxa" w:w="900"/>
            <w:tcMar>
              <w:top w:type="dxa" w:w="70"/>
              <w:left w:type="dxa" w:w="90"/>
              <w:bottom w:type="dxa" w:w="70"/>
              <w:right w:type="dxa" w:w="90"/>
            </w:tcMar>
          </w:tcPr>
          <w:p>
            <w:r>
              <w:rPr>
                <w:b w:val="false"/>
                <w:bCs w:val="false"/>
                <w:sz w:val="17"/>
                <w:szCs w:val="17"/>
              </w:rPr>
              <w:t xml:space="preserve">DEF-010</w:t>
            </w:r>
          </w:p>
        </w:tc>
        <w:tc>
          <w:tcPr>
            <w:tcW w:type="dxa" w:w="1600"/>
            <w:tcMar>
              <w:top w:type="dxa" w:w="70"/>
              <w:left w:type="dxa" w:w="90"/>
              <w:bottom w:type="dxa" w:w="70"/>
              <w:right w:type="dxa" w:w="90"/>
            </w:tcMar>
          </w:tcPr>
          <w:p>
            <w:r>
              <w:rPr>
                <w:b w:val="false"/>
                <w:bCs w:val="false"/>
                <w:sz w:val="17"/>
                <w:szCs w:val="17"/>
              </w:rPr>
              <w:t xml:space="preserve">Major, not Critical</w:t>
            </w:r>
          </w:p>
        </w:tc>
        <w:tc>
          <w:tcPr>
            <w:tcW w:type="dxa" w:w="1600"/>
            <w:tcMar>
              <w:top w:type="dxa" w:w="70"/>
              <w:left w:type="dxa" w:w="90"/>
              <w:bottom w:type="dxa" w:w="70"/>
              <w:right w:type="dxa" w:w="90"/>
            </w:tcMar>
          </w:tcPr>
          <w:p>
            <w:r>
              <w:rPr>
                <w:b w:val="false"/>
                <w:bCs w:val="false"/>
                <w:sz w:val="17"/>
                <w:szCs w:val="17"/>
              </w:rPr>
              <w:t xml:space="preserve">Medium, not High</w:t>
            </w:r>
          </w:p>
        </w:tc>
        <w:tc>
          <w:tcPr>
            <w:tcW w:type="dxa" w:w="5140"/>
            <w:tcMar>
              <w:top w:type="dxa" w:w="70"/>
              <w:left w:type="dxa" w:w="90"/>
              <w:bottom w:type="dxa" w:w="70"/>
              <w:right w:type="dxa" w:w="90"/>
            </w:tcMar>
          </w:tcPr>
          <w:p>
            <w:r>
              <w:rPr>
                <w:b w:val="false"/>
                <w:bCs w:val="false"/>
                <w:sz w:val="17"/>
                <w:szCs w:val="17"/>
              </w:rPr>
              <w:t xml:space="preserve">Major because username enumeration is a legitimate security weakness that could assist a real attacker in a credential-stuffing attempt — but not Critical, since it does not itself grant unauthorized access; it only makes a subsequent attack marginally easier to target. Medium priority reflects a real but indirect security risk rather than an immediate, exploitable breach.</w:t>
            </w:r>
          </w:p>
        </w:tc>
      </w:tr>
      <w:tr>
        <w:tc>
          <w:tcPr>
            <w:tcW w:type="dxa" w:w="900"/>
            <w:tcMar>
              <w:top w:type="dxa" w:w="70"/>
              <w:left w:type="dxa" w:w="90"/>
              <w:bottom w:type="dxa" w:w="70"/>
              <w:right w:type="dxa" w:w="90"/>
            </w:tcMar>
          </w:tcPr>
          <w:p>
            <w:r>
              <w:rPr>
                <w:b w:val="false"/>
                <w:bCs w:val="false"/>
                <w:sz w:val="17"/>
                <w:szCs w:val="17"/>
              </w:rPr>
              <w:t xml:space="preserve">DEF-011</w:t>
            </w:r>
          </w:p>
        </w:tc>
        <w:tc>
          <w:tcPr>
            <w:tcW w:type="dxa" w:w="1600"/>
            <w:tcMar>
              <w:top w:type="dxa" w:w="70"/>
              <w:left w:type="dxa" w:w="90"/>
              <w:bottom w:type="dxa" w:w="70"/>
              <w:right w:type="dxa" w:w="90"/>
            </w:tcMar>
          </w:tcPr>
          <w:p>
            <w:r>
              <w:rPr>
                <w:b w:val="false"/>
                <w:bCs w:val="false"/>
                <w:sz w:val="17"/>
                <w:szCs w:val="17"/>
              </w:rPr>
              <w:t xml:space="preserve">Trivial, not Minor</w:t>
            </w:r>
          </w:p>
        </w:tc>
        <w:tc>
          <w:tcPr>
            <w:tcW w:type="dxa" w:w="1600"/>
            <w:tcMar>
              <w:top w:type="dxa" w:w="70"/>
              <w:left w:type="dxa" w:w="90"/>
              <w:bottom w:type="dxa" w:w="70"/>
              <w:right w:type="dxa" w:w="90"/>
            </w:tcMar>
          </w:tcPr>
          <w:p>
            <w:r>
              <w:rPr>
                <w:b w:val="false"/>
                <w:bCs w:val="false"/>
                <w:sz w:val="17"/>
                <w:szCs w:val="17"/>
              </w:rPr>
              <w:t xml:space="preserve">Low</w:t>
            </w:r>
          </w:p>
        </w:tc>
        <w:tc>
          <w:tcPr>
            <w:tcW w:type="dxa" w:w="5140"/>
            <w:tcMar>
              <w:top w:type="dxa" w:w="70"/>
              <w:left w:type="dxa" w:w="90"/>
              <w:bottom w:type="dxa" w:w="70"/>
              <w:right w:type="dxa" w:w="90"/>
            </w:tcMar>
          </w:tcPr>
          <w:p>
            <w:r>
              <w:rPr>
                <w:b w:val="false"/>
                <w:bCs w:val="false"/>
                <w:sz w:val="17"/>
                <w:szCs w:val="17"/>
              </w:rPr>
              <w:t xml:space="preserve">Trivial because the defect is purely cosmetic (a display/layout issue) with zero functional or financial consequence — the payment itself still processes correctly. Low priority is the only defensible rating for a display-only issue with no user-facing harm beyond an oddly formatted confirmation page.</w:t>
            </w:r>
          </w:p>
        </w:tc>
      </w:tr>
    </w:tbl>
    <w:p>
      <w:pPr>
        <w:spacing w:after="100"/>
      </w:pPr>
    </w:p>
    <w:p>
      <w:pPr>
        <w:pStyle w:val="Heading2"/>
        <w:spacing w:after="120" w:before="240"/>
      </w:pPr>
      <w:r>
        <w:t xml:space="preserve">10.4.9 Root Cause Analysis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540"/>
      </w:tblGrid>
      <w:tr>
        <w:trPr>
          <w:tblHeader/>
        </w:trPr>
        <w:tc>
          <w:tcPr>
            <w:tcW w:type="dxa" w:w="900"/>
            <w:shd w:fill="1F4E5F" w:val="clear"/>
            <w:tcMar>
              <w:top w:type="dxa" w:w="70"/>
              <w:left w:type="dxa" w:w="90"/>
              <w:bottom w:type="dxa" w:w="70"/>
              <w:right w:type="dxa" w:w="90"/>
            </w:tcMar>
          </w:tcPr>
          <w:p>
            <w:r>
              <w:rPr>
                <w:b/>
                <w:bCs/>
                <w:color w:val="FFFFFF"/>
                <w:sz w:val="17"/>
                <w:szCs w:val="17"/>
              </w:rPr>
              <w:t xml:space="preserve">Defect ID</w:t>
            </w:r>
          </w:p>
        </w:tc>
        <w:tc>
          <w:tcPr>
            <w:tcW w:type="dxa" w:w="1800"/>
            <w:shd w:fill="1F4E5F" w:val="clear"/>
            <w:tcMar>
              <w:top w:type="dxa" w:w="70"/>
              <w:left w:type="dxa" w:w="90"/>
              <w:bottom w:type="dxa" w:w="70"/>
              <w:right w:type="dxa" w:w="90"/>
            </w:tcMar>
          </w:tcPr>
          <w:p>
            <w:r>
              <w:rPr>
                <w:b/>
                <w:bCs/>
                <w:color w:val="FFFFFF"/>
                <w:sz w:val="17"/>
                <w:szCs w:val="17"/>
              </w:rPr>
              <w:t xml:space="preserve">Root Cause Category</w:t>
            </w:r>
          </w:p>
        </w:tc>
        <w:tc>
          <w:tcPr>
            <w:tcW w:type="dxa" w:w="6540"/>
            <w:shd w:fill="1F4E5F" w:val="clear"/>
            <w:tcMar>
              <w:top w:type="dxa" w:w="70"/>
              <w:left w:type="dxa" w:w="90"/>
              <w:bottom w:type="dxa" w:w="70"/>
              <w:right w:type="dxa" w:w="90"/>
            </w:tcMar>
          </w:tcPr>
          <w:p>
            <w:r>
              <w:rPr>
                <w:b/>
                <w:bCs/>
                <w:color w:val="FFFFFF"/>
                <w:sz w:val="17"/>
                <w:szCs w:val="17"/>
              </w:rPr>
              <w:t xml:space="preserve">Explanation</w:t>
            </w:r>
          </w:p>
        </w:tc>
      </w:tr>
      <w:tr>
        <w:tc>
          <w:tcPr>
            <w:tcW w:type="dxa" w:w="900"/>
            <w:tcMar>
              <w:top w:type="dxa" w:w="70"/>
              <w:left w:type="dxa" w:w="90"/>
              <w:bottom w:type="dxa" w:w="70"/>
              <w:right w:type="dxa" w:w="90"/>
            </w:tcMar>
          </w:tcPr>
          <w:p>
            <w:r>
              <w:rPr>
                <w:b w:val="false"/>
                <w:bCs w:val="false"/>
                <w:sz w:val="17"/>
                <w:szCs w:val="17"/>
              </w:rPr>
              <w:t xml:space="preserve">DEF-001</w:t>
            </w:r>
          </w:p>
        </w:tc>
        <w:tc>
          <w:tcPr>
            <w:tcW w:type="dxa" w:w="1800"/>
            <w:tcMar>
              <w:top w:type="dxa" w:w="70"/>
              <w:left w:type="dxa" w:w="90"/>
              <w:bottom w:type="dxa" w:w="70"/>
              <w:right w:type="dxa" w:w="90"/>
            </w:tcMar>
          </w:tcPr>
          <w:p>
            <w:r>
              <w:rPr>
                <w:b w:val="false"/>
                <w:bCs w:val="false"/>
                <w:sz w:val="17"/>
                <w:szCs w:val="17"/>
              </w:rPr>
              <w:t xml:space="preserve">Requirement Issue</w:t>
            </w:r>
          </w:p>
        </w:tc>
        <w:tc>
          <w:tcPr>
            <w:tcW w:type="dxa" w:w="6540"/>
            <w:tcMar>
              <w:top w:type="dxa" w:w="70"/>
              <w:left w:type="dxa" w:w="90"/>
              <w:bottom w:type="dxa" w:w="70"/>
              <w:right w:type="dxa" w:w="90"/>
            </w:tcMar>
          </w:tcPr>
          <w:p>
            <w:r>
              <w:rPr>
                <w:b w:val="false"/>
                <w:bCs w:val="false"/>
                <w:sz w:val="17"/>
                <w:szCs w:val="17"/>
              </w:rPr>
              <w:t xml:space="preserve">The Phase 1 gap on minimum opening deposit was never resolved before development, so no validation rule existed to implement in the first place.</w:t>
            </w:r>
          </w:p>
        </w:tc>
      </w:tr>
      <w:tr>
        <w:tc>
          <w:tcPr>
            <w:tcW w:type="dxa" w:w="900"/>
            <w:tcMar>
              <w:top w:type="dxa" w:w="70"/>
              <w:left w:type="dxa" w:w="90"/>
              <w:bottom w:type="dxa" w:w="70"/>
              <w:right w:type="dxa" w:w="90"/>
            </w:tcMar>
          </w:tcPr>
          <w:p>
            <w:r>
              <w:rPr>
                <w:b w:val="false"/>
                <w:bCs w:val="false"/>
                <w:sz w:val="17"/>
                <w:szCs w:val="17"/>
              </w:rPr>
              <w:t xml:space="preserve">DEF-002</w:t>
            </w:r>
          </w:p>
        </w:tc>
        <w:tc>
          <w:tcPr>
            <w:tcW w:type="dxa" w:w="1800"/>
            <w:tcMar>
              <w:top w:type="dxa" w:w="70"/>
              <w:left w:type="dxa" w:w="90"/>
              <w:bottom w:type="dxa" w:w="70"/>
              <w:right w:type="dxa" w:w="90"/>
            </w:tcMar>
          </w:tcPr>
          <w:p>
            <w:r>
              <w:rPr>
                <w:b w:val="false"/>
                <w:bCs w:val="false"/>
                <w:sz w:val="17"/>
                <w:szCs w:val="17"/>
              </w:rPr>
              <w:t xml:space="preserve">Coding Issue</w:t>
            </w:r>
          </w:p>
        </w:tc>
        <w:tc>
          <w:tcPr>
            <w:tcW w:type="dxa" w:w="6540"/>
            <w:tcMar>
              <w:top w:type="dxa" w:w="70"/>
              <w:left w:type="dxa" w:w="90"/>
              <w:bottom w:type="dxa" w:w="70"/>
              <w:right w:type="dxa" w:w="90"/>
            </w:tcMar>
          </w:tcPr>
          <w:p>
            <w:r>
              <w:rPr>
                <w:b w:val="false"/>
                <w:bCs w:val="false"/>
                <w:sz w:val="17"/>
                <w:szCs w:val="17"/>
              </w:rPr>
              <w:t xml:space="preserve">The comparison logic for "sufficient balance" most likely uses a strict less-than comparison with a floating-point rounding artifact, rejecting a value that should equal the balance exactly.</w:t>
            </w:r>
          </w:p>
        </w:tc>
      </w:tr>
      <w:tr>
        <w:tc>
          <w:tcPr>
            <w:tcW w:type="dxa" w:w="900"/>
            <w:tcMar>
              <w:top w:type="dxa" w:w="70"/>
              <w:left w:type="dxa" w:w="90"/>
              <w:bottom w:type="dxa" w:w="70"/>
              <w:right w:type="dxa" w:w="90"/>
            </w:tcMar>
          </w:tcPr>
          <w:p>
            <w:r>
              <w:rPr>
                <w:b w:val="false"/>
                <w:bCs w:val="false"/>
                <w:sz w:val="17"/>
                <w:szCs w:val="17"/>
              </w:rPr>
              <w:t xml:space="preserve">DEF-003</w:t>
            </w:r>
          </w:p>
        </w:tc>
        <w:tc>
          <w:tcPr>
            <w:tcW w:type="dxa" w:w="1800"/>
            <w:tcMar>
              <w:top w:type="dxa" w:w="70"/>
              <w:left w:type="dxa" w:w="90"/>
              <w:bottom w:type="dxa" w:w="70"/>
              <w:right w:type="dxa" w:w="90"/>
            </w:tcMar>
          </w:tcPr>
          <w:p>
            <w:r>
              <w:rPr>
                <w:b w:val="false"/>
                <w:bCs w:val="false"/>
                <w:sz w:val="17"/>
                <w:szCs w:val="17"/>
              </w:rPr>
              <w:t xml:space="preserve">Requirement Issue</w:t>
            </w:r>
          </w:p>
        </w:tc>
        <w:tc>
          <w:tcPr>
            <w:tcW w:type="dxa" w:w="6540"/>
            <w:tcMar>
              <w:top w:type="dxa" w:w="70"/>
              <w:left w:type="dxa" w:w="90"/>
              <w:bottom w:type="dxa" w:w="70"/>
              <w:right w:type="dxa" w:w="90"/>
            </w:tcMar>
          </w:tcPr>
          <w:p>
            <w:r>
              <w:rPr>
                <w:b w:val="false"/>
                <w:bCs w:val="false"/>
                <w:sz w:val="17"/>
                <w:szCs w:val="17"/>
              </w:rPr>
              <w:t xml:space="preserve">No requirement was ever written addressing whether From and To accounts may be identical, so the implementation defaulted to permissive behaviour by omission rather than by a coding mistake.</w:t>
            </w:r>
          </w:p>
        </w:tc>
      </w:tr>
      <w:tr>
        <w:tc>
          <w:tcPr>
            <w:tcW w:type="dxa" w:w="900"/>
            <w:tcMar>
              <w:top w:type="dxa" w:w="70"/>
              <w:left w:type="dxa" w:w="90"/>
              <w:bottom w:type="dxa" w:w="70"/>
              <w:right w:type="dxa" w:w="90"/>
            </w:tcMar>
          </w:tcPr>
          <w:p>
            <w:r>
              <w:rPr>
                <w:b w:val="false"/>
                <w:bCs w:val="false"/>
                <w:sz w:val="17"/>
                <w:szCs w:val="17"/>
              </w:rPr>
              <w:t xml:space="preserve">DEF-004</w:t>
            </w:r>
          </w:p>
        </w:tc>
        <w:tc>
          <w:tcPr>
            <w:tcW w:type="dxa" w:w="1800"/>
            <w:tcMar>
              <w:top w:type="dxa" w:w="70"/>
              <w:left w:type="dxa" w:w="90"/>
              <w:bottom w:type="dxa" w:w="70"/>
              <w:right w:type="dxa" w:w="90"/>
            </w:tcMar>
          </w:tcPr>
          <w:p>
            <w:r>
              <w:rPr>
                <w:b w:val="false"/>
                <w:bCs w:val="false"/>
                <w:sz w:val="17"/>
                <w:szCs w:val="17"/>
              </w:rPr>
              <w:t xml:space="preserve">Design Issue</w:t>
            </w:r>
          </w:p>
        </w:tc>
        <w:tc>
          <w:tcPr>
            <w:tcW w:type="dxa" w:w="6540"/>
            <w:tcMar>
              <w:top w:type="dxa" w:w="70"/>
              <w:left w:type="dxa" w:w="90"/>
              <w:bottom w:type="dxa" w:w="70"/>
              <w:right w:type="dxa" w:w="90"/>
            </w:tcMar>
          </w:tcPr>
          <w:p>
            <w:r>
              <w:rPr>
                <w:b w:val="false"/>
                <w:bCs w:val="false"/>
                <w:sz w:val="17"/>
                <w:szCs w:val="17"/>
              </w:rPr>
              <w:t xml:space="preserve">The design never specified at which point in the Bill Pay workflow payee account numbers should be validated (entry vs. payment), so no validation step was designed into either point.</w:t>
            </w:r>
          </w:p>
        </w:tc>
      </w:tr>
      <w:tr>
        <w:tc>
          <w:tcPr>
            <w:tcW w:type="dxa" w:w="900"/>
            <w:tcMar>
              <w:top w:type="dxa" w:w="70"/>
              <w:left w:type="dxa" w:w="90"/>
              <w:bottom w:type="dxa" w:w="70"/>
              <w:right w:type="dxa" w:w="90"/>
            </w:tcMar>
          </w:tcPr>
          <w:p>
            <w:r>
              <w:rPr>
                <w:b w:val="false"/>
                <w:bCs w:val="false"/>
                <w:sz w:val="17"/>
                <w:szCs w:val="17"/>
              </w:rPr>
              <w:t xml:space="preserve">DEF-005</w:t>
            </w:r>
          </w:p>
        </w:tc>
        <w:tc>
          <w:tcPr>
            <w:tcW w:type="dxa" w:w="1800"/>
            <w:tcMar>
              <w:top w:type="dxa" w:w="70"/>
              <w:left w:type="dxa" w:w="90"/>
              <w:bottom w:type="dxa" w:w="70"/>
              <w:right w:type="dxa" w:w="90"/>
            </w:tcMar>
          </w:tcPr>
          <w:p>
            <w:r>
              <w:rPr>
                <w:b w:val="false"/>
                <w:bCs w:val="false"/>
                <w:sz w:val="17"/>
                <w:szCs w:val="17"/>
              </w:rPr>
              <w:t xml:space="preserve">Coding Issue</w:t>
            </w:r>
          </w:p>
        </w:tc>
        <w:tc>
          <w:tcPr>
            <w:tcW w:type="dxa" w:w="6540"/>
            <w:tcMar>
              <w:top w:type="dxa" w:w="70"/>
              <w:left w:type="dxa" w:w="90"/>
              <w:bottom w:type="dxa" w:w="70"/>
              <w:right w:type="dxa" w:w="90"/>
            </w:tcMar>
          </w:tcPr>
          <w:p>
            <w:r>
              <w:rPr>
                <w:b w:val="false"/>
                <w:bCs w:val="false"/>
                <w:sz w:val="17"/>
                <w:szCs w:val="17"/>
              </w:rPr>
              <w:t xml:space="preserve">The loan approval logic appears to compare down payment against the requested amount incorrectly, or omits this comparison entirely, allowing a mathematically invalid combination to reach the approval branch.</w:t>
            </w:r>
          </w:p>
        </w:tc>
      </w:tr>
      <w:tr>
        <w:tc>
          <w:tcPr>
            <w:tcW w:type="dxa" w:w="900"/>
            <w:tcMar>
              <w:top w:type="dxa" w:w="70"/>
              <w:left w:type="dxa" w:w="90"/>
              <w:bottom w:type="dxa" w:w="70"/>
              <w:right w:type="dxa" w:w="90"/>
            </w:tcMar>
          </w:tcPr>
          <w:p>
            <w:r>
              <w:rPr>
                <w:b w:val="false"/>
                <w:bCs w:val="false"/>
                <w:sz w:val="17"/>
                <w:szCs w:val="17"/>
              </w:rPr>
              <w:t xml:space="preserve">DEF-006</w:t>
            </w:r>
          </w:p>
        </w:tc>
        <w:tc>
          <w:tcPr>
            <w:tcW w:type="dxa" w:w="1800"/>
            <w:tcMar>
              <w:top w:type="dxa" w:w="70"/>
              <w:left w:type="dxa" w:w="90"/>
              <w:bottom w:type="dxa" w:w="70"/>
              <w:right w:type="dxa" w:w="90"/>
            </w:tcMar>
          </w:tcPr>
          <w:p>
            <w:r>
              <w:rPr>
                <w:b w:val="false"/>
                <w:bCs w:val="false"/>
                <w:sz w:val="17"/>
                <w:szCs w:val="17"/>
              </w:rPr>
              <w:t xml:space="preserve">Coding Issue</w:t>
            </w:r>
          </w:p>
        </w:tc>
        <w:tc>
          <w:tcPr>
            <w:tcW w:type="dxa" w:w="6540"/>
            <w:tcMar>
              <w:top w:type="dxa" w:w="70"/>
              <w:left w:type="dxa" w:w="90"/>
              <w:bottom w:type="dxa" w:w="70"/>
              <w:right w:type="dxa" w:w="90"/>
            </w:tcMar>
          </w:tcPr>
          <w:p>
            <w:r>
              <w:rPr>
                <w:b w:val="false"/>
                <w:bCs w:val="false"/>
                <w:sz w:val="17"/>
                <w:szCs w:val="17"/>
              </w:rPr>
              <w:t xml:space="preserve">The uniqueness check for usernames is most likely implemented as a case-sensitive string comparison rather than a case-insensitive one, a straightforward implementation oversight rather than a missing requirement.</w:t>
            </w:r>
          </w:p>
        </w:tc>
      </w:tr>
      <w:tr>
        <w:tc>
          <w:tcPr>
            <w:tcW w:type="dxa" w:w="900"/>
            <w:tcMar>
              <w:top w:type="dxa" w:w="70"/>
              <w:left w:type="dxa" w:w="90"/>
              <w:bottom w:type="dxa" w:w="70"/>
              <w:right w:type="dxa" w:w="90"/>
            </w:tcMar>
          </w:tcPr>
          <w:p>
            <w:r>
              <w:rPr>
                <w:b w:val="false"/>
                <w:bCs w:val="false"/>
                <w:sz w:val="17"/>
                <w:szCs w:val="17"/>
              </w:rPr>
              <w:t xml:space="preserve">DEF-007</w:t>
            </w:r>
          </w:p>
        </w:tc>
        <w:tc>
          <w:tcPr>
            <w:tcW w:type="dxa" w:w="1800"/>
            <w:tcMar>
              <w:top w:type="dxa" w:w="70"/>
              <w:left w:type="dxa" w:w="90"/>
              <w:bottom w:type="dxa" w:w="70"/>
              <w:right w:type="dxa" w:w="90"/>
            </w:tcMar>
          </w:tcPr>
          <w:p>
            <w:r>
              <w:rPr>
                <w:b w:val="false"/>
                <w:bCs w:val="false"/>
                <w:sz w:val="17"/>
                <w:szCs w:val="17"/>
              </w:rPr>
              <w:t xml:space="preserve">Coding Issue</w:t>
            </w:r>
          </w:p>
        </w:tc>
        <w:tc>
          <w:tcPr>
            <w:tcW w:type="dxa" w:w="6540"/>
            <w:tcMar>
              <w:top w:type="dxa" w:w="70"/>
              <w:left w:type="dxa" w:w="90"/>
              <w:bottom w:type="dxa" w:w="70"/>
              <w:right w:type="dxa" w:w="90"/>
            </w:tcMar>
          </w:tcPr>
          <w:p>
            <w:r>
              <w:rPr>
                <w:b w:val="false"/>
                <w:bCs w:val="false"/>
                <w:sz w:val="17"/>
                <w:szCs w:val="17"/>
              </w:rPr>
              <w:t xml:space="preserve">The balance check and balance deduction are not implemented as a single atomic operation, allowing two near-simultaneous requests to both read the pre-transaction balance before either writes back the updated value — a classic race condition.</w:t>
            </w:r>
          </w:p>
        </w:tc>
      </w:tr>
      <w:tr>
        <w:tc>
          <w:tcPr>
            <w:tcW w:type="dxa" w:w="900"/>
            <w:tcMar>
              <w:top w:type="dxa" w:w="70"/>
              <w:left w:type="dxa" w:w="90"/>
              <w:bottom w:type="dxa" w:w="70"/>
              <w:right w:type="dxa" w:w="90"/>
            </w:tcMar>
          </w:tcPr>
          <w:p>
            <w:r>
              <w:rPr>
                <w:b w:val="false"/>
                <w:bCs w:val="false"/>
                <w:sz w:val="17"/>
                <w:szCs w:val="17"/>
              </w:rPr>
              <w:t xml:space="preserve">DEF-008</w:t>
            </w:r>
          </w:p>
        </w:tc>
        <w:tc>
          <w:tcPr>
            <w:tcW w:type="dxa" w:w="1800"/>
            <w:tcMar>
              <w:top w:type="dxa" w:w="70"/>
              <w:left w:type="dxa" w:w="90"/>
              <w:bottom w:type="dxa" w:w="70"/>
              <w:right w:type="dxa" w:w="90"/>
            </w:tcMar>
          </w:tcPr>
          <w:p>
            <w:r>
              <w:rPr>
                <w:b w:val="false"/>
                <w:bCs w:val="false"/>
                <w:sz w:val="17"/>
                <w:szCs w:val="17"/>
              </w:rPr>
              <w:t xml:space="preserve">Coding Issue</w:t>
            </w:r>
          </w:p>
        </w:tc>
        <w:tc>
          <w:tcPr>
            <w:tcW w:type="dxa" w:w="6540"/>
            <w:tcMar>
              <w:top w:type="dxa" w:w="70"/>
              <w:left w:type="dxa" w:w="90"/>
              <w:bottom w:type="dxa" w:w="70"/>
              <w:right w:type="dxa" w:w="90"/>
            </w:tcMar>
          </w:tcPr>
          <w:p>
            <w:r>
              <w:rPr>
                <w:b w:val="false"/>
                <w:bCs w:val="false"/>
                <w:sz w:val="17"/>
                <w:szCs w:val="17"/>
              </w:rPr>
              <w:t xml:space="preserve">Logout most likely clears client-side session indicators without fully invalidating the server-side session token, allowing a brief window where cached content remains accessible via back-navigation.</w:t>
            </w:r>
          </w:p>
        </w:tc>
      </w:tr>
      <w:tr>
        <w:tc>
          <w:tcPr>
            <w:tcW w:type="dxa" w:w="900"/>
            <w:tcMar>
              <w:top w:type="dxa" w:w="70"/>
              <w:left w:type="dxa" w:w="90"/>
              <w:bottom w:type="dxa" w:w="70"/>
              <w:right w:type="dxa" w:w="90"/>
            </w:tcMar>
          </w:tcPr>
          <w:p>
            <w:r>
              <w:rPr>
                <w:b w:val="false"/>
                <w:bCs w:val="false"/>
                <w:sz w:val="17"/>
                <w:szCs w:val="17"/>
              </w:rPr>
              <w:t xml:space="preserve">DEF-009</w:t>
            </w:r>
          </w:p>
        </w:tc>
        <w:tc>
          <w:tcPr>
            <w:tcW w:type="dxa" w:w="1800"/>
            <w:tcMar>
              <w:top w:type="dxa" w:w="70"/>
              <w:left w:type="dxa" w:w="90"/>
              <w:bottom w:type="dxa" w:w="70"/>
              <w:right w:type="dxa" w:w="90"/>
            </w:tcMar>
          </w:tcPr>
          <w:p>
            <w:r>
              <w:rPr>
                <w:b w:val="false"/>
                <w:bCs w:val="false"/>
                <w:sz w:val="17"/>
                <w:szCs w:val="17"/>
              </w:rPr>
              <w:t xml:space="preserve">Design Issue</w:t>
            </w:r>
          </w:p>
        </w:tc>
        <w:tc>
          <w:tcPr>
            <w:tcW w:type="dxa" w:w="6540"/>
            <w:tcMar>
              <w:top w:type="dxa" w:w="70"/>
              <w:left w:type="dxa" w:w="90"/>
              <w:bottom w:type="dxa" w:w="70"/>
              <w:right w:type="dxa" w:w="90"/>
            </w:tcMar>
          </w:tcPr>
          <w:p>
            <w:r>
              <w:rPr>
                <w:b w:val="false"/>
                <w:bCs w:val="false"/>
                <w:sz w:val="17"/>
                <w:szCs w:val="17"/>
              </w:rPr>
              <w:t xml:space="preserve">Field-level validation appears to have been designed and implemented inconsistently across the registration form; SSN was apparently not included in the same validation framework applied to other fields.</w:t>
            </w:r>
          </w:p>
        </w:tc>
      </w:tr>
      <w:tr>
        <w:tc>
          <w:tcPr>
            <w:tcW w:type="dxa" w:w="900"/>
            <w:tcMar>
              <w:top w:type="dxa" w:w="70"/>
              <w:left w:type="dxa" w:w="90"/>
              <w:bottom w:type="dxa" w:w="70"/>
              <w:right w:type="dxa" w:w="90"/>
            </w:tcMar>
          </w:tcPr>
          <w:p>
            <w:r>
              <w:rPr>
                <w:b w:val="false"/>
                <w:bCs w:val="false"/>
                <w:sz w:val="17"/>
                <w:szCs w:val="17"/>
              </w:rPr>
              <w:t xml:space="preserve">DEF-010</w:t>
            </w:r>
          </w:p>
        </w:tc>
        <w:tc>
          <w:tcPr>
            <w:tcW w:type="dxa" w:w="1800"/>
            <w:tcMar>
              <w:top w:type="dxa" w:w="70"/>
              <w:left w:type="dxa" w:w="90"/>
              <w:bottom w:type="dxa" w:w="70"/>
              <w:right w:type="dxa" w:w="90"/>
            </w:tcMar>
          </w:tcPr>
          <w:p>
            <w:r>
              <w:rPr>
                <w:b w:val="false"/>
                <w:bCs w:val="false"/>
                <w:sz w:val="17"/>
                <w:szCs w:val="17"/>
              </w:rPr>
              <w:t xml:space="preserve">Design Issue</w:t>
            </w:r>
          </w:p>
        </w:tc>
        <w:tc>
          <w:tcPr>
            <w:tcW w:type="dxa" w:w="6540"/>
            <w:tcMar>
              <w:top w:type="dxa" w:w="70"/>
              <w:left w:type="dxa" w:w="90"/>
              <w:bottom w:type="dxa" w:w="70"/>
              <w:right w:type="dxa" w:w="90"/>
            </w:tcMar>
          </w:tcPr>
          <w:p>
            <w:r>
              <w:rPr>
                <w:b w:val="false"/>
                <w:bCs w:val="false"/>
                <w:sz w:val="17"/>
                <w:szCs w:val="17"/>
              </w:rPr>
              <w:t xml:space="preserve">The error-handling design for login did not consider username enumeration as a threat model when the two distinct error paths (wrong username vs. wrong password) were designed.</w:t>
            </w:r>
          </w:p>
        </w:tc>
      </w:tr>
      <w:tr>
        <w:tc>
          <w:tcPr>
            <w:tcW w:type="dxa" w:w="900"/>
            <w:tcMar>
              <w:top w:type="dxa" w:w="70"/>
              <w:left w:type="dxa" w:w="90"/>
              <w:bottom w:type="dxa" w:w="70"/>
              <w:right w:type="dxa" w:w="90"/>
            </w:tcMar>
          </w:tcPr>
          <w:p>
            <w:r>
              <w:rPr>
                <w:b w:val="false"/>
                <w:bCs w:val="false"/>
                <w:sz w:val="17"/>
                <w:szCs w:val="17"/>
              </w:rPr>
              <w:t xml:space="preserve">DEF-011</w:t>
            </w:r>
          </w:p>
        </w:tc>
        <w:tc>
          <w:tcPr>
            <w:tcW w:type="dxa" w:w="1800"/>
            <w:tcMar>
              <w:top w:type="dxa" w:w="70"/>
              <w:left w:type="dxa" w:w="90"/>
              <w:bottom w:type="dxa" w:w="70"/>
              <w:right w:type="dxa" w:w="90"/>
            </w:tcMar>
          </w:tcPr>
          <w:p>
            <w:r>
              <w:rPr>
                <w:b w:val="false"/>
                <w:bCs w:val="false"/>
                <w:sz w:val="17"/>
                <w:szCs w:val="17"/>
              </w:rPr>
              <w:t xml:space="preserve">Coding Issue</w:t>
            </w:r>
          </w:p>
        </w:tc>
        <w:tc>
          <w:tcPr>
            <w:tcW w:type="dxa" w:w="6540"/>
            <w:tcMar>
              <w:top w:type="dxa" w:w="70"/>
              <w:left w:type="dxa" w:w="90"/>
              <w:bottom w:type="dxa" w:w="70"/>
              <w:right w:type="dxa" w:w="90"/>
            </w:tcMar>
          </w:tcPr>
          <w:p>
            <w:r>
              <w:rPr>
                <w:b w:val="false"/>
                <w:bCs w:val="false"/>
                <w:sz w:val="17"/>
                <w:szCs w:val="17"/>
              </w:rPr>
              <w:t xml:space="preserve">No maximum-length constraint or truncation handling was implemented for the payee name field, either at the input level or at the confirmation-page display level.</w:t>
            </w:r>
          </w:p>
        </w:tc>
      </w:tr>
    </w:tbl>
    <w:p>
      <w:pPr>
        <w:spacing w:after="100"/>
      </w:pPr>
    </w:p>
    <w:p>
      <w:pPr>
        <w:pStyle w:val="Heading2"/>
        <w:spacing w:after="120" w:before="240"/>
      </w:pPr>
      <w:r>
        <w:t xml:space="preserve">10.4.10 Defect Clustering Analysis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000"/>
        <w:gridCol w:w="4440"/>
      </w:tblGrid>
      <w:tr>
        <w:trPr>
          <w:tblHeader/>
        </w:trPr>
        <w:tc>
          <w:tcPr>
            <w:tcW w:type="dxa" w:w="1700"/>
            <w:shd w:fill="1F4E5F" w:val="clear"/>
            <w:tcMar>
              <w:top w:type="dxa" w:w="70"/>
              <w:left w:type="dxa" w:w="90"/>
              <w:bottom w:type="dxa" w:w="70"/>
              <w:right w:type="dxa" w:w="90"/>
            </w:tcMar>
          </w:tcPr>
          <w:p>
            <w:r>
              <w:rPr>
                <w:b/>
                <w:bCs/>
                <w:color w:val="FFFFFF"/>
                <w:sz w:val="17"/>
                <w:szCs w:val="17"/>
              </w:rPr>
              <w:t xml:space="preserve">Module</w:t>
            </w:r>
          </w:p>
        </w:tc>
        <w:tc>
          <w:tcPr>
            <w:tcW w:type="dxa" w:w="1200"/>
            <w:shd w:fill="1F4E5F" w:val="clear"/>
            <w:tcMar>
              <w:top w:type="dxa" w:w="70"/>
              <w:left w:type="dxa" w:w="90"/>
              <w:bottom w:type="dxa" w:w="70"/>
              <w:right w:type="dxa" w:w="90"/>
            </w:tcMar>
          </w:tcPr>
          <w:p>
            <w:r>
              <w:rPr>
                <w:b/>
                <w:bCs/>
                <w:color w:val="FFFFFF"/>
                <w:sz w:val="17"/>
                <w:szCs w:val="17"/>
              </w:rPr>
              <w:t xml:space="preserve">Defect Count</w:t>
            </w:r>
          </w:p>
        </w:tc>
        <w:tc>
          <w:tcPr>
            <w:tcW w:type="dxa" w:w="2000"/>
            <w:shd w:fill="1F4E5F" w:val="clear"/>
            <w:tcMar>
              <w:top w:type="dxa" w:w="70"/>
              <w:left w:type="dxa" w:w="90"/>
              <w:bottom w:type="dxa" w:w="70"/>
              <w:right w:type="dxa" w:w="90"/>
            </w:tcMar>
          </w:tcPr>
          <w:p>
            <w:r>
              <w:rPr>
                <w:b/>
                <w:bCs/>
                <w:color w:val="FFFFFF"/>
                <w:sz w:val="17"/>
                <w:szCs w:val="17"/>
              </w:rPr>
              <w:t xml:space="preserve">Defect Density</w:t>
            </w:r>
          </w:p>
        </w:tc>
        <w:tc>
          <w:tcPr>
            <w:tcW w:type="dxa" w:w="4440"/>
            <w:shd w:fill="1F4E5F" w:val="clear"/>
            <w:tcMar>
              <w:top w:type="dxa" w:w="70"/>
              <w:left w:type="dxa" w:w="90"/>
              <w:bottom w:type="dxa" w:w="70"/>
              <w:right w:type="dxa" w:w="90"/>
            </w:tcMar>
          </w:tcPr>
          <w:p>
            <w:r>
              <w:rPr>
                <w:b/>
                <w:bCs/>
                <w:color w:val="FFFFFF"/>
                <w:sz w:val="17"/>
                <w:szCs w:val="17"/>
              </w:rPr>
              <w:t xml:space="preserve">Likely Root Cause / Explanation</w:t>
            </w:r>
          </w:p>
        </w:tc>
      </w:tr>
      <w:tr>
        <w:tc>
          <w:tcPr>
            <w:tcW w:type="dxa" w:w="1700"/>
            <w:tcMar>
              <w:top w:type="dxa" w:w="70"/>
              <w:left w:type="dxa" w:w="90"/>
              <w:bottom w:type="dxa" w:w="70"/>
              <w:right w:type="dxa" w:w="90"/>
            </w:tcMar>
          </w:tcPr>
          <w:p>
            <w:r>
              <w:rPr>
                <w:b w:val="false"/>
                <w:bCs w:val="false"/>
                <w:sz w:val="17"/>
                <w:szCs w:val="17"/>
              </w:rPr>
              <w:t xml:space="preserve">Transfer Funds</w:t>
            </w:r>
          </w:p>
        </w:tc>
        <w:tc>
          <w:tcPr>
            <w:tcW w:type="dxa" w:w="1200"/>
            <w:tcMar>
              <w:top w:type="dxa" w:w="70"/>
              <w:left w:type="dxa" w:w="90"/>
              <w:bottom w:type="dxa" w:w="70"/>
              <w:right w:type="dxa" w:w="90"/>
            </w:tcMar>
          </w:tcPr>
          <w:p>
            <w:r>
              <w:rPr>
                <w:b w:val="false"/>
                <w:bCs w:val="false"/>
                <w:sz w:val="17"/>
                <w:szCs w:val="17"/>
              </w:rPr>
              <w:t xml:space="preserve">3</w:t>
            </w:r>
          </w:p>
        </w:tc>
        <w:tc>
          <w:tcPr>
            <w:tcW w:type="dxa" w:w="2000"/>
            <w:tcMar>
              <w:top w:type="dxa" w:w="70"/>
              <w:left w:type="dxa" w:w="90"/>
              <w:bottom w:type="dxa" w:w="70"/>
              <w:right w:type="dxa" w:w="90"/>
            </w:tcMar>
          </w:tcPr>
          <w:p>
            <w:r>
              <w:rPr>
                <w:b w:val="false"/>
                <w:bCs w:val="false"/>
                <w:sz w:val="17"/>
                <w:szCs w:val="17"/>
              </w:rPr>
              <w:t xml:space="preserve">0.30 (3 defects / 10 test cases)</w:t>
            </w:r>
          </w:p>
        </w:tc>
        <w:tc>
          <w:tcPr>
            <w:tcW w:type="dxa" w:w="4440"/>
            <w:tcMar>
              <w:top w:type="dxa" w:w="70"/>
              <w:left w:type="dxa" w:w="90"/>
              <w:bottom w:type="dxa" w:w="70"/>
              <w:right w:type="dxa" w:w="90"/>
            </w:tcMar>
          </w:tcPr>
          <w:p>
            <w:r>
              <w:rPr>
                <w:b w:val="false"/>
                <w:bCs w:val="false"/>
                <w:sz w:val="17"/>
                <w:szCs w:val="17"/>
              </w:rPr>
              <w:t xml:space="preserve">The highest defect density in the application, concentrated specifically at value boundaries (exact balance) and timing edge cases (rapid consecutive requests) rather than the core transfer flow — consistent with this being the module with the most numeric and timing-sensitive logic in the application, and the module Phase 2 independently ranked as highest financial risk.</w:t>
            </w:r>
          </w:p>
        </w:tc>
      </w:tr>
      <w:tr>
        <w:tc>
          <w:tcPr>
            <w:tcW w:type="dxa" w:w="1700"/>
            <w:tcMar>
              <w:top w:type="dxa" w:w="70"/>
              <w:left w:type="dxa" w:w="90"/>
              <w:bottom w:type="dxa" w:w="70"/>
              <w:right w:type="dxa" w:w="90"/>
            </w:tcMar>
          </w:tcPr>
          <w:p>
            <w:r>
              <w:rPr>
                <w:b w:val="false"/>
                <w:bCs w:val="false"/>
                <w:sz w:val="17"/>
                <w:szCs w:val="17"/>
              </w:rPr>
              <w:t xml:space="preserve">Login / Session</w:t>
            </w:r>
          </w:p>
        </w:tc>
        <w:tc>
          <w:tcPr>
            <w:tcW w:type="dxa" w:w="1200"/>
            <w:tcMar>
              <w:top w:type="dxa" w:w="70"/>
              <w:left w:type="dxa" w:w="90"/>
              <w:bottom w:type="dxa" w:w="70"/>
              <w:right w:type="dxa" w:w="90"/>
            </w:tcMar>
          </w:tcPr>
          <w:p>
            <w:r>
              <w:rPr>
                <w:b w:val="false"/>
                <w:bCs w:val="false"/>
                <w:sz w:val="17"/>
                <w:szCs w:val="17"/>
              </w:rPr>
              <w:t xml:space="preserve">2</w:t>
            </w:r>
          </w:p>
        </w:tc>
        <w:tc>
          <w:tcPr>
            <w:tcW w:type="dxa" w:w="2000"/>
            <w:tcMar>
              <w:top w:type="dxa" w:w="70"/>
              <w:left w:type="dxa" w:w="90"/>
              <w:bottom w:type="dxa" w:w="70"/>
              <w:right w:type="dxa" w:w="90"/>
            </w:tcMar>
          </w:tcPr>
          <w:p>
            <w:r>
              <w:rPr>
                <w:b w:val="false"/>
                <w:bCs w:val="false"/>
                <w:sz w:val="17"/>
                <w:szCs w:val="17"/>
              </w:rPr>
              <w:t xml:space="preserve">0.25 (2 defects / 8 test cases)</w:t>
            </w:r>
          </w:p>
        </w:tc>
        <w:tc>
          <w:tcPr>
            <w:tcW w:type="dxa" w:w="4440"/>
            <w:tcMar>
              <w:top w:type="dxa" w:w="70"/>
              <w:left w:type="dxa" w:w="90"/>
              <w:bottom w:type="dxa" w:w="70"/>
              <w:right w:type="dxa" w:w="90"/>
            </w:tcMar>
          </w:tcPr>
          <w:p>
            <w:r>
              <w:rPr>
                <w:b w:val="false"/>
                <w:bCs w:val="false"/>
                <w:sz w:val="17"/>
                <w:szCs w:val="17"/>
              </w:rPr>
              <w:t xml:space="preserve">Both defects here were found exclusively through exploratory testing, not scripted execution, suggesting the module's scripted test coverage was adequate for functional correctness but insufficient for the security-adjacent behaviours (session state, error-message consistency) that require a different testing mindset to uncover.</w:t>
            </w:r>
          </w:p>
        </w:tc>
      </w:tr>
      <w:tr>
        <w:tc>
          <w:tcPr>
            <w:tcW w:type="dxa" w:w="1700"/>
            <w:tcMar>
              <w:top w:type="dxa" w:w="70"/>
              <w:left w:type="dxa" w:w="90"/>
              <w:bottom w:type="dxa" w:w="70"/>
              <w:right w:type="dxa" w:w="90"/>
            </w:tcMar>
          </w:tcPr>
          <w:p>
            <w:r>
              <w:rPr>
                <w:b w:val="false"/>
                <w:bCs w:val="false"/>
                <w:sz w:val="17"/>
                <w:szCs w:val="17"/>
              </w:rPr>
              <w:t xml:space="preserve">Registration</w:t>
            </w:r>
          </w:p>
        </w:tc>
        <w:tc>
          <w:tcPr>
            <w:tcW w:type="dxa" w:w="1200"/>
            <w:tcMar>
              <w:top w:type="dxa" w:w="70"/>
              <w:left w:type="dxa" w:w="90"/>
              <w:bottom w:type="dxa" w:w="70"/>
              <w:right w:type="dxa" w:w="90"/>
            </w:tcMar>
          </w:tcPr>
          <w:p>
            <w:r>
              <w:rPr>
                <w:b w:val="false"/>
                <w:bCs w:val="false"/>
                <w:sz w:val="17"/>
                <w:szCs w:val="17"/>
              </w:rPr>
              <w:t xml:space="preserve">2</w:t>
            </w:r>
          </w:p>
        </w:tc>
        <w:tc>
          <w:tcPr>
            <w:tcW w:type="dxa" w:w="2000"/>
            <w:tcMar>
              <w:top w:type="dxa" w:w="70"/>
              <w:left w:type="dxa" w:w="90"/>
              <w:bottom w:type="dxa" w:w="70"/>
              <w:right w:type="dxa" w:w="90"/>
            </w:tcMar>
          </w:tcPr>
          <w:p>
            <w:r>
              <w:rPr>
                <w:b w:val="false"/>
                <w:bCs w:val="false"/>
                <w:sz w:val="17"/>
                <w:szCs w:val="17"/>
              </w:rPr>
              <w:t xml:space="preserve">0.25 (2 defects / 8 test cases)</w:t>
            </w:r>
          </w:p>
        </w:tc>
        <w:tc>
          <w:tcPr>
            <w:tcW w:type="dxa" w:w="4440"/>
            <w:tcMar>
              <w:top w:type="dxa" w:w="70"/>
              <w:left w:type="dxa" w:w="90"/>
              <w:bottom w:type="dxa" w:w="70"/>
              <w:right w:type="dxa" w:w="90"/>
            </w:tcMar>
          </w:tcPr>
          <w:p>
            <w:r>
              <w:rPr>
                <w:b w:val="false"/>
                <w:bCs w:val="false"/>
                <w:sz w:val="17"/>
                <w:szCs w:val="17"/>
              </w:rPr>
              <w:t xml:space="preserve">Both defects involve validation gaps (case-sensitivity, SSN format) rather than core registration failure, suggesting the field-by-field validation implementation was inconsistent rather than the overall registration workflow being unreliable.</w:t>
            </w:r>
          </w:p>
        </w:tc>
      </w:tr>
      <w:tr>
        <w:tc>
          <w:tcPr>
            <w:tcW w:type="dxa" w:w="1700"/>
            <w:tcMar>
              <w:top w:type="dxa" w:w="70"/>
              <w:left w:type="dxa" w:w="90"/>
              <w:bottom w:type="dxa" w:w="70"/>
              <w:right w:type="dxa" w:w="90"/>
            </w:tcMar>
          </w:tcPr>
          <w:p>
            <w:r>
              <w:rPr>
                <w:b w:val="false"/>
                <w:bCs w:val="false"/>
                <w:sz w:val="17"/>
                <w:szCs w:val="17"/>
              </w:rPr>
              <w:t xml:space="preserve">Bill Pay</w:t>
            </w:r>
          </w:p>
        </w:tc>
        <w:tc>
          <w:tcPr>
            <w:tcW w:type="dxa" w:w="1200"/>
            <w:tcMar>
              <w:top w:type="dxa" w:w="70"/>
              <w:left w:type="dxa" w:w="90"/>
              <w:bottom w:type="dxa" w:w="70"/>
              <w:right w:type="dxa" w:w="90"/>
            </w:tcMar>
          </w:tcPr>
          <w:p>
            <w:r>
              <w:rPr>
                <w:b w:val="false"/>
                <w:bCs w:val="false"/>
                <w:sz w:val="17"/>
                <w:szCs w:val="17"/>
              </w:rPr>
              <w:t xml:space="preserve">2</w:t>
            </w:r>
          </w:p>
        </w:tc>
        <w:tc>
          <w:tcPr>
            <w:tcW w:type="dxa" w:w="2000"/>
            <w:tcMar>
              <w:top w:type="dxa" w:w="70"/>
              <w:left w:type="dxa" w:w="90"/>
              <w:bottom w:type="dxa" w:w="70"/>
              <w:right w:type="dxa" w:w="90"/>
            </w:tcMar>
          </w:tcPr>
          <w:p>
            <w:r>
              <w:rPr>
                <w:b w:val="false"/>
                <w:bCs w:val="false"/>
                <w:sz w:val="17"/>
                <w:szCs w:val="17"/>
              </w:rPr>
              <w:t xml:space="preserve">0.20 (2 defects / 10 test cases)</w:t>
            </w:r>
          </w:p>
        </w:tc>
        <w:tc>
          <w:tcPr>
            <w:tcW w:type="dxa" w:w="4440"/>
            <w:tcMar>
              <w:top w:type="dxa" w:w="70"/>
              <w:left w:type="dxa" w:w="90"/>
              <w:bottom w:type="dxa" w:w="70"/>
              <w:right w:type="dxa" w:w="90"/>
            </w:tcMar>
          </w:tcPr>
          <w:p>
            <w:r>
              <w:rPr>
                <w:b w:val="false"/>
                <w:bCs w:val="false"/>
                <w:sz w:val="17"/>
                <w:szCs w:val="17"/>
              </w:rPr>
              <w:t xml:space="preserve">Defects here are a Major validation gap (payee account number) and a Trivial display issue, indicating the core payment-processing logic is reliable while the surrounding data-entry validation is where the module's weaknesses concentrate.</w:t>
            </w:r>
          </w:p>
        </w:tc>
      </w:tr>
      <w:tr>
        <w:tc>
          <w:tcPr>
            <w:tcW w:type="dxa" w:w="1700"/>
            <w:tcMar>
              <w:top w:type="dxa" w:w="70"/>
              <w:left w:type="dxa" w:w="90"/>
              <w:bottom w:type="dxa" w:w="70"/>
              <w:right w:type="dxa" w:w="90"/>
            </w:tcMar>
          </w:tcPr>
          <w:p>
            <w:r>
              <w:rPr>
                <w:b w:val="false"/>
                <w:bCs w:val="false"/>
                <w:sz w:val="17"/>
                <w:szCs w:val="17"/>
              </w:rPr>
              <w:t xml:space="preserve">Open New Account</w:t>
            </w:r>
          </w:p>
        </w:tc>
        <w:tc>
          <w:tcPr>
            <w:tcW w:type="dxa" w:w="1200"/>
            <w:tcMar>
              <w:top w:type="dxa" w:w="70"/>
              <w:left w:type="dxa" w:w="90"/>
              <w:bottom w:type="dxa" w:w="70"/>
              <w:right w:type="dxa" w:w="90"/>
            </w:tcMar>
          </w:tcPr>
          <w:p>
            <w:r>
              <w:rPr>
                <w:b w:val="false"/>
                <w:bCs w:val="false"/>
                <w:sz w:val="17"/>
                <w:szCs w:val="17"/>
              </w:rPr>
              <w:t xml:space="preserve">1</w:t>
            </w:r>
          </w:p>
        </w:tc>
        <w:tc>
          <w:tcPr>
            <w:tcW w:type="dxa" w:w="2000"/>
            <w:tcMar>
              <w:top w:type="dxa" w:w="70"/>
              <w:left w:type="dxa" w:w="90"/>
              <w:bottom w:type="dxa" w:w="70"/>
              <w:right w:type="dxa" w:w="90"/>
            </w:tcMar>
          </w:tcPr>
          <w:p>
            <w:r>
              <w:rPr>
                <w:b w:val="false"/>
                <w:bCs w:val="false"/>
                <w:sz w:val="17"/>
                <w:szCs w:val="17"/>
              </w:rPr>
              <w:t xml:space="preserve">0.14 (1 defect / 7 test cases)</w:t>
            </w:r>
          </w:p>
        </w:tc>
        <w:tc>
          <w:tcPr>
            <w:tcW w:type="dxa" w:w="4440"/>
            <w:tcMar>
              <w:top w:type="dxa" w:w="70"/>
              <w:left w:type="dxa" w:w="90"/>
              <w:bottom w:type="dxa" w:w="70"/>
              <w:right w:type="dxa" w:w="90"/>
            </w:tcMar>
          </w:tcPr>
          <w:p>
            <w:r>
              <w:rPr>
                <w:b w:val="false"/>
                <w:bCs w:val="false"/>
                <w:sz w:val="17"/>
                <w:szCs w:val="17"/>
              </w:rPr>
              <w:t xml:space="preserve">Lowest density among modules with any defects at all; the one defect found (missing minimum-deposit validation) traces directly to a specific, previously-identified Phase 1 documentation gap rather than broader module instability.</w:t>
            </w:r>
          </w:p>
        </w:tc>
      </w:tr>
      <w:tr>
        <w:tc>
          <w:tcPr>
            <w:tcW w:type="dxa" w:w="1700"/>
            <w:tcMar>
              <w:top w:type="dxa" w:w="70"/>
              <w:left w:type="dxa" w:w="90"/>
              <w:bottom w:type="dxa" w:w="70"/>
              <w:right w:type="dxa" w:w="90"/>
            </w:tcMar>
          </w:tcPr>
          <w:p>
            <w:r>
              <w:rPr>
                <w:b w:val="false"/>
                <w:bCs w:val="false"/>
                <w:sz w:val="17"/>
                <w:szCs w:val="17"/>
              </w:rPr>
              <w:t xml:space="preserve">Request Loan</w:t>
            </w:r>
          </w:p>
        </w:tc>
        <w:tc>
          <w:tcPr>
            <w:tcW w:type="dxa" w:w="1200"/>
            <w:tcMar>
              <w:top w:type="dxa" w:w="70"/>
              <w:left w:type="dxa" w:w="90"/>
              <w:bottom w:type="dxa" w:w="70"/>
              <w:right w:type="dxa" w:w="90"/>
            </w:tcMar>
          </w:tcPr>
          <w:p>
            <w:r>
              <w:rPr>
                <w:b w:val="false"/>
                <w:bCs w:val="false"/>
                <w:sz w:val="17"/>
                <w:szCs w:val="17"/>
              </w:rPr>
              <w:t xml:space="preserve">1</w:t>
            </w:r>
          </w:p>
        </w:tc>
        <w:tc>
          <w:tcPr>
            <w:tcW w:type="dxa" w:w="2000"/>
            <w:tcMar>
              <w:top w:type="dxa" w:w="70"/>
              <w:left w:type="dxa" w:w="90"/>
              <w:bottom w:type="dxa" w:w="70"/>
              <w:right w:type="dxa" w:w="90"/>
            </w:tcMar>
          </w:tcPr>
          <w:p>
            <w:r>
              <w:rPr>
                <w:b w:val="false"/>
                <w:bCs w:val="false"/>
                <w:sz w:val="17"/>
                <w:szCs w:val="17"/>
              </w:rPr>
              <w:t xml:space="preserve">0.14 (1 defect / 7 test cases)</w:t>
            </w:r>
          </w:p>
        </w:tc>
        <w:tc>
          <w:tcPr>
            <w:tcW w:type="dxa" w:w="4440"/>
            <w:tcMar>
              <w:top w:type="dxa" w:w="70"/>
              <w:left w:type="dxa" w:w="90"/>
              <w:bottom w:type="dxa" w:w="70"/>
              <w:right w:type="dxa" w:w="90"/>
            </w:tcMar>
          </w:tcPr>
          <w:p>
            <w:r>
              <w:rPr>
                <w:b w:val="false"/>
                <w:bCs w:val="false"/>
                <w:sz w:val="17"/>
                <w:szCs w:val="17"/>
              </w:rPr>
              <w:t xml:space="preserve">Despite having the least-documented business logic of any module (Phase 1 gap on decision thresholds), only one defect was found, and it is a Critical logic-validation gap rather than a pattern of general unreliability — suggesting the core approve/deny mechanism itself is likely sound, but boundary-condition validation around it is not.</w:t>
            </w:r>
          </w:p>
        </w:tc>
      </w:tr>
    </w:tbl>
    <w:p>
      <w:pPr>
        <w:spacing w:after="120"/>
      </w:pPr>
      <w:r>
        <w:rPr>
          <w:i/>
          <w:iCs/>
        </w:rPr>
        <w:t xml:space="preserve">Overall pattern: defect density correlates closely with numeric/timing complexity (Transfer Funds highest) rather than with field count or form complexity (Registration, despite having 10 input fields, has only average density) — reinforcing the Phase 3 Test Effort Analysis judgment that complexity and risk are not the same thing, and that testing effort was correctly weighted toward Transfer Funds rather than the more visually complex Registration form.</w:t>
      </w:r>
    </w:p>
    <w:p>
      <w:pPr>
        <w:spacing w:after="100"/>
      </w:pPr>
    </w:p>
    <w:p>
      <w:pPr>
        <w:pStyle w:val="Heading2"/>
        <w:spacing w:after="120" w:before="240"/>
      </w:pPr>
      <w:r>
        <w:t xml:space="preserve">10.4.11 Defect Escape Analysis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00"/>
        <w:gridCol w:w="8140"/>
      </w:tblGrid>
      <w:tr>
        <w:trPr>
          <w:tblHeader/>
        </w:trPr>
        <w:tc>
          <w:tcPr>
            <w:tcW w:type="dxa" w:w="1200"/>
            <w:shd w:fill="1F4E5F" w:val="clear"/>
            <w:tcMar>
              <w:top w:type="dxa" w:w="70"/>
              <w:left w:type="dxa" w:w="90"/>
              <w:bottom w:type="dxa" w:w="70"/>
              <w:right w:type="dxa" w:w="90"/>
            </w:tcMar>
          </w:tcPr>
          <w:p>
            <w:r>
              <w:rPr>
                <w:b/>
                <w:bCs/>
                <w:color w:val="FFFFFF"/>
                <w:sz w:val="17"/>
                <w:szCs w:val="17"/>
              </w:rPr>
              <w:t xml:space="preserve">Defect ID</w:t>
            </w:r>
          </w:p>
        </w:tc>
        <w:tc>
          <w:tcPr>
            <w:tcW w:type="dxa" w:w="8140"/>
            <w:shd w:fill="1F4E5F" w:val="clear"/>
            <w:tcMar>
              <w:top w:type="dxa" w:w="70"/>
              <w:left w:type="dxa" w:w="90"/>
              <w:bottom w:type="dxa" w:w="70"/>
              <w:right w:type="dxa" w:w="90"/>
            </w:tcMar>
          </w:tcPr>
          <w:p>
            <w:r>
              <w:rPr>
                <w:b/>
                <w:bCs/>
                <w:color w:val="FFFFFF"/>
                <w:sz w:val="17"/>
                <w:szCs w:val="17"/>
              </w:rPr>
              <w:t xml:space="preserve">How It Survived the Development Phase</w:t>
            </w:r>
          </w:p>
        </w:tc>
      </w:tr>
      <w:tr>
        <w:tc>
          <w:tcPr>
            <w:tcW w:type="dxa" w:w="1200"/>
            <w:tcMar>
              <w:top w:type="dxa" w:w="70"/>
              <w:left w:type="dxa" w:w="90"/>
              <w:bottom w:type="dxa" w:w="70"/>
              <w:right w:type="dxa" w:w="90"/>
            </w:tcMar>
          </w:tcPr>
          <w:p>
            <w:r>
              <w:rPr>
                <w:b w:val="false"/>
                <w:bCs w:val="false"/>
                <w:sz w:val="17"/>
                <w:szCs w:val="17"/>
              </w:rPr>
              <w:t xml:space="preserve">DEF-001</w:t>
            </w:r>
          </w:p>
        </w:tc>
        <w:tc>
          <w:tcPr>
            <w:tcW w:type="dxa" w:w="8140"/>
            <w:tcMar>
              <w:top w:type="dxa" w:w="70"/>
              <w:left w:type="dxa" w:w="90"/>
              <w:bottom w:type="dxa" w:w="70"/>
              <w:right w:type="dxa" w:w="90"/>
            </w:tcMar>
          </w:tcPr>
          <w:p>
            <w:r>
              <w:rPr>
                <w:b w:val="false"/>
                <w:bCs w:val="false"/>
                <w:sz w:val="17"/>
                <w:szCs w:val="17"/>
              </w:rPr>
              <w:t xml:space="preserve">Missing requirement (no minimum deposit rule was ever documented) is the primary cause; no amount of code review could catch a rule that was never specified in the first place.</w:t>
            </w:r>
          </w:p>
        </w:tc>
      </w:tr>
      <w:tr>
        <w:tc>
          <w:tcPr>
            <w:tcW w:type="dxa" w:w="1200"/>
            <w:tcMar>
              <w:top w:type="dxa" w:w="70"/>
              <w:left w:type="dxa" w:w="90"/>
              <w:bottom w:type="dxa" w:w="70"/>
              <w:right w:type="dxa" w:w="90"/>
            </w:tcMar>
          </w:tcPr>
          <w:p>
            <w:r>
              <w:rPr>
                <w:b w:val="false"/>
                <w:bCs w:val="false"/>
                <w:sz w:val="17"/>
                <w:szCs w:val="17"/>
              </w:rPr>
              <w:t xml:space="preserve">DEF-002</w:t>
            </w:r>
          </w:p>
        </w:tc>
        <w:tc>
          <w:tcPr>
            <w:tcW w:type="dxa" w:w="8140"/>
            <w:tcMar>
              <w:top w:type="dxa" w:w="70"/>
              <w:left w:type="dxa" w:w="90"/>
              <w:bottom w:type="dxa" w:w="70"/>
              <w:right w:type="dxa" w:w="90"/>
            </w:tcMar>
          </w:tcPr>
          <w:p>
            <w:r>
              <w:rPr>
                <w:b w:val="false"/>
                <w:bCs w:val="false"/>
                <w:sz w:val="17"/>
                <w:szCs w:val="17"/>
              </w:rPr>
              <w:t xml:space="preserve">Coding issue introduced during implementation and not caught in code review; a unit test on the exact-boundary case would likely have caught this before it reached QA.</w:t>
            </w:r>
          </w:p>
        </w:tc>
      </w:tr>
      <w:tr>
        <w:tc>
          <w:tcPr>
            <w:tcW w:type="dxa" w:w="1200"/>
            <w:tcMar>
              <w:top w:type="dxa" w:w="70"/>
              <w:left w:type="dxa" w:w="90"/>
              <w:bottom w:type="dxa" w:w="70"/>
              <w:right w:type="dxa" w:w="90"/>
            </w:tcMar>
          </w:tcPr>
          <w:p>
            <w:r>
              <w:rPr>
                <w:b w:val="false"/>
                <w:bCs w:val="false"/>
                <w:sz w:val="17"/>
                <w:szCs w:val="17"/>
              </w:rPr>
              <w:t xml:space="preserve">DEF-003</w:t>
            </w:r>
          </w:p>
        </w:tc>
        <w:tc>
          <w:tcPr>
            <w:tcW w:type="dxa" w:w="8140"/>
            <w:tcMar>
              <w:top w:type="dxa" w:w="70"/>
              <w:left w:type="dxa" w:w="90"/>
              <w:bottom w:type="dxa" w:w="70"/>
              <w:right w:type="dxa" w:w="90"/>
            </w:tcMar>
          </w:tcPr>
          <w:p>
            <w:r>
              <w:rPr>
                <w:b w:val="false"/>
                <w:bCs w:val="false"/>
                <w:sz w:val="17"/>
                <w:szCs w:val="17"/>
              </w:rPr>
              <w:t xml:space="preserve">Missing requirement; since no rule was ever written for same-account transfers, there was nothing for a developer or reviewer to check the implementation against.</w:t>
            </w:r>
          </w:p>
        </w:tc>
      </w:tr>
      <w:tr>
        <w:tc>
          <w:tcPr>
            <w:tcW w:type="dxa" w:w="1200"/>
            <w:tcMar>
              <w:top w:type="dxa" w:w="70"/>
              <w:left w:type="dxa" w:w="90"/>
              <w:bottom w:type="dxa" w:w="70"/>
              <w:right w:type="dxa" w:w="90"/>
            </w:tcMar>
          </w:tcPr>
          <w:p>
            <w:r>
              <w:rPr>
                <w:b w:val="false"/>
                <w:bCs w:val="false"/>
                <w:sz w:val="17"/>
                <w:szCs w:val="17"/>
              </w:rPr>
              <w:t xml:space="preserve">DEF-004</w:t>
            </w:r>
          </w:p>
        </w:tc>
        <w:tc>
          <w:tcPr>
            <w:tcW w:type="dxa" w:w="8140"/>
            <w:tcMar>
              <w:top w:type="dxa" w:w="70"/>
              <w:left w:type="dxa" w:w="90"/>
              <w:bottom w:type="dxa" w:w="70"/>
              <w:right w:type="dxa" w:w="90"/>
            </w:tcMar>
          </w:tcPr>
          <w:p>
            <w:r>
              <w:rPr>
                <w:b w:val="false"/>
                <w:bCs w:val="false"/>
                <w:sz w:val="17"/>
                <w:szCs w:val="17"/>
              </w:rPr>
              <w:t xml:space="preserve">Missing design decision; because the design phase never specified a validation point for payee account numbers, this gap was structurally invisible to code review, which checks implementation against design, not against an absent design decision.</w:t>
            </w:r>
          </w:p>
        </w:tc>
      </w:tr>
      <w:tr>
        <w:tc>
          <w:tcPr>
            <w:tcW w:type="dxa" w:w="1200"/>
            <w:tcMar>
              <w:top w:type="dxa" w:w="70"/>
              <w:left w:type="dxa" w:w="90"/>
              <w:bottom w:type="dxa" w:w="70"/>
              <w:right w:type="dxa" w:w="90"/>
            </w:tcMar>
          </w:tcPr>
          <w:p>
            <w:r>
              <w:rPr>
                <w:b w:val="false"/>
                <w:bCs w:val="false"/>
                <w:sz w:val="17"/>
                <w:szCs w:val="17"/>
              </w:rPr>
              <w:t xml:space="preserve">DEF-005</w:t>
            </w:r>
          </w:p>
        </w:tc>
        <w:tc>
          <w:tcPr>
            <w:tcW w:type="dxa" w:w="8140"/>
            <w:tcMar>
              <w:top w:type="dxa" w:w="70"/>
              <w:left w:type="dxa" w:w="90"/>
              <w:bottom w:type="dxa" w:w="70"/>
              <w:right w:type="dxa" w:w="90"/>
            </w:tcMar>
          </w:tcPr>
          <w:p>
            <w:r>
              <w:rPr>
                <w:b w:val="false"/>
                <w:bCs w:val="false"/>
                <w:sz w:val="17"/>
                <w:szCs w:val="17"/>
              </w:rPr>
              <w:t xml:space="preserve">Coding issue not caught in code review, most likely because the specific invalid combination (down payment exceeding loan amount) is a natural boundary condition that is easy to overlook without an explicit test case targeting it, which is exactly the gap Phase 3's Boundary Value Analysis was designed to close.</w:t>
            </w:r>
          </w:p>
        </w:tc>
      </w:tr>
      <w:tr>
        <w:tc>
          <w:tcPr>
            <w:tcW w:type="dxa" w:w="1200"/>
            <w:tcMar>
              <w:top w:type="dxa" w:w="70"/>
              <w:left w:type="dxa" w:w="90"/>
              <w:bottom w:type="dxa" w:w="70"/>
              <w:right w:type="dxa" w:w="90"/>
            </w:tcMar>
          </w:tcPr>
          <w:p>
            <w:r>
              <w:rPr>
                <w:b w:val="false"/>
                <w:bCs w:val="false"/>
                <w:sz w:val="17"/>
                <w:szCs w:val="17"/>
              </w:rPr>
              <w:t xml:space="preserve">DEF-006</w:t>
            </w:r>
          </w:p>
        </w:tc>
        <w:tc>
          <w:tcPr>
            <w:tcW w:type="dxa" w:w="8140"/>
            <w:tcMar>
              <w:top w:type="dxa" w:w="70"/>
              <w:left w:type="dxa" w:w="90"/>
              <w:bottom w:type="dxa" w:w="70"/>
              <w:right w:type="dxa" w:w="90"/>
            </w:tcMar>
          </w:tcPr>
          <w:p>
            <w:r>
              <w:rPr>
                <w:b w:val="false"/>
                <w:bCs w:val="false"/>
                <w:sz w:val="17"/>
                <w:szCs w:val="17"/>
              </w:rPr>
              <w:t xml:space="preserve">Coding issue (case-sensitive comparison) not caught in code review; this is a common, easy-to-miss implementation detail unless a reviewer specifically considers case-sensitivity for identifier comparisons.</w:t>
            </w:r>
          </w:p>
        </w:tc>
      </w:tr>
      <w:tr>
        <w:tc>
          <w:tcPr>
            <w:tcW w:type="dxa" w:w="1200"/>
            <w:tcMar>
              <w:top w:type="dxa" w:w="70"/>
              <w:left w:type="dxa" w:w="90"/>
              <w:bottom w:type="dxa" w:w="70"/>
              <w:right w:type="dxa" w:w="90"/>
            </w:tcMar>
          </w:tcPr>
          <w:p>
            <w:r>
              <w:rPr>
                <w:b w:val="false"/>
                <w:bCs w:val="false"/>
                <w:sz w:val="17"/>
                <w:szCs w:val="17"/>
              </w:rPr>
              <w:t xml:space="preserve">DEF-007</w:t>
            </w:r>
          </w:p>
        </w:tc>
        <w:tc>
          <w:tcPr>
            <w:tcW w:type="dxa" w:w="8140"/>
            <w:tcMar>
              <w:top w:type="dxa" w:w="70"/>
              <w:left w:type="dxa" w:w="90"/>
              <w:bottom w:type="dxa" w:w="70"/>
              <w:right w:type="dxa" w:w="90"/>
            </w:tcMar>
          </w:tcPr>
          <w:p>
            <w:r>
              <w:rPr>
                <w:b w:val="false"/>
                <w:bCs w:val="false"/>
                <w:sz w:val="17"/>
                <w:szCs w:val="17"/>
              </w:rPr>
              <w:t xml:space="preserve">Coding issue; race conditions are notoriously difficult to catch via code review or single-threaded manual testing, since the defect only manifests under specific timing conditions that a normal, sequential walkthrough of the code would not surface.</w:t>
            </w:r>
          </w:p>
        </w:tc>
      </w:tr>
      <w:tr>
        <w:tc>
          <w:tcPr>
            <w:tcW w:type="dxa" w:w="1200"/>
            <w:tcMar>
              <w:top w:type="dxa" w:w="70"/>
              <w:left w:type="dxa" w:w="90"/>
              <w:bottom w:type="dxa" w:w="70"/>
              <w:right w:type="dxa" w:w="90"/>
            </w:tcMar>
          </w:tcPr>
          <w:p>
            <w:r>
              <w:rPr>
                <w:b w:val="false"/>
                <w:bCs w:val="false"/>
                <w:sz w:val="17"/>
                <w:szCs w:val="17"/>
              </w:rPr>
              <w:t xml:space="preserve">DEF-008</w:t>
            </w:r>
          </w:p>
        </w:tc>
        <w:tc>
          <w:tcPr>
            <w:tcW w:type="dxa" w:w="8140"/>
            <w:tcMar>
              <w:top w:type="dxa" w:w="70"/>
              <w:left w:type="dxa" w:w="90"/>
              <w:bottom w:type="dxa" w:w="70"/>
              <w:right w:type="dxa" w:w="90"/>
            </w:tcMar>
          </w:tcPr>
          <w:p>
            <w:r>
              <w:rPr>
                <w:b w:val="false"/>
                <w:bCs w:val="false"/>
                <w:sz w:val="17"/>
                <w:szCs w:val="17"/>
              </w:rPr>
              <w:t xml:space="preserve">Coding issue combined with insufficient testing coverage; this defect required a specific exploratory technique (post-logout back-navigation with developer tools) that was outside the scope of standard functional or even standard manual QA testing, explaining why it was not caught earlier in either development or initial QA passes.</w:t>
            </w:r>
          </w:p>
        </w:tc>
      </w:tr>
      <w:tr>
        <w:tc>
          <w:tcPr>
            <w:tcW w:type="dxa" w:w="1200"/>
            <w:tcMar>
              <w:top w:type="dxa" w:w="70"/>
              <w:left w:type="dxa" w:w="90"/>
              <w:bottom w:type="dxa" w:w="70"/>
              <w:right w:type="dxa" w:w="90"/>
            </w:tcMar>
          </w:tcPr>
          <w:p>
            <w:r>
              <w:rPr>
                <w:b w:val="false"/>
                <w:bCs w:val="false"/>
                <w:sz w:val="17"/>
                <w:szCs w:val="17"/>
              </w:rPr>
              <w:t xml:space="preserve">DEF-009</w:t>
            </w:r>
          </w:p>
        </w:tc>
        <w:tc>
          <w:tcPr>
            <w:tcW w:type="dxa" w:w="8140"/>
            <w:tcMar>
              <w:top w:type="dxa" w:w="70"/>
              <w:left w:type="dxa" w:w="90"/>
              <w:bottom w:type="dxa" w:w="70"/>
              <w:right w:type="dxa" w:w="90"/>
            </w:tcMar>
          </w:tcPr>
          <w:p>
            <w:r>
              <w:rPr>
                <w:b w:val="false"/>
                <w:bCs w:val="false"/>
                <w:sz w:val="17"/>
                <w:szCs w:val="17"/>
              </w:rPr>
              <w:t xml:space="preserve">Design issue; inconsistent application of validation rules across form fields suggests no single validation framework or checklist was used during design, making this the kind of gap that is easy to miss without a systematic field-by-field validation specification.</w:t>
            </w:r>
          </w:p>
        </w:tc>
      </w:tr>
      <w:tr>
        <w:tc>
          <w:tcPr>
            <w:tcW w:type="dxa" w:w="1200"/>
            <w:tcMar>
              <w:top w:type="dxa" w:w="70"/>
              <w:left w:type="dxa" w:w="90"/>
              <w:bottom w:type="dxa" w:w="70"/>
              <w:right w:type="dxa" w:w="90"/>
            </w:tcMar>
          </w:tcPr>
          <w:p>
            <w:r>
              <w:rPr>
                <w:b w:val="false"/>
                <w:bCs w:val="false"/>
                <w:sz w:val="17"/>
                <w:szCs w:val="17"/>
              </w:rPr>
              <w:t xml:space="preserve">DEF-010</w:t>
            </w:r>
          </w:p>
        </w:tc>
        <w:tc>
          <w:tcPr>
            <w:tcW w:type="dxa" w:w="8140"/>
            <w:tcMar>
              <w:top w:type="dxa" w:w="70"/>
              <w:left w:type="dxa" w:w="90"/>
              <w:bottom w:type="dxa" w:w="70"/>
              <w:right w:type="dxa" w:w="90"/>
            </w:tcMar>
          </w:tcPr>
          <w:p>
            <w:r>
              <w:rPr>
                <w:b w:val="false"/>
                <w:bCs w:val="false"/>
                <w:sz w:val="17"/>
                <w:szCs w:val="17"/>
              </w:rPr>
              <w:t xml:space="preserve">Design issue combined with insufficient security-specific testing; standard functional testing (does login correctly reject invalid credentials?) would pass even with this defect present, since the functional outcome is correct — only a security-focused comparison of the two error paths side-by-side reveals the issue.</w:t>
            </w:r>
          </w:p>
        </w:tc>
      </w:tr>
      <w:tr>
        <w:tc>
          <w:tcPr>
            <w:tcW w:type="dxa" w:w="1200"/>
            <w:tcMar>
              <w:top w:type="dxa" w:w="70"/>
              <w:left w:type="dxa" w:w="90"/>
              <w:bottom w:type="dxa" w:w="70"/>
              <w:right w:type="dxa" w:w="90"/>
            </w:tcMar>
          </w:tcPr>
          <w:p>
            <w:r>
              <w:rPr>
                <w:b w:val="false"/>
                <w:bCs w:val="false"/>
                <w:sz w:val="17"/>
                <w:szCs w:val="17"/>
              </w:rPr>
              <w:t xml:space="preserve">DEF-011</w:t>
            </w:r>
          </w:p>
        </w:tc>
        <w:tc>
          <w:tcPr>
            <w:tcW w:type="dxa" w:w="8140"/>
            <w:tcMar>
              <w:top w:type="dxa" w:w="70"/>
              <w:left w:type="dxa" w:w="90"/>
              <w:bottom w:type="dxa" w:w="70"/>
              <w:right w:type="dxa" w:w="90"/>
            </w:tcMar>
          </w:tcPr>
          <w:p>
            <w:r>
              <w:rPr>
                <w:b w:val="false"/>
                <w:bCs w:val="false"/>
                <w:sz w:val="17"/>
                <w:szCs w:val="17"/>
              </w:rPr>
              <w:t xml:space="preserve">Coding issue; a missing input-length constraint is a common omission when a field's maximum length is not explicitly specified during design, and standard functional testing with realistic-length data would never trigger this defect.</w:t>
            </w:r>
          </w:p>
        </w:tc>
      </w:tr>
    </w:tbl>
    <w:p>
      <w:pPr>
        <w:spacing w:after="100"/>
      </w:pPr>
    </w:p>
    <w:p>
      <w:pPr>
        <w:pStyle w:val="Heading2"/>
        <w:spacing w:after="120" w:before="240"/>
      </w:pPr>
      <w:r>
        <w:t xml:space="preserve">10.4.12 Bug Advocacy Exercise</w:t>
      </w:r>
    </w:p>
    <w:p>
      <w:pPr>
        <w:spacing w:after="120"/>
      </w:pPr>
      <w:r>
        <w:t xml:space="preserve">Professional management recommendations for the Top 3 most significant defects.</w:t>
      </w:r>
    </w:p>
    <w:p>
      <w:pPr>
        <w:pStyle w:val="Heading3"/>
        <w:spacing w:after="100" w:before="200"/>
      </w:pPr>
      <w:r>
        <w:t xml:space="preserve">1. DEF-007 — Rapid consecutive transfers can over-draw an account</w:t>
      </w:r>
    </w:p>
    <w:p>
      <w:pPr>
        <w:spacing w:after="120"/>
      </w:pPr>
      <w:r>
        <w:t xml:space="preserve">Business impact: If two transfer requests happen close together, whether from a customer double-tapping a button, a slow connection causing a retry, or genuinely quick back-to-back actions, the account can end up with less money in it than the system's own rules say should be possible. In a banking product, that is not a minor glitch; it means the bank's own ledger can become internally inconsistent through completely ordinary customer behaviour, with no malicious intent required.</w:t>
      </w:r>
    </w:p>
    <w:p>
      <w:pPr>
        <w:spacing w:after="120"/>
      </w:pPr>
      <w:r>
        <w:t xml:space="preserve">Why it must be fixed before release: This defect requires no unusual skill or malicious intent to trigger, only a fast double-click or a flaky network retry, both of which happen routinely in real-world usage. Releasing with this open risks real customer-reported balance discrepancies within the first days of live usage, each of which becomes a costly, manual reconciliation case for the bank's operations team.</w:t>
      </w:r>
    </w:p>
    <w:p>
      <w:pPr>
        <w:spacing w:after="120"/>
      </w:pPr>
      <w:r>
        <w:t xml:space="preserve">Proposed course of action: Fix by making the balance-check-and-deduct operation atomic (a single database transaction with proper locking) rather than two separate steps, then retest specifically with the same rapid-succession scenario (TC-033) plus at least one additional concurrency variation before this defect is marked Closed.</w:t>
      </w:r>
    </w:p>
    <w:p>
      <w:pPr>
        <w:pStyle w:val="Heading3"/>
        <w:spacing w:after="100" w:before="200"/>
      </w:pPr>
      <w:r>
        <w:t xml:space="preserve">2. DEF-005 — Loan approved despite down payment exceeding the requested amount</w:t>
      </w:r>
    </w:p>
    <w:p>
      <w:pPr>
        <w:spacing w:after="120"/>
      </w:pPr>
      <w:r>
        <w:t xml:space="preserve">Business impact: The loan decision engine is supposed to be the bank's automated safeguard for lending risk. This defect shows that safeguard can be bypassed with a simple, almost accidental input combination, meaning the bank could end up approving loans that do not make basic financial sense, without any human in the loop catching it.</w:t>
      </w:r>
    </w:p>
    <w:p>
      <w:pPr>
        <w:spacing w:after="120"/>
      </w:pPr>
      <w:r>
        <w:t xml:space="preserve">Why it must be fixed before release: Automated lending decisions are exactly the kind of feature where a single logic gap can be repeated at scale with no natural limit, unlike a one-off manual error. Every day this remains live is a day the bank's lending exposure is not actually protected by the control it believes it has in place.</w:t>
      </w:r>
    </w:p>
    <w:p>
      <w:pPr>
        <w:spacing w:after="120"/>
      </w:pPr>
      <w:r>
        <w:t xml:space="preserve">Proposed course of action: Add an explicit validation rule rejecting any loan request where the down payment exceeds the requested amount before the decision logic is even evaluated, then retest against the full loan boundary set from Phase 3 (TC-044 through TC-050) to confirm no other combination bypasses the same safeguard.</w:t>
      </w:r>
    </w:p>
    <w:p>
      <w:pPr>
        <w:pStyle w:val="Heading3"/>
        <w:spacing w:after="100" w:before="200"/>
      </w:pPr>
      <w:r>
        <w:t xml:space="preserve">3. DEF-008 — Session remains briefly accessible after logout via browser back button</w:t>
      </w:r>
    </w:p>
    <w:p>
      <w:pPr>
        <w:spacing w:after="120"/>
      </w:pPr>
      <w:r>
        <w:t xml:space="preserve">Business impact: Customers are told that logging out protects their account, especially on a shared or public computer. If account information can still appear for even a moment after logout, that promise is not fully true, and on a banking application, that gap directly undermines the basic security assurance customers are relying on.</w:t>
      </w:r>
    </w:p>
    <w:p>
      <w:pPr>
        <w:spacing w:after="120"/>
      </w:pPr>
      <w:r>
        <w:t xml:space="preserve">Why it must be fixed before release: This is exactly the kind of defect that, if discovered independently by a security researcher or a customer after release, becomes a public trust and reputation issue disproportionate to its technical complexity to fix; the cost of fixing it now is far lower than the cost of explaining it after the fact.</w:t>
      </w:r>
    </w:p>
    <w:p>
      <w:pPr>
        <w:spacing w:after="120"/>
      </w:pPr>
      <w:r>
        <w:t xml:space="preserve">Proposed course of action: Ensure logout fully and immediately invalidates the session token server-side, not just client-side UI state, then retest specifically using the back-button and direct-URL-navigation techniques that originally surfaced this defect, confirming the fix before moving this defect from In Progress to Closed.</w:t>
      </w:r>
    </w:p>
    <w:p>
      <w:pPr>
        <w:spacing w:after="100"/>
      </w:pPr>
    </w:p>
    <w:p>
      <w:pPr>
        <w:pStyle w:val="Heading2"/>
        <w:spacing w:after="120" w:before="240"/>
      </w:pPr>
      <w:r>
        <w:t xml:space="preserve">10.4.13 Exploratory Testing Missions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3640"/>
      </w:tblGrid>
      <w:tr>
        <w:trPr>
          <w:tblHeader/>
        </w:trPr>
        <w:tc>
          <w:tcPr>
            <w:tcW w:type="dxa" w:w="1500"/>
            <w:shd w:fill="1F4E5F" w:val="clear"/>
            <w:tcMar>
              <w:top w:type="dxa" w:w="70"/>
              <w:left w:type="dxa" w:w="90"/>
              <w:bottom w:type="dxa" w:w="70"/>
              <w:right w:type="dxa" w:w="90"/>
            </w:tcMar>
          </w:tcPr>
          <w:p>
            <w:r>
              <w:rPr>
                <w:b/>
                <w:bCs/>
                <w:color w:val="FFFFFF"/>
                <w:sz w:val="17"/>
                <w:szCs w:val="17"/>
              </w:rPr>
              <w:t xml:space="preserve">Mission</w:t>
            </w:r>
          </w:p>
        </w:tc>
        <w:tc>
          <w:tcPr>
            <w:tcW w:type="dxa" w:w="2200"/>
            <w:shd w:fill="1F4E5F" w:val="clear"/>
            <w:tcMar>
              <w:top w:type="dxa" w:w="70"/>
              <w:left w:type="dxa" w:w="90"/>
              <w:bottom w:type="dxa" w:w="70"/>
              <w:right w:type="dxa" w:w="90"/>
            </w:tcMar>
          </w:tcPr>
          <w:p>
            <w:r>
              <w:rPr>
                <w:b/>
                <w:bCs/>
                <w:color w:val="FFFFFF"/>
                <w:sz w:val="17"/>
                <w:szCs w:val="17"/>
              </w:rPr>
              <w:t xml:space="preserve">Objective</w:t>
            </w:r>
          </w:p>
        </w:tc>
        <w:tc>
          <w:tcPr>
            <w:tcW w:type="dxa" w:w="2300"/>
            <w:shd w:fill="1F4E5F" w:val="clear"/>
            <w:tcMar>
              <w:top w:type="dxa" w:w="70"/>
              <w:left w:type="dxa" w:w="90"/>
              <w:bottom w:type="dxa" w:w="70"/>
              <w:right w:type="dxa" w:w="90"/>
            </w:tcMar>
          </w:tcPr>
          <w:p>
            <w:r>
              <w:rPr>
                <w:b/>
                <w:bCs/>
                <w:color w:val="FFFFFF"/>
                <w:sz w:val="17"/>
                <w:szCs w:val="17"/>
              </w:rPr>
              <w:t xml:space="preserve">Areas Explored</w:t>
            </w:r>
          </w:p>
        </w:tc>
        <w:tc>
          <w:tcPr>
            <w:tcW w:type="dxa" w:w="3640"/>
            <w:shd w:fill="1F4E5F" w:val="clear"/>
            <w:tcMar>
              <w:top w:type="dxa" w:w="70"/>
              <w:left w:type="dxa" w:w="90"/>
              <w:bottom w:type="dxa" w:w="70"/>
              <w:right w:type="dxa" w:w="90"/>
            </w:tcMar>
          </w:tcPr>
          <w:p>
            <w:r>
              <w:rPr>
                <w:b/>
                <w:bCs/>
                <w:color w:val="FFFFFF"/>
                <w:sz w:val="17"/>
                <w:szCs w:val="17"/>
              </w:rPr>
              <w:t xml:space="preserve">Findings Summary</w:t>
            </w:r>
          </w:p>
        </w:tc>
      </w:tr>
      <w:tr>
        <w:tc>
          <w:tcPr>
            <w:tcW w:type="dxa" w:w="1500"/>
            <w:tcMar>
              <w:top w:type="dxa" w:w="70"/>
              <w:left w:type="dxa" w:w="90"/>
              <w:bottom w:type="dxa" w:w="70"/>
              <w:right w:type="dxa" w:w="90"/>
            </w:tcMar>
          </w:tcPr>
          <w:p>
            <w:r>
              <w:rPr>
                <w:b w:val="false"/>
                <w:bCs w:val="false"/>
                <w:sz w:val="17"/>
                <w:szCs w:val="17"/>
              </w:rPr>
              <w:t xml:space="preserve">Mission 1: Break Login</w:t>
            </w:r>
          </w:p>
        </w:tc>
        <w:tc>
          <w:tcPr>
            <w:tcW w:type="dxa" w:w="2200"/>
            <w:tcMar>
              <w:top w:type="dxa" w:w="70"/>
              <w:left w:type="dxa" w:w="90"/>
              <w:bottom w:type="dxa" w:w="70"/>
              <w:right w:type="dxa" w:w="90"/>
            </w:tcMar>
          </w:tcPr>
          <w:p>
            <w:r>
              <w:rPr>
                <w:b w:val="false"/>
                <w:bCs w:val="false"/>
                <w:sz w:val="17"/>
                <w:szCs w:val="17"/>
              </w:rPr>
              <w:t xml:space="preserve">Attempt to bypass or break authentication</w:t>
            </w:r>
          </w:p>
        </w:tc>
        <w:tc>
          <w:tcPr>
            <w:tcW w:type="dxa" w:w="2300"/>
            <w:tcMar>
              <w:top w:type="dxa" w:w="70"/>
              <w:left w:type="dxa" w:w="90"/>
              <w:bottom w:type="dxa" w:w="70"/>
              <w:right w:type="dxa" w:w="90"/>
            </w:tcMar>
          </w:tcPr>
          <w:p>
            <w:r>
              <w:rPr>
                <w:b w:val="false"/>
                <w:bCs w:val="false"/>
                <w:sz w:val="17"/>
                <w:szCs w:val="17"/>
              </w:rPr>
              <w:t xml:space="preserve">Login form, session cookies/tokens, logout flow, browser back-button behaviour, direct URL access after logout</w:t>
            </w:r>
          </w:p>
        </w:tc>
        <w:tc>
          <w:tcPr>
            <w:tcW w:type="dxa" w:w="3640"/>
            <w:tcMar>
              <w:top w:type="dxa" w:w="70"/>
              <w:left w:type="dxa" w:w="90"/>
              <w:bottom w:type="dxa" w:w="70"/>
              <w:right w:type="dxa" w:w="90"/>
            </w:tcMar>
          </w:tcPr>
          <w:p>
            <w:r>
              <w:rPr>
                <w:b w:val="false"/>
                <w:bCs w:val="false"/>
                <w:sz w:val="17"/>
                <w:szCs w:val="17"/>
              </w:rPr>
              <w:t xml:space="preserve">Found DEF-008 (session remains briefly accessible after logout via back button). No successful authentication bypass was achieved through injection-style input (consistent with TC-016 passing). No account lockout after repeated failed attempts was observed — noted as a risk rather than a raised defect, since no explicit requirement mandates lockout behaviour.</w:t>
            </w:r>
          </w:p>
        </w:tc>
      </w:tr>
      <w:tr>
        <w:tc>
          <w:tcPr>
            <w:tcW w:type="dxa" w:w="1500"/>
            <w:tcMar>
              <w:top w:type="dxa" w:w="70"/>
              <w:left w:type="dxa" w:w="90"/>
              <w:bottom w:type="dxa" w:w="70"/>
              <w:right w:type="dxa" w:w="90"/>
            </w:tcMar>
          </w:tcPr>
          <w:p>
            <w:r>
              <w:rPr>
                <w:b w:val="false"/>
                <w:bCs w:val="false"/>
                <w:sz w:val="17"/>
                <w:szCs w:val="17"/>
              </w:rPr>
              <w:t xml:space="preserve">Mission 2: Break Registration</w:t>
            </w:r>
          </w:p>
        </w:tc>
        <w:tc>
          <w:tcPr>
            <w:tcW w:type="dxa" w:w="2200"/>
            <w:tcMar>
              <w:top w:type="dxa" w:w="70"/>
              <w:left w:type="dxa" w:w="90"/>
              <w:bottom w:type="dxa" w:w="70"/>
              <w:right w:type="dxa" w:w="90"/>
            </w:tcMar>
          </w:tcPr>
          <w:p>
            <w:r>
              <w:rPr>
                <w:b w:val="false"/>
                <w:bCs w:val="false"/>
                <w:sz w:val="17"/>
                <w:szCs w:val="17"/>
              </w:rPr>
              <w:t xml:space="preserve">Attempt invalid or extreme registration inputs</w:t>
            </w:r>
          </w:p>
        </w:tc>
        <w:tc>
          <w:tcPr>
            <w:tcW w:type="dxa" w:w="2300"/>
            <w:tcMar>
              <w:top w:type="dxa" w:w="70"/>
              <w:left w:type="dxa" w:w="90"/>
              <w:bottom w:type="dxa" w:w="70"/>
              <w:right w:type="dxa" w:w="90"/>
            </w:tcMar>
          </w:tcPr>
          <w:p>
            <w:r>
              <w:rPr>
                <w:b w:val="false"/>
                <w:bCs w:val="false"/>
                <w:sz w:val="17"/>
                <w:szCs w:val="17"/>
              </w:rPr>
              <w:t xml:space="preserve">SSN field, phone field, address field, username field, extreme-length inputs across all fields</w:t>
            </w:r>
          </w:p>
        </w:tc>
        <w:tc>
          <w:tcPr>
            <w:tcW w:type="dxa" w:w="3640"/>
            <w:tcMar>
              <w:top w:type="dxa" w:w="70"/>
              <w:left w:type="dxa" w:w="90"/>
              <w:bottom w:type="dxa" w:w="70"/>
              <w:right w:type="dxa" w:w="90"/>
            </w:tcMar>
          </w:tcPr>
          <w:p>
            <w:r>
              <w:rPr>
                <w:b w:val="false"/>
                <w:bCs w:val="false"/>
                <w:sz w:val="17"/>
                <w:szCs w:val="17"/>
              </w:rPr>
              <w:t xml:space="preserve">Found DEF-009 (SSN field accepts non-numeric input with no validation). Other fields tested with similarly malformed input (phone, address) did not reveal further defects within the session's time-box, suggesting the gap is specific to SSN rather than systemic across the whole form.</w:t>
            </w:r>
          </w:p>
        </w:tc>
      </w:tr>
      <w:tr>
        <w:tc>
          <w:tcPr>
            <w:tcW w:type="dxa" w:w="1500"/>
            <w:tcMar>
              <w:top w:type="dxa" w:w="70"/>
              <w:left w:type="dxa" w:w="90"/>
              <w:bottom w:type="dxa" w:w="70"/>
              <w:right w:type="dxa" w:w="90"/>
            </w:tcMar>
          </w:tcPr>
          <w:p>
            <w:r>
              <w:rPr>
                <w:b w:val="false"/>
                <w:bCs w:val="false"/>
                <w:sz w:val="17"/>
                <w:szCs w:val="17"/>
              </w:rPr>
              <w:t xml:space="preserve">Mission 3: Break Transfers</w:t>
            </w:r>
          </w:p>
        </w:tc>
        <w:tc>
          <w:tcPr>
            <w:tcW w:type="dxa" w:w="2200"/>
            <w:tcMar>
              <w:top w:type="dxa" w:w="70"/>
              <w:left w:type="dxa" w:w="90"/>
              <w:bottom w:type="dxa" w:w="70"/>
              <w:right w:type="dxa" w:w="90"/>
            </w:tcMar>
          </w:tcPr>
          <w:p>
            <w:r>
              <w:rPr>
                <w:b w:val="false"/>
                <w:bCs w:val="false"/>
                <w:sz w:val="17"/>
                <w:szCs w:val="17"/>
              </w:rPr>
              <w:t xml:space="preserve">Attempt invalid transfer scenarios</w:t>
            </w:r>
          </w:p>
        </w:tc>
        <w:tc>
          <w:tcPr>
            <w:tcW w:type="dxa" w:w="2300"/>
            <w:tcMar>
              <w:top w:type="dxa" w:w="70"/>
              <w:left w:type="dxa" w:w="90"/>
              <w:bottom w:type="dxa" w:w="70"/>
              <w:right w:type="dxa" w:w="90"/>
            </w:tcMar>
          </w:tcPr>
          <w:p>
            <w:r>
              <w:rPr>
                <w:b w:val="false"/>
                <w:bCs w:val="false"/>
                <w:sz w:val="17"/>
                <w:szCs w:val="17"/>
              </w:rPr>
              <w:t xml:space="preserve">Rapid/concurrent transfers, exact-boundary amounts, same-account transfers, extreme amount values</w:t>
            </w:r>
          </w:p>
        </w:tc>
        <w:tc>
          <w:tcPr>
            <w:tcW w:type="dxa" w:w="3640"/>
            <w:tcMar>
              <w:top w:type="dxa" w:w="70"/>
              <w:left w:type="dxa" w:w="90"/>
              <w:bottom w:type="dxa" w:w="70"/>
              <w:right w:type="dxa" w:w="90"/>
            </w:tcMar>
          </w:tcPr>
          <w:p>
            <w:r>
              <w:rPr>
                <w:b w:val="false"/>
                <w:bCs w:val="false"/>
                <w:sz w:val="17"/>
                <w:szCs w:val="17"/>
              </w:rPr>
              <w:t xml:space="preserve">No new defects beyond those already found via scripted testing (DEF-002, DEF-003, DEF-007). This session is treated as a valuable negative result confirming the Phase 3 boundary and negative test design for this module was already well-targeted.</w:t>
            </w:r>
          </w:p>
        </w:tc>
      </w:tr>
      <w:tr>
        <w:tc>
          <w:tcPr>
            <w:tcW w:type="dxa" w:w="1500"/>
            <w:tcMar>
              <w:top w:type="dxa" w:w="70"/>
              <w:left w:type="dxa" w:w="90"/>
              <w:bottom w:type="dxa" w:w="70"/>
              <w:right w:type="dxa" w:w="90"/>
            </w:tcMar>
          </w:tcPr>
          <w:p>
            <w:r>
              <w:rPr>
                <w:b w:val="false"/>
                <w:bCs w:val="false"/>
                <w:sz w:val="17"/>
                <w:szCs w:val="17"/>
              </w:rPr>
              <w:t xml:space="preserve">Mission 4: Break Bill Pay</w:t>
            </w:r>
          </w:p>
        </w:tc>
        <w:tc>
          <w:tcPr>
            <w:tcW w:type="dxa" w:w="2200"/>
            <w:tcMar>
              <w:top w:type="dxa" w:w="70"/>
              <w:left w:type="dxa" w:w="90"/>
              <w:bottom w:type="dxa" w:w="70"/>
              <w:right w:type="dxa" w:w="90"/>
            </w:tcMar>
          </w:tcPr>
          <w:p>
            <w:r>
              <w:rPr>
                <w:b w:val="false"/>
                <w:bCs w:val="false"/>
                <w:sz w:val="17"/>
                <w:szCs w:val="17"/>
              </w:rPr>
              <w:t xml:space="preserve">Attempt invalid or boundary bill payment inputs</w:t>
            </w:r>
          </w:p>
        </w:tc>
        <w:tc>
          <w:tcPr>
            <w:tcW w:type="dxa" w:w="2300"/>
            <w:tcMar>
              <w:top w:type="dxa" w:w="70"/>
              <w:left w:type="dxa" w:w="90"/>
              <w:bottom w:type="dxa" w:w="70"/>
              <w:right w:type="dxa" w:w="90"/>
            </w:tcMar>
          </w:tcPr>
          <w:p>
            <w:r>
              <w:rPr>
                <w:b w:val="false"/>
                <w:bCs w:val="false"/>
                <w:sz w:val="17"/>
                <w:szCs w:val="17"/>
              </w:rPr>
              <w:t xml:space="preserve">Payee name/address field lengths, special characters, non-existent account numbers, rapid saved-payee reuse</w:t>
            </w:r>
          </w:p>
        </w:tc>
        <w:tc>
          <w:tcPr>
            <w:tcW w:type="dxa" w:w="3640"/>
            <w:tcMar>
              <w:top w:type="dxa" w:w="70"/>
              <w:left w:type="dxa" w:w="90"/>
              <w:bottom w:type="dxa" w:w="70"/>
              <w:right w:type="dxa" w:w="90"/>
            </w:tcMar>
          </w:tcPr>
          <w:p>
            <w:r>
              <w:rPr>
                <w:b w:val="false"/>
                <w:bCs w:val="false"/>
                <w:sz w:val="17"/>
                <w:szCs w:val="17"/>
              </w:rPr>
              <w:t xml:space="preserve">Found DEF-011 (excessively long payee name breaks confirmation page layout). The non-existent payee account number issue was already captured as DEF-004 via scripted testing (TC-042); this session confirmed the same behaviour independently through a slightly different input path.</w:t>
            </w:r>
          </w:p>
        </w:tc>
      </w:tr>
      <w:tr>
        <w:tc>
          <w:tcPr>
            <w:tcW w:type="dxa" w:w="1500"/>
            <w:tcMar>
              <w:top w:type="dxa" w:w="70"/>
              <w:left w:type="dxa" w:w="90"/>
              <w:bottom w:type="dxa" w:w="70"/>
              <w:right w:type="dxa" w:w="90"/>
            </w:tcMar>
          </w:tcPr>
          <w:p>
            <w:r>
              <w:rPr>
                <w:b w:val="false"/>
                <w:bCs w:val="false"/>
                <w:sz w:val="17"/>
                <w:szCs w:val="17"/>
              </w:rPr>
              <w:t xml:space="preserve">Mission 5: Security Exploration</w:t>
            </w:r>
          </w:p>
        </w:tc>
        <w:tc>
          <w:tcPr>
            <w:tcW w:type="dxa" w:w="2200"/>
            <w:tcMar>
              <w:top w:type="dxa" w:w="70"/>
              <w:left w:type="dxa" w:w="90"/>
              <w:bottom w:type="dxa" w:w="70"/>
              <w:right w:type="dxa" w:w="90"/>
            </w:tcMar>
          </w:tcPr>
          <w:p>
            <w:r>
              <w:rPr>
                <w:b w:val="false"/>
                <w:bCs w:val="false"/>
                <w:sz w:val="17"/>
                <w:szCs w:val="17"/>
              </w:rPr>
              <w:t xml:space="preserve">Explore for security vulnerabilities</w:t>
            </w:r>
          </w:p>
        </w:tc>
        <w:tc>
          <w:tcPr>
            <w:tcW w:type="dxa" w:w="2300"/>
            <w:tcMar>
              <w:top w:type="dxa" w:w="70"/>
              <w:left w:type="dxa" w:w="90"/>
              <w:bottom w:type="dxa" w:w="70"/>
              <w:right w:type="dxa" w:w="90"/>
            </w:tcMar>
          </w:tcPr>
          <w:p>
            <w:r>
              <w:rPr>
                <w:b w:val="false"/>
                <w:bCs w:val="false"/>
                <w:sz w:val="17"/>
                <w:szCs w:val="17"/>
              </w:rPr>
              <w:t xml:space="preserve">Login error-message comparison, session token inspection via browser developer tools, direct URL manipulation to attempt cross-account access</w:t>
            </w:r>
          </w:p>
        </w:tc>
        <w:tc>
          <w:tcPr>
            <w:tcW w:type="dxa" w:w="3640"/>
            <w:tcMar>
              <w:top w:type="dxa" w:w="70"/>
              <w:left w:type="dxa" w:w="90"/>
              <w:bottom w:type="dxa" w:w="70"/>
              <w:right w:type="dxa" w:w="90"/>
            </w:tcMar>
          </w:tcPr>
          <w:p>
            <w:r>
              <w:rPr>
                <w:b w:val="false"/>
                <w:bCs w:val="false"/>
                <w:sz w:val="17"/>
                <w:szCs w:val="17"/>
              </w:rPr>
              <w:t xml:space="preserve">Found DEF-010 (username enumeration via inconsistent error messaging). Direct URL manipulation to access another customer's account data was attempted using the cross_check_02 test account (per the Phase 4 Test Account Strategy) and did not succeed — no cross-customer data exposure defect was found, which is a meaningful positive security finding for NFR-SEC-003.</w:t>
            </w:r>
          </w:p>
        </w:tc>
      </w:tr>
    </w:tbl>
    <w:p>
      <w:pPr>
        <w:spacing w:after="100"/>
      </w:pPr>
    </w:p>
    <w:p>
      <w:pPr>
        <w:pStyle w:val="Heading1"/>
        <w:spacing w:after="150" w:before="300"/>
      </w:pPr>
      <w:r>
        <w:t xml:space="preserve">10.5 Additional Practical Activity: One-Hour Exploratory Testing Mission</w:t>
      </w:r>
    </w:p>
    <w:p>
      <w:pPr>
        <w:spacing w:after="120"/>
      </w:pPr>
      <w:r>
        <w:t xml:space="preserve">A dedicated, unscripted one-hour session was conducted after all five structured missions were complete, deliberately without a predefined charter, to see what would surface from genuinely free-form exploration rather than a targeted objective.</w:t>
      </w:r>
    </w:p>
    <w:p>
      <w:pPr>
        <w:pStyle w:val="Heading3"/>
        <w:spacing w:after="100" w:before="200"/>
      </w:pPr>
      <w:r>
        <w:t xml:space="preserve">Approach</w:t>
      </w:r>
    </w:p>
    <w:p>
      <w:pPr>
        <w:spacing w:after="120"/>
      </w:pPr>
      <w:r>
        <w:t xml:space="preserve">The session moved across modules freely rather than staying within one, following whatever seemed most likely to reveal unexpected behaviour: rapidly switching between browser tabs with two different logged-in accounts open simultaneously, using the browser's forward/back buttons in unconventional sequences mid-transaction, resizing the browser window during form submission, and attempting to submit forms multiple times in quick succession by rapidly clicking submit buttons.</w:t>
      </w:r>
    </w:p>
    <w:p>
      <w:pPr>
        <w:pStyle w:val="Heading3"/>
        <w:spacing w:after="100" w:before="200"/>
      </w:pPr>
      <w:r>
        <w:t xml:space="preserve">Findings and Observations</w:t>
      </w:r>
    </w:p>
    <w:p>
      <w:pPr>
        <w:pStyle w:val="ListParagraph"/>
        <w:numPr>
          <w:ilvl w:val="0"/>
          <w:numId w:val="1"/>
        </w:numPr>
        <w:spacing w:after="60"/>
      </w:pPr>
      <w:r>
        <w:t xml:space="preserve">Double-clicking the Transfer submit button in quick succession appears to be the same underlying mechanism behind DEF-007 rather than a separate defect — this session reinforced that the race condition is triggerable through ordinary UI interaction (not just deliberately timed separate requests), which raises its real-world likelihood beyond what the scripted TC-033 scenario alone suggested.</w:t>
      </w:r>
    </w:p>
    <w:p>
      <w:pPr>
        <w:pStyle w:val="ListParagraph"/>
        <w:numPr>
          <w:ilvl w:val="0"/>
          <w:numId w:val="1"/>
        </w:numPr>
        <w:spacing w:after="60"/>
      </w:pPr>
      <w:r>
        <w:t xml:space="preserve">Having two different customer accounts logged in via two separate browser tabs did not result in any session confusion or data bleed between the two — a positive finding, and a useful complement to the Mission 5 cross-account access test.</w:t>
      </w:r>
    </w:p>
    <w:p>
      <w:pPr>
        <w:pStyle w:val="ListParagraph"/>
        <w:numPr>
          <w:ilvl w:val="0"/>
          <w:numId w:val="1"/>
        </w:numPr>
        <w:spacing w:after="60"/>
      </w:pPr>
      <w:r>
        <w:t xml:space="preserve">Resizing the browser window mid-form-submission on Bill Pay did not cause any data loss or layout corruption beyond the pre-existing long-payee-name issue (DEF-011); the form appears to handle window resizing gracefully otherwise.</w:t>
      </w:r>
    </w:p>
    <w:p>
      <w:pPr>
        <w:pStyle w:val="ListParagraph"/>
        <w:numPr>
          <w:ilvl w:val="0"/>
          <w:numId w:val="1"/>
        </w:numPr>
        <w:spacing w:after="60"/>
      </w:pPr>
      <w:r>
        <w:t xml:space="preserve">No new distinct defect was found in this session beyond confirming and adding real-world context to DEF-007; this is reported honestly as a session that reinforced an existing finding rather than one that discovered something new, which is itself a useful data point about the maturity of the areas already tested.</w:t>
      </w:r>
    </w:p>
    <w:p>
      <w:pPr>
        <w:spacing w:after="100"/>
      </w:pPr>
    </w:p>
    <w:p>
      <w:pPr>
        <w:pStyle w:val="Heading1"/>
        <w:spacing w:after="150" w:before="300"/>
      </w:pPr>
      <w:r>
        <w:t xml:space="preserve">10.6 Professional Reflection</w:t>
      </w:r>
    </w:p>
    <w:p>
      <w:pPr>
        <w:pStyle w:val="Heading3"/>
        <w:spacing w:after="100" w:before="200"/>
      </w:pPr>
      <w:r>
        <w:t xml:space="preserve">28. Which defect was most significant and why?</w:t>
      </w:r>
    </w:p>
    <w:p>
      <w:pPr>
        <w:spacing w:after="120"/>
      </w:pPr>
      <w:r>
        <w:t xml:space="preserve">DEF-007, the rapid-consecutive-transfer race condition, was the most significant defect found in this phase, and the one-hour free exploration session reinforced why: it is triggerable through completely ordinary customer behaviour, a fast double-click, not a deliberately crafted attack, which means its real-world likelihood is far higher than a typical edge-case defect. It also sits at the exact intersection of everything Phase 1 and Phase 2 identified as highest risk: direct, unrecoverable financial impact on a feature ranked as the application's single highest-risk module.</w:t>
      </w:r>
    </w:p>
    <w:p>
      <w:pPr>
        <w:pStyle w:val="Heading3"/>
        <w:spacing w:after="100" w:before="200"/>
      </w:pPr>
      <w:r>
        <w:t xml:space="preserve">29. What surprised you during testing?</w:t>
      </w:r>
    </w:p>
    <w:p>
      <w:pPr>
        <w:spacing w:after="120"/>
      </w:pPr>
      <w:r>
        <w:t xml:space="preserve">I expected Registration, with its ten input fields, to produce more defects than Transfer Funds, which only has a handful of fields; the Defect Clustering Analysis showed the opposite; defect density tracked numeric and timing complexity far more than form complexity. I was also surprised that exploratory testing on Transfer Funds (Mission 3) found nothing new beyond the scripted defects already caught, since I expected free-form exploration to always outperform scripted testing, when in this case it mainly confirmed the scripted test design had already done its job well.</w:t>
      </w:r>
    </w:p>
    <w:p>
      <w:pPr>
        <w:pStyle w:val="Heading3"/>
        <w:spacing w:after="100" w:before="200"/>
      </w:pPr>
      <w:r>
        <w:t xml:space="preserve">30. Which investigative techniques worked most effectively?</w:t>
      </w:r>
    </w:p>
    <w:p>
      <w:pPr>
        <w:spacing w:after="120"/>
      </w:pPr>
      <w:r>
        <w:t xml:space="preserve">Side-by-side comparison was the most effective specific technique I used, most clearly demonstrated in finding DEF-010 by directly comparing the wrong-password and wrong-username error paths rather than testing each in isolation. More broadly, deliberately varying one dimension at a time, timing, input type, input length, sequencing, rather than randomly clicking around, is what turned exploratory testing from an unstructured activity into something that reliably produced findings I could actually trust and reproduce.</w:t>
      </w:r>
    </w:p>
    <w:p>
      <w:pPr>
        <w:pStyle w:val="Heading3"/>
        <w:spacing w:after="100" w:before="200"/>
      </w:pPr>
      <w:r>
        <w:t xml:space="preserve">31. What would you improve in your test execution approach?</w:t>
      </w:r>
    </w:p>
    <w:p>
      <w:pPr>
        <w:spacing w:after="120"/>
      </w:pPr>
      <w:r>
        <w:t xml:space="preserve">I would run at least one exploratory session per module before finalizing scripted test cases in Phase 3, rather than only after scripted execution in Phase 5, since Mission 1's session-token finding (DEF-008) is exactly the kind of result that should influence test design earlier, not just supplement it afterward. I would also build a lightweight concurrency/race-condition checklist into Phase 3's test design process directly, since DEF-007 and its reinforcement in the one-hour session suggest this defect class deserves a standard technique, not just a single ad hoc test case.</w:t>
      </w:r>
    </w:p>
    <w:p>
      <w:pPr>
        <w:pStyle w:val="Heading3"/>
        <w:spacing w:after="100" w:before="200"/>
      </w:pPr>
      <w:r>
        <w:t xml:space="preserve">32. How would this testing experience help you as a QA professional?</w:t>
      </w:r>
    </w:p>
    <w:p>
      <w:pPr>
        <w:spacing w:after="120"/>
      </w:pPr>
      <w:r>
        <w:t xml:space="preserve">This phase made the difference between finding a defect and building a case for a defect very concrete: a defect report with clear, reproducible steps and direct evidence (DEF-007's balance log) is what actually moves a team to fix something, versus a vague bug description that gets deprioritized. Being able to trace findings back through severity and priority justification, root cause, and escape analysis rather than just listing them is exactly the kind of rigor I'd want to bring to a real client engagement, where a defect list without that reasoning behind it reads as opinion rather than evidence.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2026-07-25T20:22:49.367Z</dcterms:created>
  <dcterms:modified xsi:type="dcterms:W3CDTF">2026-07-25T20:22:49.388Z</dcterms:modified>
</cp:coreProperties>
</file>

<file path=docProps/custom.xml><?xml version="1.0" encoding="utf-8"?>
<Properties xmlns="http://schemas.openxmlformats.org/officeDocument/2006/custom-properties" xmlns:vt="http://schemas.openxmlformats.org/officeDocument/2006/docPropsVTypes"/>
</file>