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03D8F" w14:textId="77777777" w:rsidR="00E90B3A" w:rsidRDefault="00000000">
      <w:pPr>
        <w:pStyle w:val="Title"/>
        <w:spacing w:after="100"/>
      </w:pPr>
      <w:r>
        <w:t>ParaBank Individual STLC Journey</w:t>
      </w:r>
    </w:p>
    <w:p w14:paraId="1816956E" w14:textId="77777777" w:rsidR="00E90B3A" w:rsidRDefault="00000000">
      <w:pPr>
        <w:pStyle w:val="Heading2"/>
        <w:spacing w:after="300"/>
      </w:pPr>
      <w:r>
        <w:t>Assignment 6: STLC Phase 6 — Quality Advisory &amp; Release Decision</w:t>
      </w:r>
    </w:p>
    <w:p w14:paraId="356F67D1" w14:textId="154B6DC8" w:rsidR="00E90B3A" w:rsidRDefault="00000000">
      <w:pPr>
        <w:spacing w:after="120"/>
      </w:pPr>
      <w:r>
        <w:rPr>
          <w:b/>
          <w:bCs/>
        </w:rPr>
        <w:t xml:space="preserve">Prepared by: </w:t>
      </w:r>
      <w:r w:rsidR="0095542D">
        <w:rPr>
          <w:b/>
          <w:bCs/>
        </w:rPr>
        <w:t>Kamogelo Sekhaolelo</w:t>
      </w:r>
    </w:p>
    <w:p w14:paraId="0DEE8203" w14:textId="77777777" w:rsidR="00E90B3A" w:rsidRDefault="00000000">
      <w:pPr>
        <w:spacing w:after="120"/>
      </w:pPr>
      <w:r>
        <w:t>Role: Junior QA Analyst, ABC Consulting</w:t>
      </w:r>
    </w:p>
    <w:p w14:paraId="11FE72B4" w14:textId="77777777" w:rsidR="00E90B3A" w:rsidRDefault="00000000">
      <w:pPr>
        <w:spacing w:after="120"/>
      </w:pPr>
      <w:r>
        <w:t>Client / System Under Test: ParaBank Online Banking Application (https://parabank.parasoft.com/parabank/index.htm)</w:t>
      </w:r>
    </w:p>
    <w:p w14:paraId="69830D0C" w14:textId="77777777" w:rsidR="00E90B3A" w:rsidRDefault="00000000">
      <w:pPr>
        <w:spacing w:after="120"/>
      </w:pPr>
      <w:r>
        <w:t>Document ID: DOC-STLC-002-A6     Version: 1.0</w:t>
      </w:r>
    </w:p>
    <w:p w14:paraId="63988543" w14:textId="77777777" w:rsidR="00E90B3A" w:rsidRDefault="00E90B3A">
      <w:pPr>
        <w:spacing w:after="100"/>
      </w:pPr>
    </w:p>
    <w:p w14:paraId="6D3D3780" w14:textId="77777777" w:rsidR="00E90B3A" w:rsidRDefault="00000000">
      <w:pPr>
        <w:pStyle w:val="Heading1"/>
        <w:spacing w:before="300" w:after="150"/>
      </w:pPr>
      <w:r>
        <w:t>11.1 Business Challenge</w:t>
      </w:r>
    </w:p>
    <w:p w14:paraId="6087135F" w14:textId="77777777" w:rsidR="00E90B3A" w:rsidRDefault="00000000">
      <w:pPr>
        <w:spacing w:after="120"/>
      </w:pPr>
      <w:r>
        <w:t>The CEO asks a simple question: "Based on everything you know, should we release the application?" This document analyzes all testing activity across the engagement and provides a professional, evidence-based recommendation.</w:t>
      </w:r>
    </w:p>
    <w:p w14:paraId="38FF16AD" w14:textId="77777777" w:rsidR="00E90B3A" w:rsidRDefault="00000000">
      <w:pPr>
        <w:pStyle w:val="Heading1"/>
        <w:spacing w:before="300" w:after="150"/>
      </w:pPr>
      <w:r>
        <w:t>11.2 Skills Being Developed</w:t>
      </w:r>
    </w:p>
    <w:p w14:paraId="2D15CBA8" w14:textId="77777777" w:rsidR="00E90B3A" w:rsidRDefault="00000000">
      <w:pPr>
        <w:pStyle w:val="ListParagraph"/>
        <w:numPr>
          <w:ilvl w:val="0"/>
          <w:numId w:val="1"/>
        </w:numPr>
        <w:spacing w:after="60"/>
      </w:pPr>
      <w:r>
        <w:t>Quality Leadership</w:t>
      </w:r>
    </w:p>
    <w:p w14:paraId="3832B995" w14:textId="77777777" w:rsidR="00E90B3A" w:rsidRDefault="00000000">
      <w:pPr>
        <w:pStyle w:val="ListParagraph"/>
        <w:numPr>
          <w:ilvl w:val="0"/>
          <w:numId w:val="1"/>
        </w:numPr>
        <w:spacing w:after="60"/>
      </w:pPr>
      <w:r>
        <w:t>Risk Assessment</w:t>
      </w:r>
    </w:p>
    <w:p w14:paraId="0D0662E5" w14:textId="77777777" w:rsidR="00E90B3A" w:rsidRDefault="00000000">
      <w:pPr>
        <w:pStyle w:val="ListParagraph"/>
        <w:numPr>
          <w:ilvl w:val="0"/>
          <w:numId w:val="1"/>
        </w:numPr>
        <w:spacing w:after="60"/>
      </w:pPr>
      <w:r>
        <w:t>Reporting</w:t>
      </w:r>
    </w:p>
    <w:p w14:paraId="490CB5E5" w14:textId="77777777" w:rsidR="00E90B3A" w:rsidRDefault="00000000">
      <w:pPr>
        <w:pStyle w:val="ListParagraph"/>
        <w:numPr>
          <w:ilvl w:val="0"/>
          <w:numId w:val="1"/>
        </w:numPr>
        <w:spacing w:after="60"/>
      </w:pPr>
      <w:r>
        <w:t>Metrics Analysis</w:t>
      </w:r>
    </w:p>
    <w:p w14:paraId="07AAEFB5" w14:textId="77777777" w:rsidR="00E90B3A" w:rsidRDefault="00000000">
      <w:pPr>
        <w:pStyle w:val="ListParagraph"/>
        <w:numPr>
          <w:ilvl w:val="0"/>
          <w:numId w:val="1"/>
        </w:numPr>
        <w:spacing w:after="60"/>
      </w:pPr>
      <w:r>
        <w:t>Decision Making</w:t>
      </w:r>
    </w:p>
    <w:p w14:paraId="43BA9A3E" w14:textId="77777777" w:rsidR="00E90B3A" w:rsidRDefault="00000000">
      <w:pPr>
        <w:pStyle w:val="ListParagraph"/>
        <w:numPr>
          <w:ilvl w:val="0"/>
          <w:numId w:val="1"/>
        </w:numPr>
        <w:spacing w:after="60"/>
      </w:pPr>
      <w:r>
        <w:t>Stakeholder Communication</w:t>
      </w:r>
    </w:p>
    <w:p w14:paraId="68BC0BCC" w14:textId="77777777" w:rsidR="00E90B3A" w:rsidRDefault="00E90B3A">
      <w:pPr>
        <w:spacing w:after="100"/>
      </w:pPr>
    </w:p>
    <w:p w14:paraId="111D71B2" w14:textId="77777777" w:rsidR="00E90B3A" w:rsidRDefault="00000000">
      <w:pPr>
        <w:pStyle w:val="Heading1"/>
        <w:spacing w:before="300" w:after="150"/>
      </w:pPr>
      <w:r>
        <w:t>11.3 Success Criteria</w:t>
      </w:r>
    </w:p>
    <w:p w14:paraId="319F7250" w14:textId="77777777" w:rsidR="00E90B3A" w:rsidRDefault="00000000">
      <w:pPr>
        <w:spacing w:after="120"/>
      </w:pPr>
      <w:r>
        <w:t>To demonstrate mastery of this phase, this assignment shows the ability to:</w:t>
      </w:r>
    </w:p>
    <w:p w14:paraId="4CF126D3" w14:textId="77777777" w:rsidR="00E90B3A" w:rsidRDefault="00000000">
      <w:pPr>
        <w:pStyle w:val="ListParagraph"/>
        <w:numPr>
          <w:ilvl w:val="0"/>
          <w:numId w:val="1"/>
        </w:numPr>
        <w:spacing w:after="60"/>
      </w:pPr>
      <w:r>
        <w:t>Translate raw test execution and defect data into metrics a non-technical executive can interpret at a glance.</w:t>
      </w:r>
    </w:p>
    <w:p w14:paraId="5A6B5C98" w14:textId="77777777" w:rsidR="00E90B3A" w:rsidRDefault="00000000">
      <w:pPr>
        <w:pStyle w:val="ListParagraph"/>
        <w:numPr>
          <w:ilvl w:val="0"/>
          <w:numId w:val="1"/>
        </w:numPr>
        <w:spacing w:after="60"/>
      </w:pPr>
      <w:r>
        <w:t>Make a clear, defensible GO/NO-GO release recommendation and stand behind it with specific evidence.</w:t>
      </w:r>
    </w:p>
    <w:p w14:paraId="63CC1B4B" w14:textId="77777777" w:rsidR="00E90B3A" w:rsidRDefault="00000000">
      <w:pPr>
        <w:pStyle w:val="ListParagraph"/>
        <w:numPr>
          <w:ilvl w:val="0"/>
          <w:numId w:val="1"/>
        </w:numPr>
        <w:spacing w:after="60"/>
      </w:pPr>
      <w:r>
        <w:t>Identify quality risks that remain even after testing is complete, rather than treating testing as having eliminated all risk.</w:t>
      </w:r>
    </w:p>
    <w:p w14:paraId="283FF18D" w14:textId="77777777" w:rsidR="00E90B3A" w:rsidRDefault="00000000">
      <w:pPr>
        <w:pStyle w:val="ListParagraph"/>
        <w:numPr>
          <w:ilvl w:val="0"/>
          <w:numId w:val="1"/>
        </w:numPr>
        <w:spacing w:after="60"/>
      </w:pPr>
      <w:r>
        <w:t>Communicate the same underlying findings differently and appropriately to a CEO, a project manager, and a development team.</w:t>
      </w:r>
    </w:p>
    <w:p w14:paraId="382277E1" w14:textId="77777777" w:rsidR="00E90B3A" w:rsidRDefault="00000000">
      <w:pPr>
        <w:pStyle w:val="ListParagraph"/>
        <w:numPr>
          <w:ilvl w:val="0"/>
          <w:numId w:val="1"/>
        </w:numPr>
        <w:spacing w:after="60"/>
      </w:pPr>
      <w:r>
        <w:t>Assess the application's quality maturity across multiple dimensions rather than through a single pass/fail lens.</w:t>
      </w:r>
    </w:p>
    <w:p w14:paraId="1D5DBB6C" w14:textId="77777777" w:rsidR="00E90B3A" w:rsidRDefault="00000000">
      <w:pPr>
        <w:pStyle w:val="ListParagraph"/>
        <w:numPr>
          <w:ilvl w:val="0"/>
          <w:numId w:val="1"/>
        </w:numPr>
        <w:spacing w:after="60"/>
      </w:pPr>
      <w:r>
        <w:t>Reflect honestly and specifically on the entire six-phase engagement, including what did not go well.</w:t>
      </w:r>
    </w:p>
    <w:p w14:paraId="2FEBD90E" w14:textId="77777777" w:rsidR="00E90B3A" w:rsidRDefault="00000000">
      <w:pPr>
        <w:pStyle w:val="ListParagraph"/>
        <w:numPr>
          <w:ilvl w:val="0"/>
          <w:numId w:val="1"/>
        </w:numPr>
        <w:spacing w:after="60"/>
      </w:pPr>
      <w:r>
        <w:t>Close out an engagement professionally, with a clear record of what was and was not achieved.</w:t>
      </w:r>
    </w:p>
    <w:p w14:paraId="05F2B81E" w14:textId="77777777" w:rsidR="00E90B3A" w:rsidRDefault="00E90B3A">
      <w:pPr>
        <w:spacing w:after="100"/>
      </w:pPr>
    </w:p>
    <w:p w14:paraId="4B8E1C0F" w14:textId="77777777" w:rsidR="00E90B3A" w:rsidRDefault="00000000">
      <w:pPr>
        <w:pStyle w:val="Heading1"/>
        <w:spacing w:before="300" w:after="150"/>
      </w:pPr>
      <w:r>
        <w:t>11.4 Required Deliverables</w:t>
      </w:r>
    </w:p>
    <w:p w14:paraId="25D73807" w14:textId="77777777" w:rsidR="00E90B3A" w:rsidRDefault="00000000">
      <w:pPr>
        <w:pStyle w:val="Heading2"/>
        <w:spacing w:before="240" w:after="120"/>
      </w:pPr>
      <w:r>
        <w:t>11.4.1 Metrics Dashboard</w:t>
      </w:r>
    </w:p>
    <w:p w14:paraId="4C8D3072" w14:textId="77777777" w:rsidR="00E90B3A" w:rsidRDefault="00000000">
      <w:pPr>
        <w:spacing w:after="120"/>
      </w:pPr>
      <w:r>
        <w:t>Note on defect status since Phase 5: between the Phase 5 report and this final release decision, the development team fixed and the QA analyst retested two of the three Critical defects (DEF-007, DEF-008), both now Closed. DEF-005 remains Open. This progression is reflected in the metrics and recommendation below.</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440"/>
      </w:tblGrid>
      <w:tr w:rsidR="00E90B3A" w14:paraId="50213012" w14:textId="77777777">
        <w:tblPrEx>
          <w:tblCellMar>
            <w:top w:w="0" w:type="dxa"/>
            <w:bottom w:w="0" w:type="dxa"/>
          </w:tblCellMar>
        </w:tblPrEx>
        <w:trPr>
          <w:tblHeader/>
        </w:trPr>
        <w:tc>
          <w:tcPr>
            <w:tcW w:w="2200" w:type="dxa"/>
            <w:shd w:val="clear" w:color="auto" w:fill="1F4E5F"/>
            <w:tcMar>
              <w:top w:w="70" w:type="dxa"/>
              <w:left w:w="90" w:type="dxa"/>
              <w:bottom w:w="70" w:type="dxa"/>
              <w:right w:w="90" w:type="dxa"/>
            </w:tcMar>
          </w:tcPr>
          <w:p w14:paraId="5F885F54" w14:textId="77777777" w:rsidR="00E90B3A" w:rsidRDefault="00000000">
            <w:r>
              <w:rPr>
                <w:b/>
                <w:bCs/>
                <w:color w:val="FFFFFF"/>
                <w:sz w:val="17"/>
                <w:szCs w:val="17"/>
              </w:rPr>
              <w:t>Metric</w:t>
            </w:r>
          </w:p>
        </w:tc>
        <w:tc>
          <w:tcPr>
            <w:tcW w:w="3700" w:type="dxa"/>
            <w:shd w:val="clear" w:color="auto" w:fill="1F4E5F"/>
            <w:tcMar>
              <w:top w:w="70" w:type="dxa"/>
              <w:left w:w="90" w:type="dxa"/>
              <w:bottom w:w="70" w:type="dxa"/>
              <w:right w:w="90" w:type="dxa"/>
            </w:tcMar>
          </w:tcPr>
          <w:p w14:paraId="0DBDF229" w14:textId="77777777" w:rsidR="00E90B3A" w:rsidRDefault="00000000">
            <w:r>
              <w:rPr>
                <w:b/>
                <w:bCs/>
                <w:color w:val="FFFFFF"/>
                <w:sz w:val="17"/>
                <w:szCs w:val="17"/>
              </w:rPr>
              <w:t>Formula / Definition</w:t>
            </w:r>
          </w:p>
        </w:tc>
        <w:tc>
          <w:tcPr>
            <w:tcW w:w="3440" w:type="dxa"/>
            <w:shd w:val="clear" w:color="auto" w:fill="1F4E5F"/>
            <w:tcMar>
              <w:top w:w="70" w:type="dxa"/>
              <w:left w:w="90" w:type="dxa"/>
              <w:bottom w:w="70" w:type="dxa"/>
              <w:right w:w="90" w:type="dxa"/>
            </w:tcMar>
          </w:tcPr>
          <w:p w14:paraId="4AFFBDCD" w14:textId="77777777" w:rsidR="00E90B3A" w:rsidRDefault="00000000">
            <w:r>
              <w:rPr>
                <w:b/>
                <w:bCs/>
                <w:color w:val="FFFFFF"/>
                <w:sz w:val="17"/>
                <w:szCs w:val="17"/>
              </w:rPr>
              <w:t>Value</w:t>
            </w:r>
          </w:p>
        </w:tc>
      </w:tr>
      <w:tr w:rsidR="00E90B3A" w14:paraId="1A14B9D0" w14:textId="77777777">
        <w:tblPrEx>
          <w:tblCellMar>
            <w:top w:w="0" w:type="dxa"/>
            <w:bottom w:w="0" w:type="dxa"/>
          </w:tblCellMar>
        </w:tblPrEx>
        <w:tc>
          <w:tcPr>
            <w:tcW w:w="2200" w:type="dxa"/>
            <w:tcMar>
              <w:top w:w="70" w:type="dxa"/>
              <w:left w:w="90" w:type="dxa"/>
              <w:bottom w:w="70" w:type="dxa"/>
              <w:right w:w="90" w:type="dxa"/>
            </w:tcMar>
          </w:tcPr>
          <w:p w14:paraId="243E1123" w14:textId="77777777" w:rsidR="00E90B3A" w:rsidRDefault="00000000">
            <w:r>
              <w:rPr>
                <w:sz w:val="17"/>
                <w:szCs w:val="17"/>
              </w:rPr>
              <w:t>Requirements Coverage (%)</w:t>
            </w:r>
          </w:p>
        </w:tc>
        <w:tc>
          <w:tcPr>
            <w:tcW w:w="3700" w:type="dxa"/>
            <w:tcMar>
              <w:top w:w="70" w:type="dxa"/>
              <w:left w:w="90" w:type="dxa"/>
              <w:bottom w:w="70" w:type="dxa"/>
              <w:right w:w="90" w:type="dxa"/>
            </w:tcMar>
          </w:tcPr>
          <w:p w14:paraId="7C242315" w14:textId="77777777" w:rsidR="00E90B3A" w:rsidRDefault="00000000">
            <w:r>
              <w:rPr>
                <w:sz w:val="17"/>
                <w:szCs w:val="17"/>
              </w:rPr>
              <w:t>Requirements tested (full + partial) ÷ Total requirements × 100</w:t>
            </w:r>
          </w:p>
        </w:tc>
        <w:tc>
          <w:tcPr>
            <w:tcW w:w="3440" w:type="dxa"/>
            <w:tcMar>
              <w:top w:w="70" w:type="dxa"/>
              <w:left w:w="90" w:type="dxa"/>
              <w:bottom w:w="70" w:type="dxa"/>
              <w:right w:w="90" w:type="dxa"/>
            </w:tcMar>
          </w:tcPr>
          <w:p w14:paraId="1162E5C0" w14:textId="77777777" w:rsidR="00E90B3A" w:rsidRDefault="00000000">
            <w:r>
              <w:rPr>
                <w:sz w:val="17"/>
                <w:szCs w:val="17"/>
              </w:rPr>
              <w:t>27 ÷ 36 × 100 = 75.0%</w:t>
            </w:r>
          </w:p>
        </w:tc>
      </w:tr>
      <w:tr w:rsidR="00E90B3A" w14:paraId="729F9ACC" w14:textId="77777777">
        <w:tblPrEx>
          <w:tblCellMar>
            <w:top w:w="0" w:type="dxa"/>
            <w:bottom w:w="0" w:type="dxa"/>
          </w:tblCellMar>
        </w:tblPrEx>
        <w:tc>
          <w:tcPr>
            <w:tcW w:w="2200" w:type="dxa"/>
            <w:tcMar>
              <w:top w:w="70" w:type="dxa"/>
              <w:left w:w="90" w:type="dxa"/>
              <w:bottom w:w="70" w:type="dxa"/>
              <w:right w:w="90" w:type="dxa"/>
            </w:tcMar>
          </w:tcPr>
          <w:p w14:paraId="282929D8" w14:textId="77777777" w:rsidR="00E90B3A" w:rsidRDefault="00000000">
            <w:r>
              <w:rPr>
                <w:sz w:val="17"/>
                <w:szCs w:val="17"/>
              </w:rPr>
              <w:lastRenderedPageBreak/>
              <w:t>Test Case Pass Rate (%)</w:t>
            </w:r>
          </w:p>
        </w:tc>
        <w:tc>
          <w:tcPr>
            <w:tcW w:w="3700" w:type="dxa"/>
            <w:tcMar>
              <w:top w:w="70" w:type="dxa"/>
              <w:left w:w="90" w:type="dxa"/>
              <w:bottom w:w="70" w:type="dxa"/>
              <w:right w:w="90" w:type="dxa"/>
            </w:tcMar>
          </w:tcPr>
          <w:p w14:paraId="4E370FAC" w14:textId="77777777" w:rsidR="00E90B3A" w:rsidRDefault="00000000">
            <w:r>
              <w:rPr>
                <w:sz w:val="17"/>
                <w:szCs w:val="17"/>
              </w:rPr>
              <w:t>Passed ÷ Total executed × 100</w:t>
            </w:r>
          </w:p>
        </w:tc>
        <w:tc>
          <w:tcPr>
            <w:tcW w:w="3440" w:type="dxa"/>
            <w:tcMar>
              <w:top w:w="70" w:type="dxa"/>
              <w:left w:w="90" w:type="dxa"/>
              <w:bottom w:w="70" w:type="dxa"/>
              <w:right w:w="90" w:type="dxa"/>
            </w:tcMar>
          </w:tcPr>
          <w:p w14:paraId="316108E9" w14:textId="77777777" w:rsidR="00E90B3A" w:rsidRDefault="00000000">
            <w:r>
              <w:rPr>
                <w:sz w:val="17"/>
                <w:szCs w:val="17"/>
              </w:rPr>
              <w:t>41 ÷ 50 × 100 = 82.0%</w:t>
            </w:r>
          </w:p>
        </w:tc>
      </w:tr>
      <w:tr w:rsidR="00E90B3A" w14:paraId="20DF2C81" w14:textId="77777777">
        <w:tblPrEx>
          <w:tblCellMar>
            <w:top w:w="0" w:type="dxa"/>
            <w:bottom w:w="0" w:type="dxa"/>
          </w:tblCellMar>
        </w:tblPrEx>
        <w:tc>
          <w:tcPr>
            <w:tcW w:w="2200" w:type="dxa"/>
            <w:tcMar>
              <w:top w:w="70" w:type="dxa"/>
              <w:left w:w="90" w:type="dxa"/>
              <w:bottom w:w="70" w:type="dxa"/>
              <w:right w:w="90" w:type="dxa"/>
            </w:tcMar>
          </w:tcPr>
          <w:p w14:paraId="7002813D" w14:textId="77777777" w:rsidR="00E90B3A" w:rsidRDefault="00000000">
            <w:r>
              <w:rPr>
                <w:sz w:val="17"/>
                <w:szCs w:val="17"/>
              </w:rPr>
              <w:t>Test Case Fail Rate (%)</w:t>
            </w:r>
          </w:p>
        </w:tc>
        <w:tc>
          <w:tcPr>
            <w:tcW w:w="3700" w:type="dxa"/>
            <w:tcMar>
              <w:top w:w="70" w:type="dxa"/>
              <w:left w:w="90" w:type="dxa"/>
              <w:bottom w:w="70" w:type="dxa"/>
              <w:right w:w="90" w:type="dxa"/>
            </w:tcMar>
          </w:tcPr>
          <w:p w14:paraId="2B24E830" w14:textId="77777777" w:rsidR="00E90B3A" w:rsidRDefault="00000000">
            <w:r>
              <w:rPr>
                <w:sz w:val="17"/>
                <w:szCs w:val="17"/>
              </w:rPr>
              <w:t>Failed ÷ Total executed × 100</w:t>
            </w:r>
          </w:p>
        </w:tc>
        <w:tc>
          <w:tcPr>
            <w:tcW w:w="3440" w:type="dxa"/>
            <w:tcMar>
              <w:top w:w="70" w:type="dxa"/>
              <w:left w:w="90" w:type="dxa"/>
              <w:bottom w:w="70" w:type="dxa"/>
              <w:right w:w="90" w:type="dxa"/>
            </w:tcMar>
          </w:tcPr>
          <w:p w14:paraId="41EC49FC" w14:textId="77777777" w:rsidR="00E90B3A" w:rsidRDefault="00000000">
            <w:r>
              <w:rPr>
                <w:sz w:val="17"/>
                <w:szCs w:val="17"/>
              </w:rPr>
              <w:t>7 ÷ 50 × 100 = 14.0%</w:t>
            </w:r>
          </w:p>
        </w:tc>
      </w:tr>
      <w:tr w:rsidR="00E90B3A" w14:paraId="0206C957" w14:textId="77777777">
        <w:tblPrEx>
          <w:tblCellMar>
            <w:top w:w="0" w:type="dxa"/>
            <w:bottom w:w="0" w:type="dxa"/>
          </w:tblCellMar>
        </w:tblPrEx>
        <w:tc>
          <w:tcPr>
            <w:tcW w:w="2200" w:type="dxa"/>
            <w:tcMar>
              <w:top w:w="70" w:type="dxa"/>
              <w:left w:w="90" w:type="dxa"/>
              <w:bottom w:w="70" w:type="dxa"/>
              <w:right w:w="90" w:type="dxa"/>
            </w:tcMar>
          </w:tcPr>
          <w:p w14:paraId="2CBB102E" w14:textId="77777777" w:rsidR="00E90B3A" w:rsidRDefault="00000000">
            <w:r>
              <w:rPr>
                <w:sz w:val="17"/>
                <w:szCs w:val="17"/>
              </w:rPr>
              <w:t>Blocked Rate (%)</w:t>
            </w:r>
          </w:p>
        </w:tc>
        <w:tc>
          <w:tcPr>
            <w:tcW w:w="3700" w:type="dxa"/>
            <w:tcMar>
              <w:top w:w="70" w:type="dxa"/>
              <w:left w:w="90" w:type="dxa"/>
              <w:bottom w:w="70" w:type="dxa"/>
              <w:right w:w="90" w:type="dxa"/>
            </w:tcMar>
          </w:tcPr>
          <w:p w14:paraId="1F687AD9" w14:textId="77777777" w:rsidR="00E90B3A" w:rsidRDefault="00000000">
            <w:r>
              <w:rPr>
                <w:sz w:val="17"/>
                <w:szCs w:val="17"/>
              </w:rPr>
              <w:t>Blocked ÷ Total executed × 100</w:t>
            </w:r>
          </w:p>
        </w:tc>
        <w:tc>
          <w:tcPr>
            <w:tcW w:w="3440" w:type="dxa"/>
            <w:tcMar>
              <w:top w:w="70" w:type="dxa"/>
              <w:left w:w="90" w:type="dxa"/>
              <w:bottom w:w="70" w:type="dxa"/>
              <w:right w:w="90" w:type="dxa"/>
            </w:tcMar>
          </w:tcPr>
          <w:p w14:paraId="063D8AE9" w14:textId="77777777" w:rsidR="00E90B3A" w:rsidRDefault="00000000">
            <w:r>
              <w:rPr>
                <w:sz w:val="17"/>
                <w:szCs w:val="17"/>
              </w:rPr>
              <w:t>2 ÷ 50 × 100 = 4.0%</w:t>
            </w:r>
          </w:p>
        </w:tc>
      </w:tr>
      <w:tr w:rsidR="00E90B3A" w14:paraId="2D3D93B1" w14:textId="77777777">
        <w:tblPrEx>
          <w:tblCellMar>
            <w:top w:w="0" w:type="dxa"/>
            <w:bottom w:w="0" w:type="dxa"/>
          </w:tblCellMar>
        </w:tblPrEx>
        <w:tc>
          <w:tcPr>
            <w:tcW w:w="2200" w:type="dxa"/>
            <w:tcMar>
              <w:top w:w="70" w:type="dxa"/>
              <w:left w:w="90" w:type="dxa"/>
              <w:bottom w:w="70" w:type="dxa"/>
              <w:right w:w="90" w:type="dxa"/>
            </w:tcMar>
          </w:tcPr>
          <w:p w14:paraId="5966C706" w14:textId="77777777" w:rsidR="00E90B3A" w:rsidRDefault="00000000">
            <w:r>
              <w:rPr>
                <w:sz w:val="17"/>
                <w:szCs w:val="17"/>
              </w:rPr>
              <w:t>Defect Density</w:t>
            </w:r>
          </w:p>
        </w:tc>
        <w:tc>
          <w:tcPr>
            <w:tcW w:w="3700" w:type="dxa"/>
            <w:tcMar>
              <w:top w:w="70" w:type="dxa"/>
              <w:left w:w="90" w:type="dxa"/>
              <w:bottom w:w="70" w:type="dxa"/>
              <w:right w:w="90" w:type="dxa"/>
            </w:tcMar>
          </w:tcPr>
          <w:p w14:paraId="56EE28C4" w14:textId="77777777" w:rsidR="00E90B3A" w:rsidRDefault="00000000">
            <w:r>
              <w:rPr>
                <w:sz w:val="17"/>
                <w:szCs w:val="17"/>
              </w:rPr>
              <w:t>Total defects ÷ Total test cases executed</w:t>
            </w:r>
          </w:p>
        </w:tc>
        <w:tc>
          <w:tcPr>
            <w:tcW w:w="3440" w:type="dxa"/>
            <w:tcMar>
              <w:top w:w="70" w:type="dxa"/>
              <w:left w:w="90" w:type="dxa"/>
              <w:bottom w:w="70" w:type="dxa"/>
              <w:right w:w="90" w:type="dxa"/>
            </w:tcMar>
          </w:tcPr>
          <w:p w14:paraId="099ED427" w14:textId="77777777" w:rsidR="00E90B3A" w:rsidRDefault="00000000">
            <w:r>
              <w:rPr>
                <w:sz w:val="17"/>
                <w:szCs w:val="17"/>
              </w:rPr>
              <w:t>11 ÷ 50 = 0.22 defects per test case</w:t>
            </w:r>
          </w:p>
        </w:tc>
      </w:tr>
      <w:tr w:rsidR="00E90B3A" w14:paraId="796F657A" w14:textId="77777777">
        <w:tblPrEx>
          <w:tblCellMar>
            <w:top w:w="0" w:type="dxa"/>
            <w:bottom w:w="0" w:type="dxa"/>
          </w:tblCellMar>
        </w:tblPrEx>
        <w:tc>
          <w:tcPr>
            <w:tcW w:w="2200" w:type="dxa"/>
            <w:tcMar>
              <w:top w:w="70" w:type="dxa"/>
              <w:left w:w="90" w:type="dxa"/>
              <w:bottom w:w="70" w:type="dxa"/>
              <w:right w:w="90" w:type="dxa"/>
            </w:tcMar>
          </w:tcPr>
          <w:p w14:paraId="2E57B7A2" w14:textId="77777777" w:rsidR="00E90B3A" w:rsidRDefault="00000000">
            <w:r>
              <w:rPr>
                <w:sz w:val="17"/>
                <w:szCs w:val="17"/>
              </w:rPr>
              <w:t>Critical Defect Count</w:t>
            </w:r>
          </w:p>
        </w:tc>
        <w:tc>
          <w:tcPr>
            <w:tcW w:w="3700" w:type="dxa"/>
            <w:tcMar>
              <w:top w:w="70" w:type="dxa"/>
              <w:left w:w="90" w:type="dxa"/>
              <w:bottom w:w="70" w:type="dxa"/>
              <w:right w:w="90" w:type="dxa"/>
            </w:tcMar>
          </w:tcPr>
          <w:p w14:paraId="762C7C84" w14:textId="77777777" w:rsidR="00E90B3A" w:rsidRDefault="00000000">
            <w:r>
              <w:rPr>
                <w:sz w:val="17"/>
                <w:szCs w:val="17"/>
              </w:rPr>
              <w:t>Count of defects with Critical severity</w:t>
            </w:r>
          </w:p>
        </w:tc>
        <w:tc>
          <w:tcPr>
            <w:tcW w:w="3440" w:type="dxa"/>
            <w:tcMar>
              <w:top w:w="70" w:type="dxa"/>
              <w:left w:w="90" w:type="dxa"/>
              <w:bottom w:w="70" w:type="dxa"/>
              <w:right w:w="90" w:type="dxa"/>
            </w:tcMar>
          </w:tcPr>
          <w:p w14:paraId="23B1DCC6" w14:textId="77777777" w:rsidR="00E90B3A" w:rsidRDefault="00000000">
            <w:r>
              <w:rPr>
                <w:sz w:val="17"/>
                <w:szCs w:val="17"/>
              </w:rPr>
              <w:t>3 raised total; 1 currently Open (DEF-005), 2 Closed (DEF-007, DEF-008)</w:t>
            </w:r>
          </w:p>
        </w:tc>
      </w:tr>
    </w:tbl>
    <w:p w14:paraId="4194F973" w14:textId="77777777" w:rsidR="00E90B3A" w:rsidRDefault="00E90B3A">
      <w:pPr>
        <w:spacing w:after="100"/>
      </w:pPr>
    </w:p>
    <w:p w14:paraId="0B327BA2" w14:textId="77777777" w:rsidR="00E90B3A" w:rsidRDefault="00000000">
      <w:pPr>
        <w:pStyle w:val="Heading2"/>
        <w:spacing w:before="240" w:after="120"/>
      </w:pPr>
      <w:r>
        <w:t>11.4.2 Defect Analysis Report</w:t>
      </w:r>
    </w:p>
    <w:p w14:paraId="2ABDBAF0" w14:textId="77777777" w:rsidR="00E90B3A" w:rsidRDefault="00000000">
      <w:pPr>
        <w:pStyle w:val="Heading3"/>
        <w:spacing w:before="200" w:after="100"/>
      </w:pPr>
      <w:r>
        <w:t>Severity Breakdown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140"/>
        <w:gridCol w:w="3300"/>
      </w:tblGrid>
      <w:tr w:rsidR="00E90B3A" w14:paraId="1E720BFE" w14:textId="77777777">
        <w:tblPrEx>
          <w:tblCellMar>
            <w:top w:w="0" w:type="dxa"/>
            <w:bottom w:w="0" w:type="dxa"/>
          </w:tblCellMar>
        </w:tblPrEx>
        <w:trPr>
          <w:tblHeader/>
        </w:trPr>
        <w:tc>
          <w:tcPr>
            <w:tcW w:w="3200" w:type="dxa"/>
            <w:shd w:val="clear" w:color="auto" w:fill="1F4E5F"/>
            <w:tcMar>
              <w:top w:w="70" w:type="dxa"/>
              <w:left w:w="90" w:type="dxa"/>
              <w:bottom w:w="70" w:type="dxa"/>
              <w:right w:w="90" w:type="dxa"/>
            </w:tcMar>
          </w:tcPr>
          <w:p w14:paraId="4BB94ECC" w14:textId="77777777" w:rsidR="00E90B3A" w:rsidRDefault="00000000">
            <w:r>
              <w:rPr>
                <w:b/>
                <w:bCs/>
                <w:color w:val="FFFFFF"/>
                <w:sz w:val="17"/>
                <w:szCs w:val="17"/>
              </w:rPr>
              <w:t>Severity</w:t>
            </w:r>
          </w:p>
        </w:tc>
        <w:tc>
          <w:tcPr>
            <w:tcW w:w="3140" w:type="dxa"/>
            <w:shd w:val="clear" w:color="auto" w:fill="1F4E5F"/>
            <w:tcMar>
              <w:top w:w="70" w:type="dxa"/>
              <w:left w:w="90" w:type="dxa"/>
              <w:bottom w:w="70" w:type="dxa"/>
              <w:right w:w="90" w:type="dxa"/>
            </w:tcMar>
          </w:tcPr>
          <w:p w14:paraId="1F10B823" w14:textId="77777777" w:rsidR="00E90B3A" w:rsidRDefault="00000000">
            <w:r>
              <w:rPr>
                <w:b/>
                <w:bCs/>
                <w:color w:val="FFFFFF"/>
                <w:sz w:val="17"/>
                <w:szCs w:val="17"/>
              </w:rPr>
              <w:t>Count</w:t>
            </w:r>
          </w:p>
        </w:tc>
        <w:tc>
          <w:tcPr>
            <w:tcW w:w="3300" w:type="dxa"/>
            <w:shd w:val="clear" w:color="auto" w:fill="1F4E5F"/>
            <w:tcMar>
              <w:top w:w="70" w:type="dxa"/>
              <w:left w:w="90" w:type="dxa"/>
              <w:bottom w:w="70" w:type="dxa"/>
              <w:right w:w="90" w:type="dxa"/>
            </w:tcMar>
          </w:tcPr>
          <w:p w14:paraId="5F74C9E4" w14:textId="77777777" w:rsidR="00E90B3A" w:rsidRDefault="00000000">
            <w:r>
              <w:rPr>
                <w:b/>
                <w:bCs/>
                <w:color w:val="FFFFFF"/>
                <w:sz w:val="17"/>
                <w:szCs w:val="17"/>
              </w:rPr>
              <w:t>Percentage</w:t>
            </w:r>
          </w:p>
        </w:tc>
      </w:tr>
      <w:tr w:rsidR="00E90B3A" w14:paraId="3DAC14BE" w14:textId="77777777">
        <w:tblPrEx>
          <w:tblCellMar>
            <w:top w:w="0" w:type="dxa"/>
            <w:bottom w:w="0" w:type="dxa"/>
          </w:tblCellMar>
        </w:tblPrEx>
        <w:tc>
          <w:tcPr>
            <w:tcW w:w="3200" w:type="dxa"/>
            <w:tcMar>
              <w:top w:w="70" w:type="dxa"/>
              <w:left w:w="90" w:type="dxa"/>
              <w:bottom w:w="70" w:type="dxa"/>
              <w:right w:w="90" w:type="dxa"/>
            </w:tcMar>
          </w:tcPr>
          <w:p w14:paraId="1842D2C9" w14:textId="77777777" w:rsidR="00E90B3A" w:rsidRDefault="00000000">
            <w:r>
              <w:rPr>
                <w:sz w:val="17"/>
                <w:szCs w:val="17"/>
              </w:rPr>
              <w:t>Critical</w:t>
            </w:r>
          </w:p>
        </w:tc>
        <w:tc>
          <w:tcPr>
            <w:tcW w:w="3140" w:type="dxa"/>
            <w:tcMar>
              <w:top w:w="70" w:type="dxa"/>
              <w:left w:w="90" w:type="dxa"/>
              <w:bottom w:w="70" w:type="dxa"/>
              <w:right w:w="90" w:type="dxa"/>
            </w:tcMar>
          </w:tcPr>
          <w:p w14:paraId="569D35BF" w14:textId="77777777" w:rsidR="00E90B3A" w:rsidRDefault="00000000">
            <w:r>
              <w:rPr>
                <w:sz w:val="17"/>
                <w:szCs w:val="17"/>
              </w:rPr>
              <w:t>3</w:t>
            </w:r>
          </w:p>
        </w:tc>
        <w:tc>
          <w:tcPr>
            <w:tcW w:w="3300" w:type="dxa"/>
            <w:tcMar>
              <w:top w:w="70" w:type="dxa"/>
              <w:left w:w="90" w:type="dxa"/>
              <w:bottom w:w="70" w:type="dxa"/>
              <w:right w:w="90" w:type="dxa"/>
            </w:tcMar>
          </w:tcPr>
          <w:p w14:paraId="6823BA39" w14:textId="77777777" w:rsidR="00E90B3A" w:rsidRDefault="00000000">
            <w:r>
              <w:rPr>
                <w:sz w:val="17"/>
                <w:szCs w:val="17"/>
              </w:rPr>
              <w:t>27.3%</w:t>
            </w:r>
          </w:p>
        </w:tc>
      </w:tr>
      <w:tr w:rsidR="00E90B3A" w14:paraId="509DF4C6" w14:textId="77777777">
        <w:tblPrEx>
          <w:tblCellMar>
            <w:top w:w="0" w:type="dxa"/>
            <w:bottom w:w="0" w:type="dxa"/>
          </w:tblCellMar>
        </w:tblPrEx>
        <w:tc>
          <w:tcPr>
            <w:tcW w:w="3200" w:type="dxa"/>
            <w:tcMar>
              <w:top w:w="70" w:type="dxa"/>
              <w:left w:w="90" w:type="dxa"/>
              <w:bottom w:w="70" w:type="dxa"/>
              <w:right w:w="90" w:type="dxa"/>
            </w:tcMar>
          </w:tcPr>
          <w:p w14:paraId="0DA4966B" w14:textId="77777777" w:rsidR="00E90B3A" w:rsidRDefault="00000000">
            <w:r>
              <w:rPr>
                <w:sz w:val="17"/>
                <w:szCs w:val="17"/>
              </w:rPr>
              <w:t>Major</w:t>
            </w:r>
          </w:p>
        </w:tc>
        <w:tc>
          <w:tcPr>
            <w:tcW w:w="3140" w:type="dxa"/>
            <w:tcMar>
              <w:top w:w="70" w:type="dxa"/>
              <w:left w:w="90" w:type="dxa"/>
              <w:bottom w:w="70" w:type="dxa"/>
              <w:right w:w="90" w:type="dxa"/>
            </w:tcMar>
          </w:tcPr>
          <w:p w14:paraId="7E2B2EBB" w14:textId="77777777" w:rsidR="00E90B3A" w:rsidRDefault="00000000">
            <w:r>
              <w:rPr>
                <w:sz w:val="17"/>
                <w:szCs w:val="17"/>
              </w:rPr>
              <w:t>5</w:t>
            </w:r>
          </w:p>
        </w:tc>
        <w:tc>
          <w:tcPr>
            <w:tcW w:w="3300" w:type="dxa"/>
            <w:tcMar>
              <w:top w:w="70" w:type="dxa"/>
              <w:left w:w="90" w:type="dxa"/>
              <w:bottom w:w="70" w:type="dxa"/>
              <w:right w:w="90" w:type="dxa"/>
            </w:tcMar>
          </w:tcPr>
          <w:p w14:paraId="59ACAE0C" w14:textId="77777777" w:rsidR="00E90B3A" w:rsidRDefault="00000000">
            <w:r>
              <w:rPr>
                <w:sz w:val="17"/>
                <w:szCs w:val="17"/>
              </w:rPr>
              <w:t>45.5%</w:t>
            </w:r>
          </w:p>
        </w:tc>
      </w:tr>
      <w:tr w:rsidR="00E90B3A" w14:paraId="5AC18A5D" w14:textId="77777777">
        <w:tblPrEx>
          <w:tblCellMar>
            <w:top w:w="0" w:type="dxa"/>
            <w:bottom w:w="0" w:type="dxa"/>
          </w:tblCellMar>
        </w:tblPrEx>
        <w:tc>
          <w:tcPr>
            <w:tcW w:w="3200" w:type="dxa"/>
            <w:tcMar>
              <w:top w:w="70" w:type="dxa"/>
              <w:left w:w="90" w:type="dxa"/>
              <w:bottom w:w="70" w:type="dxa"/>
              <w:right w:w="90" w:type="dxa"/>
            </w:tcMar>
          </w:tcPr>
          <w:p w14:paraId="56C437C7" w14:textId="77777777" w:rsidR="00E90B3A" w:rsidRDefault="00000000">
            <w:r>
              <w:rPr>
                <w:sz w:val="17"/>
                <w:szCs w:val="17"/>
              </w:rPr>
              <w:t>Minor</w:t>
            </w:r>
          </w:p>
        </w:tc>
        <w:tc>
          <w:tcPr>
            <w:tcW w:w="3140" w:type="dxa"/>
            <w:tcMar>
              <w:top w:w="70" w:type="dxa"/>
              <w:left w:w="90" w:type="dxa"/>
              <w:bottom w:w="70" w:type="dxa"/>
              <w:right w:w="90" w:type="dxa"/>
            </w:tcMar>
          </w:tcPr>
          <w:p w14:paraId="409CC40E" w14:textId="77777777" w:rsidR="00E90B3A" w:rsidRDefault="00000000">
            <w:r>
              <w:rPr>
                <w:sz w:val="17"/>
                <w:szCs w:val="17"/>
              </w:rPr>
              <w:t>2</w:t>
            </w:r>
          </w:p>
        </w:tc>
        <w:tc>
          <w:tcPr>
            <w:tcW w:w="3300" w:type="dxa"/>
            <w:tcMar>
              <w:top w:w="70" w:type="dxa"/>
              <w:left w:w="90" w:type="dxa"/>
              <w:bottom w:w="70" w:type="dxa"/>
              <w:right w:w="90" w:type="dxa"/>
            </w:tcMar>
          </w:tcPr>
          <w:p w14:paraId="591A231A" w14:textId="77777777" w:rsidR="00E90B3A" w:rsidRDefault="00000000">
            <w:r>
              <w:rPr>
                <w:sz w:val="17"/>
                <w:szCs w:val="17"/>
              </w:rPr>
              <w:t>18.2%</w:t>
            </w:r>
          </w:p>
        </w:tc>
      </w:tr>
      <w:tr w:rsidR="00E90B3A" w14:paraId="44DEB630" w14:textId="77777777">
        <w:tblPrEx>
          <w:tblCellMar>
            <w:top w:w="0" w:type="dxa"/>
            <w:bottom w:w="0" w:type="dxa"/>
          </w:tblCellMar>
        </w:tblPrEx>
        <w:tc>
          <w:tcPr>
            <w:tcW w:w="3200" w:type="dxa"/>
            <w:tcMar>
              <w:top w:w="70" w:type="dxa"/>
              <w:left w:w="90" w:type="dxa"/>
              <w:bottom w:w="70" w:type="dxa"/>
              <w:right w:w="90" w:type="dxa"/>
            </w:tcMar>
          </w:tcPr>
          <w:p w14:paraId="4DE5FD88" w14:textId="77777777" w:rsidR="00E90B3A" w:rsidRDefault="00000000">
            <w:r>
              <w:rPr>
                <w:sz w:val="17"/>
                <w:szCs w:val="17"/>
              </w:rPr>
              <w:t>Trivial</w:t>
            </w:r>
          </w:p>
        </w:tc>
        <w:tc>
          <w:tcPr>
            <w:tcW w:w="3140" w:type="dxa"/>
            <w:tcMar>
              <w:top w:w="70" w:type="dxa"/>
              <w:left w:w="90" w:type="dxa"/>
              <w:bottom w:w="70" w:type="dxa"/>
              <w:right w:w="90" w:type="dxa"/>
            </w:tcMar>
          </w:tcPr>
          <w:p w14:paraId="0B3C2BE4" w14:textId="77777777" w:rsidR="00E90B3A" w:rsidRDefault="00000000">
            <w:r>
              <w:rPr>
                <w:sz w:val="17"/>
                <w:szCs w:val="17"/>
              </w:rPr>
              <w:t>1</w:t>
            </w:r>
          </w:p>
        </w:tc>
        <w:tc>
          <w:tcPr>
            <w:tcW w:w="3300" w:type="dxa"/>
            <w:tcMar>
              <w:top w:w="70" w:type="dxa"/>
              <w:left w:w="90" w:type="dxa"/>
              <w:bottom w:w="70" w:type="dxa"/>
              <w:right w:w="90" w:type="dxa"/>
            </w:tcMar>
          </w:tcPr>
          <w:p w14:paraId="1E6C895F" w14:textId="77777777" w:rsidR="00E90B3A" w:rsidRDefault="00000000">
            <w:r>
              <w:rPr>
                <w:sz w:val="17"/>
                <w:szCs w:val="17"/>
              </w:rPr>
              <w:t>9.1%</w:t>
            </w:r>
          </w:p>
        </w:tc>
      </w:tr>
      <w:tr w:rsidR="00E90B3A" w14:paraId="35255227" w14:textId="77777777">
        <w:tblPrEx>
          <w:tblCellMar>
            <w:top w:w="0" w:type="dxa"/>
            <w:bottom w:w="0" w:type="dxa"/>
          </w:tblCellMar>
        </w:tblPrEx>
        <w:tc>
          <w:tcPr>
            <w:tcW w:w="3200" w:type="dxa"/>
            <w:tcMar>
              <w:top w:w="70" w:type="dxa"/>
              <w:left w:w="90" w:type="dxa"/>
              <w:bottom w:w="70" w:type="dxa"/>
              <w:right w:w="90" w:type="dxa"/>
            </w:tcMar>
          </w:tcPr>
          <w:p w14:paraId="2F001D84" w14:textId="77777777" w:rsidR="00E90B3A" w:rsidRDefault="00000000">
            <w:r>
              <w:rPr>
                <w:sz w:val="17"/>
                <w:szCs w:val="17"/>
              </w:rPr>
              <w:t>Total</w:t>
            </w:r>
          </w:p>
        </w:tc>
        <w:tc>
          <w:tcPr>
            <w:tcW w:w="3140" w:type="dxa"/>
            <w:tcMar>
              <w:top w:w="70" w:type="dxa"/>
              <w:left w:w="90" w:type="dxa"/>
              <w:bottom w:w="70" w:type="dxa"/>
              <w:right w:w="90" w:type="dxa"/>
            </w:tcMar>
          </w:tcPr>
          <w:p w14:paraId="32790EC5" w14:textId="77777777" w:rsidR="00E90B3A" w:rsidRDefault="00000000">
            <w:r>
              <w:rPr>
                <w:sz w:val="17"/>
                <w:szCs w:val="17"/>
              </w:rPr>
              <w:t>11</w:t>
            </w:r>
          </w:p>
        </w:tc>
        <w:tc>
          <w:tcPr>
            <w:tcW w:w="3300" w:type="dxa"/>
            <w:tcMar>
              <w:top w:w="70" w:type="dxa"/>
              <w:left w:w="90" w:type="dxa"/>
              <w:bottom w:w="70" w:type="dxa"/>
              <w:right w:w="90" w:type="dxa"/>
            </w:tcMar>
          </w:tcPr>
          <w:p w14:paraId="69386FC9" w14:textId="77777777" w:rsidR="00E90B3A" w:rsidRDefault="00000000">
            <w:r>
              <w:rPr>
                <w:sz w:val="17"/>
                <w:szCs w:val="17"/>
              </w:rPr>
              <w:t>100%</w:t>
            </w:r>
          </w:p>
        </w:tc>
      </w:tr>
    </w:tbl>
    <w:p w14:paraId="73CD7DBA" w14:textId="77777777" w:rsidR="00E90B3A" w:rsidRDefault="00E90B3A">
      <w:pPr>
        <w:spacing w:after="100"/>
      </w:pPr>
    </w:p>
    <w:p w14:paraId="2D5D476D" w14:textId="77777777" w:rsidR="00E90B3A" w:rsidRDefault="00000000">
      <w:pPr>
        <w:pStyle w:val="Heading3"/>
        <w:spacing w:before="200" w:after="100"/>
      </w:pPr>
      <w:r>
        <w:t>Priority Breakdown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140"/>
        <w:gridCol w:w="3300"/>
      </w:tblGrid>
      <w:tr w:rsidR="00E90B3A" w14:paraId="49818DE8" w14:textId="77777777">
        <w:tblPrEx>
          <w:tblCellMar>
            <w:top w:w="0" w:type="dxa"/>
            <w:bottom w:w="0" w:type="dxa"/>
          </w:tblCellMar>
        </w:tblPrEx>
        <w:trPr>
          <w:tblHeader/>
        </w:trPr>
        <w:tc>
          <w:tcPr>
            <w:tcW w:w="3200" w:type="dxa"/>
            <w:shd w:val="clear" w:color="auto" w:fill="1F4E5F"/>
            <w:tcMar>
              <w:top w:w="70" w:type="dxa"/>
              <w:left w:w="90" w:type="dxa"/>
              <w:bottom w:w="70" w:type="dxa"/>
              <w:right w:w="90" w:type="dxa"/>
            </w:tcMar>
          </w:tcPr>
          <w:p w14:paraId="6E89E800" w14:textId="77777777" w:rsidR="00E90B3A" w:rsidRDefault="00000000">
            <w:r>
              <w:rPr>
                <w:b/>
                <w:bCs/>
                <w:color w:val="FFFFFF"/>
                <w:sz w:val="17"/>
                <w:szCs w:val="17"/>
              </w:rPr>
              <w:t>Priority</w:t>
            </w:r>
          </w:p>
        </w:tc>
        <w:tc>
          <w:tcPr>
            <w:tcW w:w="3140" w:type="dxa"/>
            <w:shd w:val="clear" w:color="auto" w:fill="1F4E5F"/>
            <w:tcMar>
              <w:top w:w="70" w:type="dxa"/>
              <w:left w:w="90" w:type="dxa"/>
              <w:bottom w:w="70" w:type="dxa"/>
              <w:right w:w="90" w:type="dxa"/>
            </w:tcMar>
          </w:tcPr>
          <w:p w14:paraId="3B964C2D" w14:textId="77777777" w:rsidR="00E90B3A" w:rsidRDefault="00000000">
            <w:r>
              <w:rPr>
                <w:b/>
                <w:bCs/>
                <w:color w:val="FFFFFF"/>
                <w:sz w:val="17"/>
                <w:szCs w:val="17"/>
              </w:rPr>
              <w:t>Count</w:t>
            </w:r>
          </w:p>
        </w:tc>
        <w:tc>
          <w:tcPr>
            <w:tcW w:w="3300" w:type="dxa"/>
            <w:shd w:val="clear" w:color="auto" w:fill="1F4E5F"/>
            <w:tcMar>
              <w:top w:w="70" w:type="dxa"/>
              <w:left w:w="90" w:type="dxa"/>
              <w:bottom w:w="70" w:type="dxa"/>
              <w:right w:w="90" w:type="dxa"/>
            </w:tcMar>
          </w:tcPr>
          <w:p w14:paraId="0FF51DB6" w14:textId="77777777" w:rsidR="00E90B3A" w:rsidRDefault="00000000">
            <w:r>
              <w:rPr>
                <w:b/>
                <w:bCs/>
                <w:color w:val="FFFFFF"/>
                <w:sz w:val="17"/>
                <w:szCs w:val="17"/>
              </w:rPr>
              <w:t>Percentage</w:t>
            </w:r>
          </w:p>
        </w:tc>
      </w:tr>
      <w:tr w:rsidR="00E90B3A" w14:paraId="067A1D84" w14:textId="77777777">
        <w:tblPrEx>
          <w:tblCellMar>
            <w:top w:w="0" w:type="dxa"/>
            <w:bottom w:w="0" w:type="dxa"/>
          </w:tblCellMar>
        </w:tblPrEx>
        <w:tc>
          <w:tcPr>
            <w:tcW w:w="3200" w:type="dxa"/>
            <w:tcMar>
              <w:top w:w="70" w:type="dxa"/>
              <w:left w:w="90" w:type="dxa"/>
              <w:bottom w:w="70" w:type="dxa"/>
              <w:right w:w="90" w:type="dxa"/>
            </w:tcMar>
          </w:tcPr>
          <w:p w14:paraId="0A2DDF5E" w14:textId="77777777" w:rsidR="00E90B3A" w:rsidRDefault="00000000">
            <w:r>
              <w:rPr>
                <w:sz w:val="17"/>
                <w:szCs w:val="17"/>
              </w:rPr>
              <w:t>High</w:t>
            </w:r>
          </w:p>
        </w:tc>
        <w:tc>
          <w:tcPr>
            <w:tcW w:w="3140" w:type="dxa"/>
            <w:tcMar>
              <w:top w:w="70" w:type="dxa"/>
              <w:left w:w="90" w:type="dxa"/>
              <w:bottom w:w="70" w:type="dxa"/>
              <w:right w:w="90" w:type="dxa"/>
            </w:tcMar>
          </w:tcPr>
          <w:p w14:paraId="1CDEC3B6" w14:textId="77777777" w:rsidR="00E90B3A" w:rsidRDefault="00000000">
            <w:r>
              <w:rPr>
                <w:sz w:val="17"/>
                <w:szCs w:val="17"/>
              </w:rPr>
              <w:t>6</w:t>
            </w:r>
          </w:p>
        </w:tc>
        <w:tc>
          <w:tcPr>
            <w:tcW w:w="3300" w:type="dxa"/>
            <w:tcMar>
              <w:top w:w="70" w:type="dxa"/>
              <w:left w:w="90" w:type="dxa"/>
              <w:bottom w:w="70" w:type="dxa"/>
              <w:right w:w="90" w:type="dxa"/>
            </w:tcMar>
          </w:tcPr>
          <w:p w14:paraId="2906D730" w14:textId="77777777" w:rsidR="00E90B3A" w:rsidRDefault="00000000">
            <w:r>
              <w:rPr>
                <w:sz w:val="17"/>
                <w:szCs w:val="17"/>
              </w:rPr>
              <w:t>54.5%</w:t>
            </w:r>
          </w:p>
        </w:tc>
      </w:tr>
      <w:tr w:rsidR="00E90B3A" w14:paraId="1C51B17E" w14:textId="77777777">
        <w:tblPrEx>
          <w:tblCellMar>
            <w:top w:w="0" w:type="dxa"/>
            <w:bottom w:w="0" w:type="dxa"/>
          </w:tblCellMar>
        </w:tblPrEx>
        <w:tc>
          <w:tcPr>
            <w:tcW w:w="3200" w:type="dxa"/>
            <w:tcMar>
              <w:top w:w="70" w:type="dxa"/>
              <w:left w:w="90" w:type="dxa"/>
              <w:bottom w:w="70" w:type="dxa"/>
              <w:right w:w="90" w:type="dxa"/>
            </w:tcMar>
          </w:tcPr>
          <w:p w14:paraId="15CAF299" w14:textId="77777777" w:rsidR="00E90B3A" w:rsidRDefault="00000000">
            <w:r>
              <w:rPr>
                <w:sz w:val="17"/>
                <w:szCs w:val="17"/>
              </w:rPr>
              <w:t>Medium</w:t>
            </w:r>
          </w:p>
        </w:tc>
        <w:tc>
          <w:tcPr>
            <w:tcW w:w="3140" w:type="dxa"/>
            <w:tcMar>
              <w:top w:w="70" w:type="dxa"/>
              <w:left w:w="90" w:type="dxa"/>
              <w:bottom w:w="70" w:type="dxa"/>
              <w:right w:w="90" w:type="dxa"/>
            </w:tcMar>
          </w:tcPr>
          <w:p w14:paraId="25C9A06A" w14:textId="77777777" w:rsidR="00E90B3A" w:rsidRDefault="00000000">
            <w:r>
              <w:rPr>
                <w:sz w:val="17"/>
                <w:szCs w:val="17"/>
              </w:rPr>
              <w:t>4</w:t>
            </w:r>
          </w:p>
        </w:tc>
        <w:tc>
          <w:tcPr>
            <w:tcW w:w="3300" w:type="dxa"/>
            <w:tcMar>
              <w:top w:w="70" w:type="dxa"/>
              <w:left w:w="90" w:type="dxa"/>
              <w:bottom w:w="70" w:type="dxa"/>
              <w:right w:w="90" w:type="dxa"/>
            </w:tcMar>
          </w:tcPr>
          <w:p w14:paraId="431BCB43" w14:textId="77777777" w:rsidR="00E90B3A" w:rsidRDefault="00000000">
            <w:r>
              <w:rPr>
                <w:sz w:val="17"/>
                <w:szCs w:val="17"/>
              </w:rPr>
              <w:t>36.4%</w:t>
            </w:r>
          </w:p>
        </w:tc>
      </w:tr>
      <w:tr w:rsidR="00E90B3A" w14:paraId="5662B8BB" w14:textId="77777777">
        <w:tblPrEx>
          <w:tblCellMar>
            <w:top w:w="0" w:type="dxa"/>
            <w:bottom w:w="0" w:type="dxa"/>
          </w:tblCellMar>
        </w:tblPrEx>
        <w:tc>
          <w:tcPr>
            <w:tcW w:w="3200" w:type="dxa"/>
            <w:tcMar>
              <w:top w:w="70" w:type="dxa"/>
              <w:left w:w="90" w:type="dxa"/>
              <w:bottom w:w="70" w:type="dxa"/>
              <w:right w:w="90" w:type="dxa"/>
            </w:tcMar>
          </w:tcPr>
          <w:p w14:paraId="0512F4AF" w14:textId="77777777" w:rsidR="00E90B3A" w:rsidRDefault="00000000">
            <w:r>
              <w:rPr>
                <w:sz w:val="17"/>
                <w:szCs w:val="17"/>
              </w:rPr>
              <w:t>Low</w:t>
            </w:r>
          </w:p>
        </w:tc>
        <w:tc>
          <w:tcPr>
            <w:tcW w:w="3140" w:type="dxa"/>
            <w:tcMar>
              <w:top w:w="70" w:type="dxa"/>
              <w:left w:w="90" w:type="dxa"/>
              <w:bottom w:w="70" w:type="dxa"/>
              <w:right w:w="90" w:type="dxa"/>
            </w:tcMar>
          </w:tcPr>
          <w:p w14:paraId="4341A31C" w14:textId="77777777" w:rsidR="00E90B3A" w:rsidRDefault="00000000">
            <w:r>
              <w:rPr>
                <w:sz w:val="17"/>
                <w:szCs w:val="17"/>
              </w:rPr>
              <w:t>1</w:t>
            </w:r>
          </w:p>
        </w:tc>
        <w:tc>
          <w:tcPr>
            <w:tcW w:w="3300" w:type="dxa"/>
            <w:tcMar>
              <w:top w:w="70" w:type="dxa"/>
              <w:left w:w="90" w:type="dxa"/>
              <w:bottom w:w="70" w:type="dxa"/>
              <w:right w:w="90" w:type="dxa"/>
            </w:tcMar>
          </w:tcPr>
          <w:p w14:paraId="481B323A" w14:textId="77777777" w:rsidR="00E90B3A" w:rsidRDefault="00000000">
            <w:r>
              <w:rPr>
                <w:sz w:val="17"/>
                <w:szCs w:val="17"/>
              </w:rPr>
              <w:t>9.1%</w:t>
            </w:r>
          </w:p>
        </w:tc>
      </w:tr>
      <w:tr w:rsidR="00E90B3A" w14:paraId="195EA7BE" w14:textId="77777777">
        <w:tblPrEx>
          <w:tblCellMar>
            <w:top w:w="0" w:type="dxa"/>
            <w:bottom w:w="0" w:type="dxa"/>
          </w:tblCellMar>
        </w:tblPrEx>
        <w:tc>
          <w:tcPr>
            <w:tcW w:w="3200" w:type="dxa"/>
            <w:tcMar>
              <w:top w:w="70" w:type="dxa"/>
              <w:left w:w="90" w:type="dxa"/>
              <w:bottom w:w="70" w:type="dxa"/>
              <w:right w:w="90" w:type="dxa"/>
            </w:tcMar>
          </w:tcPr>
          <w:p w14:paraId="2455B9B9" w14:textId="77777777" w:rsidR="00E90B3A" w:rsidRDefault="00000000">
            <w:r>
              <w:rPr>
                <w:sz w:val="17"/>
                <w:szCs w:val="17"/>
              </w:rPr>
              <w:t>Total</w:t>
            </w:r>
          </w:p>
        </w:tc>
        <w:tc>
          <w:tcPr>
            <w:tcW w:w="3140" w:type="dxa"/>
            <w:tcMar>
              <w:top w:w="70" w:type="dxa"/>
              <w:left w:w="90" w:type="dxa"/>
              <w:bottom w:w="70" w:type="dxa"/>
              <w:right w:w="90" w:type="dxa"/>
            </w:tcMar>
          </w:tcPr>
          <w:p w14:paraId="07C2B53E" w14:textId="77777777" w:rsidR="00E90B3A" w:rsidRDefault="00000000">
            <w:r>
              <w:rPr>
                <w:sz w:val="17"/>
                <w:szCs w:val="17"/>
              </w:rPr>
              <w:t>11</w:t>
            </w:r>
          </w:p>
        </w:tc>
        <w:tc>
          <w:tcPr>
            <w:tcW w:w="3300" w:type="dxa"/>
            <w:tcMar>
              <w:top w:w="70" w:type="dxa"/>
              <w:left w:w="90" w:type="dxa"/>
              <w:bottom w:w="70" w:type="dxa"/>
              <w:right w:w="90" w:type="dxa"/>
            </w:tcMar>
          </w:tcPr>
          <w:p w14:paraId="53AFC67E" w14:textId="77777777" w:rsidR="00E90B3A" w:rsidRDefault="00000000">
            <w:r>
              <w:rPr>
                <w:sz w:val="17"/>
                <w:szCs w:val="17"/>
              </w:rPr>
              <w:t>100%</w:t>
            </w:r>
          </w:p>
        </w:tc>
      </w:tr>
    </w:tbl>
    <w:p w14:paraId="5F55E0F0" w14:textId="77777777" w:rsidR="00E90B3A" w:rsidRDefault="00E90B3A">
      <w:pPr>
        <w:spacing w:after="100"/>
      </w:pPr>
    </w:p>
    <w:p w14:paraId="7CA34AE0" w14:textId="77777777" w:rsidR="00E90B3A" w:rsidRDefault="00000000">
      <w:pPr>
        <w:pStyle w:val="Heading3"/>
        <w:spacing w:before="200" w:after="100"/>
      </w:pPr>
      <w:r>
        <w:t>Module Breakdown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900"/>
        <w:gridCol w:w="3140"/>
      </w:tblGrid>
      <w:tr w:rsidR="00E90B3A" w14:paraId="33B1CE9C" w14:textId="77777777">
        <w:tblPrEx>
          <w:tblCellMar>
            <w:top w:w="0" w:type="dxa"/>
            <w:bottom w:w="0" w:type="dxa"/>
          </w:tblCellMar>
        </w:tblPrEx>
        <w:trPr>
          <w:tblHeader/>
        </w:trPr>
        <w:tc>
          <w:tcPr>
            <w:tcW w:w="3600" w:type="dxa"/>
            <w:shd w:val="clear" w:color="auto" w:fill="1F4E5F"/>
            <w:tcMar>
              <w:top w:w="70" w:type="dxa"/>
              <w:left w:w="90" w:type="dxa"/>
              <w:bottom w:w="70" w:type="dxa"/>
              <w:right w:w="90" w:type="dxa"/>
            </w:tcMar>
          </w:tcPr>
          <w:p w14:paraId="1F7C5E9A" w14:textId="77777777" w:rsidR="00E90B3A" w:rsidRDefault="00000000">
            <w:r>
              <w:rPr>
                <w:b/>
                <w:bCs/>
                <w:color w:val="FFFFFF"/>
                <w:sz w:val="17"/>
                <w:szCs w:val="17"/>
              </w:rPr>
              <w:t>Module</w:t>
            </w:r>
          </w:p>
        </w:tc>
        <w:tc>
          <w:tcPr>
            <w:tcW w:w="2900" w:type="dxa"/>
            <w:shd w:val="clear" w:color="auto" w:fill="1F4E5F"/>
            <w:tcMar>
              <w:top w:w="70" w:type="dxa"/>
              <w:left w:w="90" w:type="dxa"/>
              <w:bottom w:w="70" w:type="dxa"/>
              <w:right w:w="90" w:type="dxa"/>
            </w:tcMar>
          </w:tcPr>
          <w:p w14:paraId="0145EABA" w14:textId="77777777" w:rsidR="00E90B3A" w:rsidRDefault="00000000">
            <w:r>
              <w:rPr>
                <w:b/>
                <w:bCs/>
                <w:color w:val="FFFFFF"/>
                <w:sz w:val="17"/>
                <w:szCs w:val="17"/>
              </w:rPr>
              <w:t>Defect Count</w:t>
            </w:r>
          </w:p>
        </w:tc>
        <w:tc>
          <w:tcPr>
            <w:tcW w:w="3140" w:type="dxa"/>
            <w:shd w:val="clear" w:color="auto" w:fill="1F4E5F"/>
            <w:tcMar>
              <w:top w:w="70" w:type="dxa"/>
              <w:left w:w="90" w:type="dxa"/>
              <w:bottom w:w="70" w:type="dxa"/>
              <w:right w:w="90" w:type="dxa"/>
            </w:tcMar>
          </w:tcPr>
          <w:p w14:paraId="724A9E8F" w14:textId="77777777" w:rsidR="00E90B3A" w:rsidRDefault="00000000">
            <w:r>
              <w:rPr>
                <w:b/>
                <w:bCs/>
                <w:color w:val="FFFFFF"/>
                <w:sz w:val="17"/>
                <w:szCs w:val="17"/>
              </w:rPr>
              <w:t>% of Total</w:t>
            </w:r>
          </w:p>
        </w:tc>
      </w:tr>
      <w:tr w:rsidR="00E90B3A" w14:paraId="35F481A9" w14:textId="77777777">
        <w:tblPrEx>
          <w:tblCellMar>
            <w:top w:w="0" w:type="dxa"/>
            <w:bottom w:w="0" w:type="dxa"/>
          </w:tblCellMar>
        </w:tblPrEx>
        <w:tc>
          <w:tcPr>
            <w:tcW w:w="3600" w:type="dxa"/>
            <w:tcMar>
              <w:top w:w="70" w:type="dxa"/>
              <w:left w:w="90" w:type="dxa"/>
              <w:bottom w:w="70" w:type="dxa"/>
              <w:right w:w="90" w:type="dxa"/>
            </w:tcMar>
          </w:tcPr>
          <w:p w14:paraId="47500306" w14:textId="77777777" w:rsidR="00E90B3A" w:rsidRDefault="00000000">
            <w:r>
              <w:rPr>
                <w:sz w:val="17"/>
                <w:szCs w:val="17"/>
              </w:rPr>
              <w:t>Transfer Funds</w:t>
            </w:r>
          </w:p>
        </w:tc>
        <w:tc>
          <w:tcPr>
            <w:tcW w:w="2900" w:type="dxa"/>
            <w:tcMar>
              <w:top w:w="70" w:type="dxa"/>
              <w:left w:w="90" w:type="dxa"/>
              <w:bottom w:w="70" w:type="dxa"/>
              <w:right w:w="90" w:type="dxa"/>
            </w:tcMar>
          </w:tcPr>
          <w:p w14:paraId="6390DA8A" w14:textId="77777777" w:rsidR="00E90B3A" w:rsidRDefault="00000000">
            <w:r>
              <w:rPr>
                <w:sz w:val="17"/>
                <w:szCs w:val="17"/>
              </w:rPr>
              <w:t>3</w:t>
            </w:r>
          </w:p>
        </w:tc>
        <w:tc>
          <w:tcPr>
            <w:tcW w:w="3140" w:type="dxa"/>
            <w:tcMar>
              <w:top w:w="70" w:type="dxa"/>
              <w:left w:w="90" w:type="dxa"/>
              <w:bottom w:w="70" w:type="dxa"/>
              <w:right w:w="90" w:type="dxa"/>
            </w:tcMar>
          </w:tcPr>
          <w:p w14:paraId="471CC669" w14:textId="77777777" w:rsidR="00E90B3A" w:rsidRDefault="00000000">
            <w:r>
              <w:rPr>
                <w:sz w:val="17"/>
                <w:szCs w:val="17"/>
              </w:rPr>
              <w:t>27.3%</w:t>
            </w:r>
          </w:p>
        </w:tc>
      </w:tr>
      <w:tr w:rsidR="00E90B3A" w14:paraId="5E146D61" w14:textId="77777777">
        <w:tblPrEx>
          <w:tblCellMar>
            <w:top w:w="0" w:type="dxa"/>
            <w:bottom w:w="0" w:type="dxa"/>
          </w:tblCellMar>
        </w:tblPrEx>
        <w:tc>
          <w:tcPr>
            <w:tcW w:w="3600" w:type="dxa"/>
            <w:tcMar>
              <w:top w:w="70" w:type="dxa"/>
              <w:left w:w="90" w:type="dxa"/>
              <w:bottom w:w="70" w:type="dxa"/>
              <w:right w:w="90" w:type="dxa"/>
            </w:tcMar>
          </w:tcPr>
          <w:p w14:paraId="001F103B" w14:textId="77777777" w:rsidR="00E90B3A" w:rsidRDefault="00000000">
            <w:r>
              <w:rPr>
                <w:sz w:val="17"/>
                <w:szCs w:val="17"/>
              </w:rPr>
              <w:t>Login / Session</w:t>
            </w:r>
          </w:p>
        </w:tc>
        <w:tc>
          <w:tcPr>
            <w:tcW w:w="2900" w:type="dxa"/>
            <w:tcMar>
              <w:top w:w="70" w:type="dxa"/>
              <w:left w:w="90" w:type="dxa"/>
              <w:bottom w:w="70" w:type="dxa"/>
              <w:right w:w="90" w:type="dxa"/>
            </w:tcMar>
          </w:tcPr>
          <w:p w14:paraId="42BE671F" w14:textId="77777777" w:rsidR="00E90B3A" w:rsidRDefault="00000000">
            <w:r>
              <w:rPr>
                <w:sz w:val="17"/>
                <w:szCs w:val="17"/>
              </w:rPr>
              <w:t>2</w:t>
            </w:r>
          </w:p>
        </w:tc>
        <w:tc>
          <w:tcPr>
            <w:tcW w:w="3140" w:type="dxa"/>
            <w:tcMar>
              <w:top w:w="70" w:type="dxa"/>
              <w:left w:w="90" w:type="dxa"/>
              <w:bottom w:w="70" w:type="dxa"/>
              <w:right w:w="90" w:type="dxa"/>
            </w:tcMar>
          </w:tcPr>
          <w:p w14:paraId="1D86F93D" w14:textId="77777777" w:rsidR="00E90B3A" w:rsidRDefault="00000000">
            <w:r>
              <w:rPr>
                <w:sz w:val="17"/>
                <w:szCs w:val="17"/>
              </w:rPr>
              <w:t>18.2%</w:t>
            </w:r>
          </w:p>
        </w:tc>
      </w:tr>
      <w:tr w:rsidR="00E90B3A" w14:paraId="182C1907" w14:textId="77777777">
        <w:tblPrEx>
          <w:tblCellMar>
            <w:top w:w="0" w:type="dxa"/>
            <w:bottom w:w="0" w:type="dxa"/>
          </w:tblCellMar>
        </w:tblPrEx>
        <w:tc>
          <w:tcPr>
            <w:tcW w:w="3600" w:type="dxa"/>
            <w:tcMar>
              <w:top w:w="70" w:type="dxa"/>
              <w:left w:w="90" w:type="dxa"/>
              <w:bottom w:w="70" w:type="dxa"/>
              <w:right w:w="90" w:type="dxa"/>
            </w:tcMar>
          </w:tcPr>
          <w:p w14:paraId="50B5025F" w14:textId="77777777" w:rsidR="00E90B3A" w:rsidRDefault="00000000">
            <w:r>
              <w:rPr>
                <w:sz w:val="17"/>
                <w:szCs w:val="17"/>
              </w:rPr>
              <w:t>Registration</w:t>
            </w:r>
          </w:p>
        </w:tc>
        <w:tc>
          <w:tcPr>
            <w:tcW w:w="2900" w:type="dxa"/>
            <w:tcMar>
              <w:top w:w="70" w:type="dxa"/>
              <w:left w:w="90" w:type="dxa"/>
              <w:bottom w:w="70" w:type="dxa"/>
              <w:right w:w="90" w:type="dxa"/>
            </w:tcMar>
          </w:tcPr>
          <w:p w14:paraId="4B28D213" w14:textId="77777777" w:rsidR="00E90B3A" w:rsidRDefault="00000000">
            <w:r>
              <w:rPr>
                <w:sz w:val="17"/>
                <w:szCs w:val="17"/>
              </w:rPr>
              <w:t>2</w:t>
            </w:r>
          </w:p>
        </w:tc>
        <w:tc>
          <w:tcPr>
            <w:tcW w:w="3140" w:type="dxa"/>
            <w:tcMar>
              <w:top w:w="70" w:type="dxa"/>
              <w:left w:w="90" w:type="dxa"/>
              <w:bottom w:w="70" w:type="dxa"/>
              <w:right w:w="90" w:type="dxa"/>
            </w:tcMar>
          </w:tcPr>
          <w:p w14:paraId="780FFB64" w14:textId="77777777" w:rsidR="00E90B3A" w:rsidRDefault="00000000">
            <w:r>
              <w:rPr>
                <w:sz w:val="17"/>
                <w:szCs w:val="17"/>
              </w:rPr>
              <w:t>18.2%</w:t>
            </w:r>
          </w:p>
        </w:tc>
      </w:tr>
      <w:tr w:rsidR="00E90B3A" w14:paraId="31BD8454" w14:textId="77777777">
        <w:tblPrEx>
          <w:tblCellMar>
            <w:top w:w="0" w:type="dxa"/>
            <w:bottom w:w="0" w:type="dxa"/>
          </w:tblCellMar>
        </w:tblPrEx>
        <w:tc>
          <w:tcPr>
            <w:tcW w:w="3600" w:type="dxa"/>
            <w:tcMar>
              <w:top w:w="70" w:type="dxa"/>
              <w:left w:w="90" w:type="dxa"/>
              <w:bottom w:w="70" w:type="dxa"/>
              <w:right w:w="90" w:type="dxa"/>
            </w:tcMar>
          </w:tcPr>
          <w:p w14:paraId="6EC8D205" w14:textId="77777777" w:rsidR="00E90B3A" w:rsidRDefault="00000000">
            <w:r>
              <w:rPr>
                <w:sz w:val="17"/>
                <w:szCs w:val="17"/>
              </w:rPr>
              <w:t>Bill Pay</w:t>
            </w:r>
          </w:p>
        </w:tc>
        <w:tc>
          <w:tcPr>
            <w:tcW w:w="2900" w:type="dxa"/>
            <w:tcMar>
              <w:top w:w="70" w:type="dxa"/>
              <w:left w:w="90" w:type="dxa"/>
              <w:bottom w:w="70" w:type="dxa"/>
              <w:right w:w="90" w:type="dxa"/>
            </w:tcMar>
          </w:tcPr>
          <w:p w14:paraId="292DF7AA" w14:textId="77777777" w:rsidR="00E90B3A" w:rsidRDefault="00000000">
            <w:r>
              <w:rPr>
                <w:sz w:val="17"/>
                <w:szCs w:val="17"/>
              </w:rPr>
              <w:t>2</w:t>
            </w:r>
          </w:p>
        </w:tc>
        <w:tc>
          <w:tcPr>
            <w:tcW w:w="3140" w:type="dxa"/>
            <w:tcMar>
              <w:top w:w="70" w:type="dxa"/>
              <w:left w:w="90" w:type="dxa"/>
              <w:bottom w:w="70" w:type="dxa"/>
              <w:right w:w="90" w:type="dxa"/>
            </w:tcMar>
          </w:tcPr>
          <w:p w14:paraId="6382F352" w14:textId="77777777" w:rsidR="00E90B3A" w:rsidRDefault="00000000">
            <w:r>
              <w:rPr>
                <w:sz w:val="17"/>
                <w:szCs w:val="17"/>
              </w:rPr>
              <w:t>18.2%</w:t>
            </w:r>
          </w:p>
        </w:tc>
      </w:tr>
      <w:tr w:rsidR="00E90B3A" w14:paraId="0FFFB2B5" w14:textId="77777777">
        <w:tblPrEx>
          <w:tblCellMar>
            <w:top w:w="0" w:type="dxa"/>
            <w:bottom w:w="0" w:type="dxa"/>
          </w:tblCellMar>
        </w:tblPrEx>
        <w:tc>
          <w:tcPr>
            <w:tcW w:w="3600" w:type="dxa"/>
            <w:tcMar>
              <w:top w:w="70" w:type="dxa"/>
              <w:left w:w="90" w:type="dxa"/>
              <w:bottom w:w="70" w:type="dxa"/>
              <w:right w:w="90" w:type="dxa"/>
            </w:tcMar>
          </w:tcPr>
          <w:p w14:paraId="4E8A67CD" w14:textId="77777777" w:rsidR="00E90B3A" w:rsidRDefault="00000000">
            <w:r>
              <w:rPr>
                <w:sz w:val="17"/>
                <w:szCs w:val="17"/>
              </w:rPr>
              <w:t>Open New Account</w:t>
            </w:r>
          </w:p>
        </w:tc>
        <w:tc>
          <w:tcPr>
            <w:tcW w:w="2900" w:type="dxa"/>
            <w:tcMar>
              <w:top w:w="70" w:type="dxa"/>
              <w:left w:w="90" w:type="dxa"/>
              <w:bottom w:w="70" w:type="dxa"/>
              <w:right w:w="90" w:type="dxa"/>
            </w:tcMar>
          </w:tcPr>
          <w:p w14:paraId="2EBD02C8" w14:textId="77777777" w:rsidR="00E90B3A" w:rsidRDefault="00000000">
            <w:r>
              <w:rPr>
                <w:sz w:val="17"/>
                <w:szCs w:val="17"/>
              </w:rPr>
              <w:t>1</w:t>
            </w:r>
          </w:p>
        </w:tc>
        <w:tc>
          <w:tcPr>
            <w:tcW w:w="3140" w:type="dxa"/>
            <w:tcMar>
              <w:top w:w="70" w:type="dxa"/>
              <w:left w:w="90" w:type="dxa"/>
              <w:bottom w:w="70" w:type="dxa"/>
              <w:right w:w="90" w:type="dxa"/>
            </w:tcMar>
          </w:tcPr>
          <w:p w14:paraId="24208E4C" w14:textId="77777777" w:rsidR="00E90B3A" w:rsidRDefault="00000000">
            <w:r>
              <w:rPr>
                <w:sz w:val="17"/>
                <w:szCs w:val="17"/>
              </w:rPr>
              <w:t>9.1%</w:t>
            </w:r>
          </w:p>
        </w:tc>
      </w:tr>
      <w:tr w:rsidR="00E90B3A" w14:paraId="3D939055" w14:textId="77777777">
        <w:tblPrEx>
          <w:tblCellMar>
            <w:top w:w="0" w:type="dxa"/>
            <w:bottom w:w="0" w:type="dxa"/>
          </w:tblCellMar>
        </w:tblPrEx>
        <w:tc>
          <w:tcPr>
            <w:tcW w:w="3600" w:type="dxa"/>
            <w:tcMar>
              <w:top w:w="70" w:type="dxa"/>
              <w:left w:w="90" w:type="dxa"/>
              <w:bottom w:w="70" w:type="dxa"/>
              <w:right w:w="90" w:type="dxa"/>
            </w:tcMar>
          </w:tcPr>
          <w:p w14:paraId="5F778CF7" w14:textId="77777777" w:rsidR="00E90B3A" w:rsidRDefault="00000000">
            <w:r>
              <w:rPr>
                <w:sz w:val="17"/>
                <w:szCs w:val="17"/>
              </w:rPr>
              <w:t>Request Loan</w:t>
            </w:r>
          </w:p>
        </w:tc>
        <w:tc>
          <w:tcPr>
            <w:tcW w:w="2900" w:type="dxa"/>
            <w:tcMar>
              <w:top w:w="70" w:type="dxa"/>
              <w:left w:w="90" w:type="dxa"/>
              <w:bottom w:w="70" w:type="dxa"/>
              <w:right w:w="90" w:type="dxa"/>
            </w:tcMar>
          </w:tcPr>
          <w:p w14:paraId="0867B6F3" w14:textId="77777777" w:rsidR="00E90B3A" w:rsidRDefault="00000000">
            <w:r>
              <w:rPr>
                <w:sz w:val="17"/>
                <w:szCs w:val="17"/>
              </w:rPr>
              <w:t>1</w:t>
            </w:r>
          </w:p>
        </w:tc>
        <w:tc>
          <w:tcPr>
            <w:tcW w:w="3140" w:type="dxa"/>
            <w:tcMar>
              <w:top w:w="70" w:type="dxa"/>
              <w:left w:w="90" w:type="dxa"/>
              <w:bottom w:w="70" w:type="dxa"/>
              <w:right w:w="90" w:type="dxa"/>
            </w:tcMar>
          </w:tcPr>
          <w:p w14:paraId="0DE24C3E" w14:textId="77777777" w:rsidR="00E90B3A" w:rsidRDefault="00000000">
            <w:r>
              <w:rPr>
                <w:sz w:val="17"/>
                <w:szCs w:val="17"/>
              </w:rPr>
              <w:t>9.1%</w:t>
            </w:r>
          </w:p>
        </w:tc>
      </w:tr>
    </w:tbl>
    <w:p w14:paraId="6114F45A" w14:textId="77777777" w:rsidR="00E90B3A" w:rsidRDefault="00E90B3A">
      <w:pPr>
        <w:spacing w:after="100"/>
      </w:pPr>
    </w:p>
    <w:p w14:paraId="7BEF1AFA" w14:textId="77777777" w:rsidR="00E90B3A" w:rsidRDefault="00000000">
      <w:pPr>
        <w:pStyle w:val="Heading3"/>
        <w:spacing w:before="200" w:after="100"/>
      </w:pPr>
      <w:r>
        <w:t>Defect Trends and Patterns Across the Engagement</w:t>
      </w:r>
    </w:p>
    <w:p w14:paraId="1EEAD372" w14:textId="77777777" w:rsidR="00E90B3A" w:rsidRDefault="00000000">
      <w:pPr>
        <w:pStyle w:val="ListParagraph"/>
        <w:numPr>
          <w:ilvl w:val="0"/>
          <w:numId w:val="1"/>
        </w:numPr>
        <w:spacing w:after="60"/>
      </w:pPr>
      <w:r>
        <w:t>Every Critical defect (3 of 3) involved either direct financial risk (account over-draw, invalid loan approval) or session security — the two categories flagged as highest business risk as early as the Phase 1 Business Understanding Document, and independently again in the Phase 2 Risk-Based Testing Matrix. The risk-based prioritization approach used from Phase 2 onward correctly predicted where the most serious defects would concentrate.</w:t>
      </w:r>
    </w:p>
    <w:p w14:paraId="31BE822C" w14:textId="77777777" w:rsidR="00E90B3A" w:rsidRDefault="00000000">
      <w:pPr>
        <w:pStyle w:val="ListParagraph"/>
        <w:numPr>
          <w:ilvl w:val="0"/>
          <w:numId w:val="1"/>
        </w:numPr>
        <w:spacing w:after="60"/>
      </w:pPr>
      <w:r>
        <w:t>Transfer Funds carries both the highest raw defect count (3) and the highest defect density of any module, reinforcing the same module's Phase 2 High-risk ranking and Phase 3 defect prediction.</w:t>
      </w:r>
    </w:p>
    <w:p w14:paraId="7494AFF1" w14:textId="77777777" w:rsidR="00E90B3A" w:rsidRDefault="00000000">
      <w:pPr>
        <w:pStyle w:val="ListParagraph"/>
        <w:numPr>
          <w:ilvl w:val="0"/>
          <w:numId w:val="1"/>
        </w:numPr>
        <w:spacing w:after="60"/>
      </w:pPr>
      <w:r>
        <w:lastRenderedPageBreak/>
        <w:t>4 of the 11 defects trace directly to a requirement gap first flagged in Phase 1 (minimum deposit, payee validation timing, down-payment-vs-amount relationship, username uniqueness scope) — demonstrating that unresolved requirement ambiguity was not a paperwork problem but a leading indicator of real defects across this entire engagement.</w:t>
      </w:r>
    </w:p>
    <w:p w14:paraId="072EA837" w14:textId="77777777" w:rsidR="00E90B3A" w:rsidRDefault="00000000">
      <w:pPr>
        <w:pStyle w:val="ListParagraph"/>
        <w:numPr>
          <w:ilvl w:val="0"/>
          <w:numId w:val="1"/>
        </w:numPr>
        <w:spacing w:after="60"/>
      </w:pPr>
      <w:r>
        <w:t>2 of the 11 defects (both now Closed) were found and fixed fastest — DEF-002 and DEF-003, both edge-case Transfer Funds defects with clear, isolated root causes — while the defects still Open at this stage (DEF-005 in particular) involve core decision logic that requires more careful remediation and retesting.</w:t>
      </w:r>
    </w:p>
    <w:p w14:paraId="23F7FC9B" w14:textId="77777777" w:rsidR="00E90B3A" w:rsidRDefault="00E90B3A">
      <w:pPr>
        <w:spacing w:after="100"/>
      </w:pPr>
    </w:p>
    <w:p w14:paraId="7BA289BE" w14:textId="77777777" w:rsidR="00E90B3A" w:rsidRDefault="00000000">
      <w:pPr>
        <w:pStyle w:val="Heading2"/>
        <w:spacing w:before="240" w:after="120"/>
      </w:pPr>
      <w:r>
        <w:t>11.4.3 Quality Risk Assessment</w:t>
      </w:r>
    </w:p>
    <w:p w14:paraId="258B2A26" w14:textId="77777777" w:rsidR="00E90B3A" w:rsidRDefault="00000000">
      <w:pPr>
        <w:spacing w:after="120"/>
      </w:pPr>
      <w:r>
        <w:t>Risks that remain at the point of this release recommendation, beyond the specific open defects themselves.</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600"/>
        <w:gridCol w:w="1100"/>
        <w:gridCol w:w="1100"/>
        <w:gridCol w:w="3140"/>
      </w:tblGrid>
      <w:tr w:rsidR="00E90B3A" w14:paraId="73CA556B" w14:textId="77777777">
        <w:tblPrEx>
          <w:tblCellMar>
            <w:top w:w="0" w:type="dxa"/>
            <w:bottom w:w="0" w:type="dxa"/>
          </w:tblCellMar>
        </w:tblPrEx>
        <w:trPr>
          <w:tblHeader/>
        </w:trPr>
        <w:tc>
          <w:tcPr>
            <w:tcW w:w="400" w:type="dxa"/>
            <w:shd w:val="clear" w:color="auto" w:fill="1F4E5F"/>
            <w:tcMar>
              <w:top w:w="70" w:type="dxa"/>
              <w:left w:w="90" w:type="dxa"/>
              <w:bottom w:w="70" w:type="dxa"/>
              <w:right w:w="90" w:type="dxa"/>
            </w:tcMar>
          </w:tcPr>
          <w:p w14:paraId="66DCAB79" w14:textId="77777777" w:rsidR="00E90B3A" w:rsidRDefault="00000000">
            <w:r>
              <w:rPr>
                <w:b/>
                <w:bCs/>
                <w:color w:val="FFFFFF"/>
                <w:sz w:val="17"/>
                <w:szCs w:val="17"/>
              </w:rPr>
              <w:t>#</w:t>
            </w:r>
          </w:p>
        </w:tc>
        <w:tc>
          <w:tcPr>
            <w:tcW w:w="3600" w:type="dxa"/>
            <w:shd w:val="clear" w:color="auto" w:fill="1F4E5F"/>
            <w:tcMar>
              <w:top w:w="70" w:type="dxa"/>
              <w:left w:w="90" w:type="dxa"/>
              <w:bottom w:w="70" w:type="dxa"/>
              <w:right w:w="90" w:type="dxa"/>
            </w:tcMar>
          </w:tcPr>
          <w:p w14:paraId="3AAB3F96" w14:textId="77777777" w:rsidR="00E90B3A" w:rsidRDefault="00000000">
            <w:r>
              <w:rPr>
                <w:b/>
                <w:bCs/>
                <w:color w:val="FFFFFF"/>
                <w:sz w:val="17"/>
                <w:szCs w:val="17"/>
              </w:rPr>
              <w:t>Remaining Risk</w:t>
            </w:r>
          </w:p>
        </w:tc>
        <w:tc>
          <w:tcPr>
            <w:tcW w:w="1100" w:type="dxa"/>
            <w:shd w:val="clear" w:color="auto" w:fill="1F4E5F"/>
            <w:tcMar>
              <w:top w:w="70" w:type="dxa"/>
              <w:left w:w="90" w:type="dxa"/>
              <w:bottom w:w="70" w:type="dxa"/>
              <w:right w:w="90" w:type="dxa"/>
            </w:tcMar>
          </w:tcPr>
          <w:p w14:paraId="56B33648" w14:textId="77777777" w:rsidR="00E90B3A" w:rsidRDefault="00000000">
            <w:r>
              <w:rPr>
                <w:b/>
                <w:bCs/>
                <w:color w:val="FFFFFF"/>
                <w:sz w:val="17"/>
                <w:szCs w:val="17"/>
              </w:rPr>
              <w:t>Likelihood</w:t>
            </w:r>
          </w:p>
        </w:tc>
        <w:tc>
          <w:tcPr>
            <w:tcW w:w="1100" w:type="dxa"/>
            <w:shd w:val="clear" w:color="auto" w:fill="1F4E5F"/>
            <w:tcMar>
              <w:top w:w="70" w:type="dxa"/>
              <w:left w:w="90" w:type="dxa"/>
              <w:bottom w:w="70" w:type="dxa"/>
              <w:right w:w="90" w:type="dxa"/>
            </w:tcMar>
          </w:tcPr>
          <w:p w14:paraId="34364B5D" w14:textId="77777777" w:rsidR="00E90B3A" w:rsidRDefault="00000000">
            <w:r>
              <w:rPr>
                <w:b/>
                <w:bCs/>
                <w:color w:val="FFFFFF"/>
                <w:sz w:val="17"/>
                <w:szCs w:val="17"/>
              </w:rPr>
              <w:t>Impact</w:t>
            </w:r>
          </w:p>
        </w:tc>
        <w:tc>
          <w:tcPr>
            <w:tcW w:w="3140" w:type="dxa"/>
            <w:shd w:val="clear" w:color="auto" w:fill="1F4E5F"/>
            <w:tcMar>
              <w:top w:w="70" w:type="dxa"/>
              <w:left w:w="90" w:type="dxa"/>
              <w:bottom w:w="70" w:type="dxa"/>
              <w:right w:w="90" w:type="dxa"/>
            </w:tcMar>
          </w:tcPr>
          <w:p w14:paraId="21F5F525" w14:textId="77777777" w:rsidR="00E90B3A" w:rsidRDefault="00000000">
            <w:r>
              <w:rPr>
                <w:b/>
                <w:bCs/>
                <w:color w:val="FFFFFF"/>
                <w:sz w:val="17"/>
                <w:szCs w:val="17"/>
              </w:rPr>
              <w:t>Recommendation</w:t>
            </w:r>
          </w:p>
        </w:tc>
      </w:tr>
      <w:tr w:rsidR="00E90B3A" w14:paraId="4A7D8847" w14:textId="77777777">
        <w:tblPrEx>
          <w:tblCellMar>
            <w:top w:w="0" w:type="dxa"/>
            <w:bottom w:w="0" w:type="dxa"/>
          </w:tblCellMar>
        </w:tblPrEx>
        <w:tc>
          <w:tcPr>
            <w:tcW w:w="400" w:type="dxa"/>
            <w:tcMar>
              <w:top w:w="70" w:type="dxa"/>
              <w:left w:w="90" w:type="dxa"/>
              <w:bottom w:w="70" w:type="dxa"/>
              <w:right w:w="90" w:type="dxa"/>
            </w:tcMar>
          </w:tcPr>
          <w:p w14:paraId="343BE6ED" w14:textId="77777777" w:rsidR="00E90B3A" w:rsidRDefault="00000000">
            <w:r>
              <w:rPr>
                <w:sz w:val="17"/>
                <w:szCs w:val="17"/>
              </w:rPr>
              <w:t>1</w:t>
            </w:r>
          </w:p>
        </w:tc>
        <w:tc>
          <w:tcPr>
            <w:tcW w:w="3600" w:type="dxa"/>
            <w:tcMar>
              <w:top w:w="70" w:type="dxa"/>
              <w:left w:w="90" w:type="dxa"/>
              <w:bottom w:w="70" w:type="dxa"/>
              <w:right w:w="90" w:type="dxa"/>
            </w:tcMar>
          </w:tcPr>
          <w:p w14:paraId="7916F214" w14:textId="77777777" w:rsidR="00E90B3A" w:rsidRDefault="00000000">
            <w:r>
              <w:rPr>
                <w:sz w:val="17"/>
                <w:szCs w:val="17"/>
              </w:rPr>
              <w:t>DEF-005 (loan approval logic bypass) remains Open with no fix yet delivered, leaving an active lending-risk gap</w:t>
            </w:r>
          </w:p>
        </w:tc>
        <w:tc>
          <w:tcPr>
            <w:tcW w:w="1100" w:type="dxa"/>
            <w:tcMar>
              <w:top w:w="70" w:type="dxa"/>
              <w:left w:w="90" w:type="dxa"/>
              <w:bottom w:w="70" w:type="dxa"/>
              <w:right w:w="90" w:type="dxa"/>
            </w:tcMar>
          </w:tcPr>
          <w:p w14:paraId="0051DD42" w14:textId="77777777" w:rsidR="00E90B3A" w:rsidRDefault="00000000">
            <w:r>
              <w:rPr>
                <w:sz w:val="17"/>
                <w:szCs w:val="17"/>
              </w:rPr>
              <w:t>Medium</w:t>
            </w:r>
          </w:p>
        </w:tc>
        <w:tc>
          <w:tcPr>
            <w:tcW w:w="1100" w:type="dxa"/>
            <w:tcMar>
              <w:top w:w="70" w:type="dxa"/>
              <w:left w:w="90" w:type="dxa"/>
              <w:bottom w:w="70" w:type="dxa"/>
              <w:right w:w="90" w:type="dxa"/>
            </w:tcMar>
          </w:tcPr>
          <w:p w14:paraId="5FA1E758" w14:textId="77777777" w:rsidR="00E90B3A" w:rsidRDefault="00000000">
            <w:r>
              <w:rPr>
                <w:sz w:val="17"/>
                <w:szCs w:val="17"/>
              </w:rPr>
              <w:t>High</w:t>
            </w:r>
          </w:p>
        </w:tc>
        <w:tc>
          <w:tcPr>
            <w:tcW w:w="3140" w:type="dxa"/>
            <w:tcMar>
              <w:top w:w="70" w:type="dxa"/>
              <w:left w:w="90" w:type="dxa"/>
              <w:bottom w:w="70" w:type="dxa"/>
              <w:right w:w="90" w:type="dxa"/>
            </w:tcMar>
          </w:tcPr>
          <w:p w14:paraId="613507EA" w14:textId="77777777" w:rsidR="00E90B3A" w:rsidRDefault="00000000">
            <w:r>
              <w:rPr>
                <w:sz w:val="17"/>
                <w:szCs w:val="17"/>
              </w:rPr>
              <w:t>Mitigate — block release until fixed and retested</w:t>
            </w:r>
          </w:p>
        </w:tc>
      </w:tr>
      <w:tr w:rsidR="00E90B3A" w14:paraId="4D81806F" w14:textId="77777777">
        <w:tblPrEx>
          <w:tblCellMar>
            <w:top w:w="0" w:type="dxa"/>
            <w:bottom w:w="0" w:type="dxa"/>
          </w:tblCellMar>
        </w:tblPrEx>
        <w:tc>
          <w:tcPr>
            <w:tcW w:w="400" w:type="dxa"/>
            <w:tcMar>
              <w:top w:w="70" w:type="dxa"/>
              <w:left w:w="90" w:type="dxa"/>
              <w:bottom w:w="70" w:type="dxa"/>
              <w:right w:w="90" w:type="dxa"/>
            </w:tcMar>
          </w:tcPr>
          <w:p w14:paraId="4CE1F7B0" w14:textId="77777777" w:rsidR="00E90B3A" w:rsidRDefault="00000000">
            <w:r>
              <w:rPr>
                <w:sz w:val="17"/>
                <w:szCs w:val="17"/>
              </w:rPr>
              <w:t>2</w:t>
            </w:r>
          </w:p>
        </w:tc>
        <w:tc>
          <w:tcPr>
            <w:tcW w:w="3600" w:type="dxa"/>
            <w:tcMar>
              <w:top w:w="70" w:type="dxa"/>
              <w:left w:w="90" w:type="dxa"/>
              <w:bottom w:w="70" w:type="dxa"/>
              <w:right w:w="90" w:type="dxa"/>
            </w:tcMar>
          </w:tcPr>
          <w:p w14:paraId="13E80A5C" w14:textId="77777777" w:rsidR="00E90B3A" w:rsidRDefault="00000000">
            <w:r>
              <w:rPr>
                <w:sz w:val="17"/>
                <w:szCs w:val="17"/>
              </w:rPr>
              <w:t>Find Transactions and Update Contact Information were never tested in this engagement (a scope decision carried since Phase 3), so their quality is genuinely unknown, not confirmed good</w:t>
            </w:r>
          </w:p>
        </w:tc>
        <w:tc>
          <w:tcPr>
            <w:tcW w:w="1100" w:type="dxa"/>
            <w:tcMar>
              <w:top w:w="70" w:type="dxa"/>
              <w:left w:w="90" w:type="dxa"/>
              <w:bottom w:w="70" w:type="dxa"/>
              <w:right w:w="90" w:type="dxa"/>
            </w:tcMar>
          </w:tcPr>
          <w:p w14:paraId="47E222B8" w14:textId="77777777" w:rsidR="00E90B3A" w:rsidRDefault="00000000">
            <w:r>
              <w:rPr>
                <w:sz w:val="17"/>
                <w:szCs w:val="17"/>
              </w:rPr>
              <w:t>Medium</w:t>
            </w:r>
          </w:p>
        </w:tc>
        <w:tc>
          <w:tcPr>
            <w:tcW w:w="1100" w:type="dxa"/>
            <w:tcMar>
              <w:top w:w="70" w:type="dxa"/>
              <w:left w:w="90" w:type="dxa"/>
              <w:bottom w:w="70" w:type="dxa"/>
              <w:right w:w="90" w:type="dxa"/>
            </w:tcMar>
          </w:tcPr>
          <w:p w14:paraId="495AC8A1" w14:textId="77777777" w:rsidR="00E90B3A" w:rsidRDefault="00000000">
            <w:r>
              <w:rPr>
                <w:sz w:val="17"/>
                <w:szCs w:val="17"/>
              </w:rPr>
              <w:t>Medium</w:t>
            </w:r>
          </w:p>
        </w:tc>
        <w:tc>
          <w:tcPr>
            <w:tcW w:w="3140" w:type="dxa"/>
            <w:tcMar>
              <w:top w:w="70" w:type="dxa"/>
              <w:left w:w="90" w:type="dxa"/>
              <w:bottom w:w="70" w:type="dxa"/>
              <w:right w:w="90" w:type="dxa"/>
            </w:tcMar>
          </w:tcPr>
          <w:p w14:paraId="3ACFB5E2" w14:textId="77777777" w:rsidR="00E90B3A" w:rsidRDefault="00000000">
            <w:r>
              <w:rPr>
                <w:sz w:val="17"/>
                <w:szCs w:val="17"/>
              </w:rPr>
              <w:t>Monitor — flag as untested scope in the Test Closure Report and revisit before those modules are considered release-ready</w:t>
            </w:r>
          </w:p>
        </w:tc>
      </w:tr>
      <w:tr w:rsidR="00E90B3A" w14:paraId="6858076D" w14:textId="77777777">
        <w:tblPrEx>
          <w:tblCellMar>
            <w:top w:w="0" w:type="dxa"/>
            <w:bottom w:w="0" w:type="dxa"/>
          </w:tblCellMar>
        </w:tblPrEx>
        <w:tc>
          <w:tcPr>
            <w:tcW w:w="400" w:type="dxa"/>
            <w:tcMar>
              <w:top w:w="70" w:type="dxa"/>
              <w:left w:w="90" w:type="dxa"/>
              <w:bottom w:w="70" w:type="dxa"/>
              <w:right w:w="90" w:type="dxa"/>
            </w:tcMar>
          </w:tcPr>
          <w:p w14:paraId="7C28FA49" w14:textId="77777777" w:rsidR="00E90B3A" w:rsidRDefault="00000000">
            <w:r>
              <w:rPr>
                <w:sz w:val="17"/>
                <w:szCs w:val="17"/>
              </w:rPr>
              <w:t>3</w:t>
            </w:r>
          </w:p>
        </w:tc>
        <w:tc>
          <w:tcPr>
            <w:tcW w:w="3600" w:type="dxa"/>
            <w:tcMar>
              <w:top w:w="70" w:type="dxa"/>
              <w:left w:w="90" w:type="dxa"/>
              <w:bottom w:w="70" w:type="dxa"/>
              <w:right w:w="90" w:type="dxa"/>
            </w:tcMar>
          </w:tcPr>
          <w:p w14:paraId="4B16CC2A" w14:textId="77777777" w:rsidR="00E90B3A" w:rsidRDefault="00000000">
            <w:r>
              <w:rPr>
                <w:sz w:val="17"/>
                <w:szCs w:val="17"/>
              </w:rPr>
              <w:t>Several requirement gaps identified in Phase 1 (loan decision threshold, transfer/bill pay boundary rules) were never formally confirmed by the client during this engagement</w:t>
            </w:r>
          </w:p>
        </w:tc>
        <w:tc>
          <w:tcPr>
            <w:tcW w:w="1100" w:type="dxa"/>
            <w:tcMar>
              <w:top w:w="70" w:type="dxa"/>
              <w:left w:w="90" w:type="dxa"/>
              <w:bottom w:w="70" w:type="dxa"/>
              <w:right w:w="90" w:type="dxa"/>
            </w:tcMar>
          </w:tcPr>
          <w:p w14:paraId="44A334A9" w14:textId="77777777" w:rsidR="00E90B3A" w:rsidRDefault="00000000">
            <w:r>
              <w:rPr>
                <w:sz w:val="17"/>
                <w:szCs w:val="17"/>
              </w:rPr>
              <w:t>Medium</w:t>
            </w:r>
          </w:p>
        </w:tc>
        <w:tc>
          <w:tcPr>
            <w:tcW w:w="1100" w:type="dxa"/>
            <w:tcMar>
              <w:top w:w="70" w:type="dxa"/>
              <w:left w:w="90" w:type="dxa"/>
              <w:bottom w:w="70" w:type="dxa"/>
              <w:right w:w="90" w:type="dxa"/>
            </w:tcMar>
          </w:tcPr>
          <w:p w14:paraId="44280339" w14:textId="77777777" w:rsidR="00E90B3A" w:rsidRDefault="00000000">
            <w:r>
              <w:rPr>
                <w:sz w:val="17"/>
                <w:szCs w:val="17"/>
              </w:rPr>
              <w:t>Medium</w:t>
            </w:r>
          </w:p>
        </w:tc>
        <w:tc>
          <w:tcPr>
            <w:tcW w:w="3140" w:type="dxa"/>
            <w:tcMar>
              <w:top w:w="70" w:type="dxa"/>
              <w:left w:w="90" w:type="dxa"/>
              <w:bottom w:w="70" w:type="dxa"/>
              <w:right w:w="90" w:type="dxa"/>
            </w:tcMar>
          </w:tcPr>
          <w:p w14:paraId="4E1074A7" w14:textId="77777777" w:rsidR="00E90B3A" w:rsidRDefault="00000000">
            <w:r>
              <w:rPr>
                <w:sz w:val="17"/>
                <w:szCs w:val="17"/>
              </w:rPr>
              <w:t>Mitigate — obtain client confirmation before the next release cycle so remaining assumptions can be validated or corrected</w:t>
            </w:r>
          </w:p>
        </w:tc>
      </w:tr>
      <w:tr w:rsidR="00E90B3A" w14:paraId="7E11A8B9" w14:textId="77777777">
        <w:tblPrEx>
          <w:tblCellMar>
            <w:top w:w="0" w:type="dxa"/>
            <w:bottom w:w="0" w:type="dxa"/>
          </w:tblCellMar>
        </w:tblPrEx>
        <w:tc>
          <w:tcPr>
            <w:tcW w:w="400" w:type="dxa"/>
            <w:tcMar>
              <w:top w:w="70" w:type="dxa"/>
              <w:left w:w="90" w:type="dxa"/>
              <w:bottom w:w="70" w:type="dxa"/>
              <w:right w:w="90" w:type="dxa"/>
            </w:tcMar>
          </w:tcPr>
          <w:p w14:paraId="1421DBDC" w14:textId="77777777" w:rsidR="00E90B3A" w:rsidRDefault="00000000">
            <w:r>
              <w:rPr>
                <w:sz w:val="17"/>
                <w:szCs w:val="17"/>
              </w:rPr>
              <w:t>4</w:t>
            </w:r>
          </w:p>
        </w:tc>
        <w:tc>
          <w:tcPr>
            <w:tcW w:w="3600" w:type="dxa"/>
            <w:tcMar>
              <w:top w:w="70" w:type="dxa"/>
              <w:left w:w="90" w:type="dxa"/>
              <w:bottom w:w="70" w:type="dxa"/>
              <w:right w:w="90" w:type="dxa"/>
            </w:tcMar>
          </w:tcPr>
          <w:p w14:paraId="71FC32AD" w14:textId="77777777" w:rsidR="00E90B3A" w:rsidRDefault="00000000">
            <w:r>
              <w:rPr>
                <w:sz w:val="17"/>
                <w:szCs w:val="17"/>
              </w:rPr>
              <w:t>Performance and load testing were out of scope for the entire engagement, so there is no evidence the application meets its stated response-time targets (NFR-PER-001, NFR-PER-002) under real load</w:t>
            </w:r>
          </w:p>
        </w:tc>
        <w:tc>
          <w:tcPr>
            <w:tcW w:w="1100" w:type="dxa"/>
            <w:tcMar>
              <w:top w:w="70" w:type="dxa"/>
              <w:left w:w="90" w:type="dxa"/>
              <w:bottom w:w="70" w:type="dxa"/>
              <w:right w:w="90" w:type="dxa"/>
            </w:tcMar>
          </w:tcPr>
          <w:p w14:paraId="73311A0B" w14:textId="77777777" w:rsidR="00E90B3A" w:rsidRDefault="00000000">
            <w:r>
              <w:rPr>
                <w:sz w:val="17"/>
                <w:szCs w:val="17"/>
              </w:rPr>
              <w:t>Low</w:t>
            </w:r>
          </w:p>
        </w:tc>
        <w:tc>
          <w:tcPr>
            <w:tcW w:w="1100" w:type="dxa"/>
            <w:tcMar>
              <w:top w:w="70" w:type="dxa"/>
              <w:left w:w="90" w:type="dxa"/>
              <w:bottom w:w="70" w:type="dxa"/>
              <w:right w:w="90" w:type="dxa"/>
            </w:tcMar>
          </w:tcPr>
          <w:p w14:paraId="3DC11A4C" w14:textId="77777777" w:rsidR="00E90B3A" w:rsidRDefault="00000000">
            <w:r>
              <w:rPr>
                <w:sz w:val="17"/>
                <w:szCs w:val="17"/>
              </w:rPr>
              <w:t>Medium</w:t>
            </w:r>
          </w:p>
        </w:tc>
        <w:tc>
          <w:tcPr>
            <w:tcW w:w="3140" w:type="dxa"/>
            <w:tcMar>
              <w:top w:w="70" w:type="dxa"/>
              <w:left w:w="90" w:type="dxa"/>
              <w:bottom w:w="70" w:type="dxa"/>
              <w:right w:w="90" w:type="dxa"/>
            </w:tcMar>
          </w:tcPr>
          <w:p w14:paraId="341AAAA7" w14:textId="77777777" w:rsidR="00E90B3A" w:rsidRDefault="00000000">
            <w:r>
              <w:rPr>
                <w:sz w:val="17"/>
                <w:szCs w:val="17"/>
              </w:rPr>
              <w:t>Monitor — recommend a dedicated performance testing pass before any high-traffic production launch</w:t>
            </w:r>
          </w:p>
        </w:tc>
      </w:tr>
      <w:tr w:rsidR="00E90B3A" w14:paraId="437AAB48" w14:textId="77777777">
        <w:tblPrEx>
          <w:tblCellMar>
            <w:top w:w="0" w:type="dxa"/>
            <w:bottom w:w="0" w:type="dxa"/>
          </w:tblCellMar>
        </w:tblPrEx>
        <w:tc>
          <w:tcPr>
            <w:tcW w:w="400" w:type="dxa"/>
            <w:tcMar>
              <w:top w:w="70" w:type="dxa"/>
              <w:left w:w="90" w:type="dxa"/>
              <w:bottom w:w="70" w:type="dxa"/>
              <w:right w:w="90" w:type="dxa"/>
            </w:tcMar>
          </w:tcPr>
          <w:p w14:paraId="0682BC2B" w14:textId="77777777" w:rsidR="00E90B3A" w:rsidRDefault="00000000">
            <w:r>
              <w:rPr>
                <w:sz w:val="17"/>
                <w:szCs w:val="17"/>
              </w:rPr>
              <w:t>5</w:t>
            </w:r>
          </w:p>
        </w:tc>
        <w:tc>
          <w:tcPr>
            <w:tcW w:w="3600" w:type="dxa"/>
            <w:tcMar>
              <w:top w:w="70" w:type="dxa"/>
              <w:left w:w="90" w:type="dxa"/>
              <w:bottom w:w="70" w:type="dxa"/>
              <w:right w:w="90" w:type="dxa"/>
            </w:tcMar>
          </w:tcPr>
          <w:p w14:paraId="607973F1" w14:textId="77777777" w:rsidR="00E90B3A" w:rsidRDefault="00000000">
            <w:r>
              <w:rPr>
                <w:sz w:val="17"/>
                <w:szCs w:val="17"/>
              </w:rPr>
              <w:t>This engagement was resourced by a single tester across two weeks; some lower-priority defect classes (e.g., additional field-level validation gaps beyond those found) may exist but were not exhaustively searched for</w:t>
            </w:r>
          </w:p>
        </w:tc>
        <w:tc>
          <w:tcPr>
            <w:tcW w:w="1100" w:type="dxa"/>
            <w:tcMar>
              <w:top w:w="70" w:type="dxa"/>
              <w:left w:w="90" w:type="dxa"/>
              <w:bottom w:w="70" w:type="dxa"/>
              <w:right w:w="90" w:type="dxa"/>
            </w:tcMar>
          </w:tcPr>
          <w:p w14:paraId="2E61D8D7" w14:textId="77777777" w:rsidR="00E90B3A" w:rsidRDefault="00000000">
            <w:r>
              <w:rPr>
                <w:sz w:val="17"/>
                <w:szCs w:val="17"/>
              </w:rPr>
              <w:t>Medium</w:t>
            </w:r>
          </w:p>
        </w:tc>
        <w:tc>
          <w:tcPr>
            <w:tcW w:w="1100" w:type="dxa"/>
            <w:tcMar>
              <w:top w:w="70" w:type="dxa"/>
              <w:left w:w="90" w:type="dxa"/>
              <w:bottom w:w="70" w:type="dxa"/>
              <w:right w:w="90" w:type="dxa"/>
            </w:tcMar>
          </w:tcPr>
          <w:p w14:paraId="7AC88658" w14:textId="77777777" w:rsidR="00E90B3A" w:rsidRDefault="00000000">
            <w:r>
              <w:rPr>
                <w:sz w:val="17"/>
                <w:szCs w:val="17"/>
              </w:rPr>
              <w:t>Low</w:t>
            </w:r>
          </w:p>
        </w:tc>
        <w:tc>
          <w:tcPr>
            <w:tcW w:w="3140" w:type="dxa"/>
            <w:tcMar>
              <w:top w:w="70" w:type="dxa"/>
              <w:left w:w="90" w:type="dxa"/>
              <w:bottom w:w="70" w:type="dxa"/>
              <w:right w:w="90" w:type="dxa"/>
            </w:tcMar>
          </w:tcPr>
          <w:p w14:paraId="79D6E0CA" w14:textId="77777777" w:rsidR="00E90B3A" w:rsidRDefault="00000000">
            <w:r>
              <w:rPr>
                <w:sz w:val="17"/>
                <w:szCs w:val="17"/>
              </w:rPr>
              <w:t>Accept — proportionate given the engagement's resourcing constraints, documented transparently rather than implied as complete coverage</w:t>
            </w:r>
          </w:p>
        </w:tc>
      </w:tr>
      <w:tr w:rsidR="00E90B3A" w14:paraId="4AD4628A" w14:textId="77777777">
        <w:tblPrEx>
          <w:tblCellMar>
            <w:top w:w="0" w:type="dxa"/>
            <w:bottom w:w="0" w:type="dxa"/>
          </w:tblCellMar>
        </w:tblPrEx>
        <w:tc>
          <w:tcPr>
            <w:tcW w:w="400" w:type="dxa"/>
            <w:tcMar>
              <w:top w:w="70" w:type="dxa"/>
              <w:left w:w="90" w:type="dxa"/>
              <w:bottom w:w="70" w:type="dxa"/>
              <w:right w:w="90" w:type="dxa"/>
            </w:tcMar>
          </w:tcPr>
          <w:p w14:paraId="5409B369" w14:textId="77777777" w:rsidR="00E90B3A" w:rsidRDefault="00000000">
            <w:r>
              <w:rPr>
                <w:sz w:val="17"/>
                <w:szCs w:val="17"/>
              </w:rPr>
              <w:t>6</w:t>
            </w:r>
          </w:p>
        </w:tc>
        <w:tc>
          <w:tcPr>
            <w:tcW w:w="3600" w:type="dxa"/>
            <w:tcMar>
              <w:top w:w="70" w:type="dxa"/>
              <w:left w:w="90" w:type="dxa"/>
              <w:bottom w:w="70" w:type="dxa"/>
              <w:right w:w="90" w:type="dxa"/>
            </w:tcMar>
          </w:tcPr>
          <w:p w14:paraId="13349D36" w14:textId="77777777" w:rsidR="00E90B3A" w:rsidRDefault="00000000">
            <w:r>
              <w:rPr>
                <w:sz w:val="17"/>
                <w:szCs w:val="17"/>
              </w:rPr>
              <w:t>DEF-001, DEF-004, DEF-006, DEF-009, DEF-010, and DEF-011 (6 of 11 defects) remain Open at Medium/Low priority; while individually acceptable to release with, their cumulative presence represents a real, if modest, quality debt</w:t>
            </w:r>
          </w:p>
        </w:tc>
        <w:tc>
          <w:tcPr>
            <w:tcW w:w="1100" w:type="dxa"/>
            <w:tcMar>
              <w:top w:w="70" w:type="dxa"/>
              <w:left w:w="90" w:type="dxa"/>
              <w:bottom w:w="70" w:type="dxa"/>
              <w:right w:w="90" w:type="dxa"/>
            </w:tcMar>
          </w:tcPr>
          <w:p w14:paraId="647FE0D4" w14:textId="77777777" w:rsidR="00E90B3A" w:rsidRDefault="00000000">
            <w:r>
              <w:rPr>
                <w:sz w:val="17"/>
                <w:szCs w:val="17"/>
              </w:rPr>
              <w:t>Medium</w:t>
            </w:r>
          </w:p>
        </w:tc>
        <w:tc>
          <w:tcPr>
            <w:tcW w:w="1100" w:type="dxa"/>
            <w:tcMar>
              <w:top w:w="70" w:type="dxa"/>
              <w:left w:w="90" w:type="dxa"/>
              <w:bottom w:w="70" w:type="dxa"/>
              <w:right w:w="90" w:type="dxa"/>
            </w:tcMar>
          </w:tcPr>
          <w:p w14:paraId="18E11868" w14:textId="77777777" w:rsidR="00E90B3A" w:rsidRDefault="00000000">
            <w:r>
              <w:rPr>
                <w:sz w:val="17"/>
                <w:szCs w:val="17"/>
              </w:rPr>
              <w:t>Low</w:t>
            </w:r>
          </w:p>
        </w:tc>
        <w:tc>
          <w:tcPr>
            <w:tcW w:w="3140" w:type="dxa"/>
            <w:tcMar>
              <w:top w:w="70" w:type="dxa"/>
              <w:left w:w="90" w:type="dxa"/>
              <w:bottom w:w="70" w:type="dxa"/>
              <w:right w:w="90" w:type="dxa"/>
            </w:tcMar>
          </w:tcPr>
          <w:p w14:paraId="0E721D22" w14:textId="77777777" w:rsidR="00E90B3A" w:rsidRDefault="00000000">
            <w:r>
              <w:rPr>
                <w:sz w:val="17"/>
                <w:szCs w:val="17"/>
              </w:rPr>
              <w:t>Accept with a documented remediation timeline communicated to the client</w:t>
            </w:r>
          </w:p>
        </w:tc>
      </w:tr>
    </w:tbl>
    <w:p w14:paraId="50D52305" w14:textId="77777777" w:rsidR="00E90B3A" w:rsidRDefault="00E90B3A">
      <w:pPr>
        <w:spacing w:after="100"/>
      </w:pPr>
    </w:p>
    <w:p w14:paraId="1BAD5D52" w14:textId="77777777" w:rsidR="00E90B3A" w:rsidRDefault="00000000">
      <w:pPr>
        <w:pStyle w:val="Heading2"/>
        <w:spacing w:before="240" w:after="120"/>
      </w:pPr>
      <w:r>
        <w:t>11.4.4 Test Summary Report</w:t>
      </w:r>
    </w:p>
    <w:p w14:paraId="64E1D8D8" w14:textId="77777777" w:rsidR="00E90B3A" w:rsidRDefault="00000000">
      <w:pPr>
        <w:pStyle w:val="Heading3"/>
        <w:spacing w:before="200" w:after="100"/>
      </w:pPr>
      <w:r>
        <w:t>Scope of Testing Performed</w:t>
      </w:r>
    </w:p>
    <w:p w14:paraId="4748D04D" w14:textId="77777777" w:rsidR="00E90B3A" w:rsidRDefault="00000000">
      <w:pPr>
        <w:spacing w:after="120"/>
      </w:pPr>
      <w:r>
        <w:t>Testing covered six of the eight identified ParaBank modules: Registration, Login, Open New Account, Transfer Funds, Bill Pay, and Request Loan, per the scope defined in the Phase 2 Scope Matrix and refined in Phase 3's six-module test design requirement. Find Transactions, Update Contact Information, the administrative interface, the SOAP/REST API layer, and full-scale performance/load testing were explicitly out of scope throughout the engagement, consistent with the Phase 2 Scope Matrix and carried forward transparently at every subsequent phase rather than silently dropped.</w:t>
      </w:r>
    </w:p>
    <w:p w14:paraId="4F6C0126" w14:textId="77777777" w:rsidR="00E90B3A" w:rsidRDefault="00000000">
      <w:pPr>
        <w:pStyle w:val="Heading3"/>
        <w:spacing w:before="200" w:after="100"/>
      </w:pPr>
      <w:r>
        <w:t>Summary of Findings</w:t>
      </w:r>
    </w:p>
    <w:p w14:paraId="7D74ED36" w14:textId="77777777" w:rsidR="00E90B3A" w:rsidRDefault="00000000">
      <w:pPr>
        <w:spacing w:after="120"/>
      </w:pPr>
      <w:r>
        <w:t>50 test cases were executed (41 Pass, 7 Fail, 2 Blocked), and 11 defects were raised spanning 3 Critical, 5 Major, 2 Minor, and 1 Trivial. Of the 3 Critical defects, 2 (DEF-007, DEF-008) have since been fixed and retested to Closed status; 1 (DEF-005) remains Open. Core happy-path functionality across all six tested modules is fundamentally reliable; the defects found concentrate specifically in boundary conditions, validation gaps tied to previously-identified requirement ambiguities, and session security, rather than in core transaction processing.</w:t>
      </w:r>
    </w:p>
    <w:p w14:paraId="09BD2BBA" w14:textId="77777777" w:rsidR="00E90B3A" w:rsidRDefault="00000000">
      <w:pPr>
        <w:pStyle w:val="Heading3"/>
        <w:spacing w:before="200" w:after="100"/>
      </w:pPr>
      <w:r>
        <w:lastRenderedPageBreak/>
        <w:t>Outstanding Risks</w:t>
      </w:r>
    </w:p>
    <w:p w14:paraId="394342D5" w14:textId="77777777" w:rsidR="00E90B3A" w:rsidRDefault="00000000">
      <w:pPr>
        <w:spacing w:after="120"/>
      </w:pPr>
      <w:r>
        <w:t>The most significant outstanding risk is DEF-005 remaining Open, which directly blocks the release recommendation below. Beyond that specific defect, five further risks remain at closure, detailed in the Quality Risk Assessment (11.4.3): two untested modules, several unconfirmed Phase 1 requirement gaps, no performance testing evidence, single-tester resourcing limits, and six lower-priority Open defects representing modest accumulated quality debt.</w:t>
      </w:r>
    </w:p>
    <w:p w14:paraId="6467AB0F" w14:textId="77777777" w:rsidR="00E90B3A" w:rsidRDefault="00000000">
      <w:pPr>
        <w:pStyle w:val="Heading3"/>
        <w:spacing w:before="200" w:after="100"/>
      </w:pPr>
      <w:r>
        <w:t>All Testing Activities Completed</w:t>
      </w:r>
    </w:p>
    <w:p w14:paraId="781A5BCD" w14:textId="77777777" w:rsidR="00E90B3A" w:rsidRDefault="00000000">
      <w:pPr>
        <w:pStyle w:val="ListParagraph"/>
        <w:numPr>
          <w:ilvl w:val="0"/>
          <w:numId w:val="1"/>
        </w:numPr>
        <w:spacing w:after="60"/>
      </w:pPr>
      <w:r>
        <w:t>Phase 1: Discovery &amp; Requirements Analysis — Business Understanding Document, Module Analysis, 24 Functional and 12 Non-Functional Requirements, Risk Register, Stakeholder Question Workshop, and supporting analyses</w:t>
      </w:r>
    </w:p>
    <w:p w14:paraId="2640C342" w14:textId="77777777" w:rsidR="00E90B3A" w:rsidRDefault="00000000">
      <w:pPr>
        <w:pStyle w:val="ListParagraph"/>
        <w:numPr>
          <w:ilvl w:val="0"/>
          <w:numId w:val="1"/>
        </w:numPr>
        <w:spacing w:after="60"/>
      </w:pPr>
      <w:r>
        <w:t>Phase 2: Test Strategy — Test Plan, Scope Matrix, Test Strategy, Risk-Based Testing Matrix, Resource and Environment Plans, Entry/Exit Criteria, Timeline, and supporting analyses</w:t>
      </w:r>
    </w:p>
    <w:p w14:paraId="1D8F7127" w14:textId="77777777" w:rsidR="00E90B3A" w:rsidRDefault="00000000">
      <w:pPr>
        <w:pStyle w:val="ListParagraph"/>
        <w:numPr>
          <w:ilvl w:val="0"/>
          <w:numId w:val="1"/>
        </w:numPr>
        <w:spacing w:after="60"/>
      </w:pPr>
      <w:r>
        <w:t>Phase 3: Test Design &amp; Coverage — 30 test scenarios, 50 test cases, BVA/EP tables, decision tables, RTM, Coverage Analysis Report, and supporting analyses</w:t>
      </w:r>
    </w:p>
    <w:p w14:paraId="22F4A529" w14:textId="77777777" w:rsidR="00E90B3A" w:rsidRDefault="00000000">
      <w:pPr>
        <w:pStyle w:val="ListParagraph"/>
        <w:numPr>
          <w:ilvl w:val="0"/>
          <w:numId w:val="1"/>
        </w:numPr>
        <w:spacing w:after="60"/>
      </w:pPr>
      <w:r>
        <w:t>Phase 4: Quality Preparation — Environment Assessment, Readiness Checklist, Test Account Strategy, 100 test data records, Evidence Management Strategy, Readiness Review, and supporting analyses</w:t>
      </w:r>
    </w:p>
    <w:p w14:paraId="1E70CE05" w14:textId="77777777" w:rsidR="00E90B3A" w:rsidRDefault="00000000">
      <w:pPr>
        <w:pStyle w:val="ListParagraph"/>
        <w:numPr>
          <w:ilvl w:val="0"/>
          <w:numId w:val="1"/>
        </w:numPr>
        <w:spacing w:after="60"/>
      </w:pPr>
      <w:r>
        <w:t>Phase 5: Quality Investigation — Full test execution (50/50 test cases), 11 defect reports, Defect Analysis, Exploratory Testing (5 missions + 1-hour session), Release Risk Assessment, and supporting analyses</w:t>
      </w:r>
    </w:p>
    <w:p w14:paraId="689C4B2A" w14:textId="77777777" w:rsidR="00E90B3A" w:rsidRDefault="00000000">
      <w:pPr>
        <w:pStyle w:val="ListParagraph"/>
        <w:numPr>
          <w:ilvl w:val="0"/>
          <w:numId w:val="1"/>
        </w:numPr>
        <w:spacing w:after="60"/>
      </w:pPr>
      <w:r>
        <w:t>Phase 6: Quality Advisory &amp; Release Decision — this document, including the Metrics Dashboard, Test Summary Report, GO/NO-GO Recommendation, Test Closure Report, and Executive Presentation</w:t>
      </w:r>
    </w:p>
    <w:p w14:paraId="4EFC70AF" w14:textId="77777777" w:rsidR="00E90B3A" w:rsidRDefault="00000000">
      <w:pPr>
        <w:pStyle w:val="Heading3"/>
        <w:spacing w:before="200" w:after="100"/>
      </w:pPr>
      <w:r>
        <w:t>Metrics Summary</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640"/>
      </w:tblGrid>
      <w:tr w:rsidR="00E90B3A" w14:paraId="65FE5A27" w14:textId="77777777">
        <w:tblPrEx>
          <w:tblCellMar>
            <w:top w:w="0" w:type="dxa"/>
            <w:bottom w:w="0" w:type="dxa"/>
          </w:tblCellMar>
        </w:tblPrEx>
        <w:trPr>
          <w:tblHeader/>
        </w:trPr>
        <w:tc>
          <w:tcPr>
            <w:tcW w:w="4700" w:type="dxa"/>
            <w:shd w:val="clear" w:color="auto" w:fill="1F4E5F"/>
            <w:tcMar>
              <w:top w:w="70" w:type="dxa"/>
              <w:left w:w="90" w:type="dxa"/>
              <w:bottom w:w="70" w:type="dxa"/>
              <w:right w:w="90" w:type="dxa"/>
            </w:tcMar>
          </w:tcPr>
          <w:p w14:paraId="457BCF07" w14:textId="77777777" w:rsidR="00E90B3A" w:rsidRDefault="00000000">
            <w:r>
              <w:rPr>
                <w:b/>
                <w:bCs/>
                <w:color w:val="FFFFFF"/>
                <w:sz w:val="17"/>
                <w:szCs w:val="17"/>
              </w:rPr>
              <w:t>Metric</w:t>
            </w:r>
          </w:p>
        </w:tc>
        <w:tc>
          <w:tcPr>
            <w:tcW w:w="4640" w:type="dxa"/>
            <w:shd w:val="clear" w:color="auto" w:fill="1F4E5F"/>
            <w:tcMar>
              <w:top w:w="70" w:type="dxa"/>
              <w:left w:w="90" w:type="dxa"/>
              <w:bottom w:w="70" w:type="dxa"/>
              <w:right w:w="90" w:type="dxa"/>
            </w:tcMar>
          </w:tcPr>
          <w:p w14:paraId="39C21723" w14:textId="77777777" w:rsidR="00E90B3A" w:rsidRDefault="00000000">
            <w:r>
              <w:rPr>
                <w:b/>
                <w:bCs/>
                <w:color w:val="FFFFFF"/>
                <w:sz w:val="17"/>
                <w:szCs w:val="17"/>
              </w:rPr>
              <w:t>Value</w:t>
            </w:r>
          </w:p>
        </w:tc>
      </w:tr>
      <w:tr w:rsidR="00E90B3A" w14:paraId="266838A3" w14:textId="77777777">
        <w:tblPrEx>
          <w:tblCellMar>
            <w:top w:w="0" w:type="dxa"/>
            <w:bottom w:w="0" w:type="dxa"/>
          </w:tblCellMar>
        </w:tblPrEx>
        <w:tc>
          <w:tcPr>
            <w:tcW w:w="4700" w:type="dxa"/>
            <w:tcMar>
              <w:top w:w="70" w:type="dxa"/>
              <w:left w:w="90" w:type="dxa"/>
              <w:bottom w:w="70" w:type="dxa"/>
              <w:right w:w="90" w:type="dxa"/>
            </w:tcMar>
          </w:tcPr>
          <w:p w14:paraId="69D56C19" w14:textId="77777777" w:rsidR="00E90B3A" w:rsidRDefault="00000000">
            <w:r>
              <w:rPr>
                <w:sz w:val="17"/>
                <w:szCs w:val="17"/>
              </w:rPr>
              <w:t>Requirements Coverage</w:t>
            </w:r>
          </w:p>
        </w:tc>
        <w:tc>
          <w:tcPr>
            <w:tcW w:w="4640" w:type="dxa"/>
            <w:tcMar>
              <w:top w:w="70" w:type="dxa"/>
              <w:left w:w="90" w:type="dxa"/>
              <w:bottom w:w="70" w:type="dxa"/>
              <w:right w:w="90" w:type="dxa"/>
            </w:tcMar>
          </w:tcPr>
          <w:p w14:paraId="3BA0E46F" w14:textId="77777777" w:rsidR="00E90B3A" w:rsidRDefault="00000000">
            <w:r>
              <w:rPr>
                <w:sz w:val="17"/>
                <w:szCs w:val="17"/>
              </w:rPr>
              <w:t>75.0% (27 of 36)</w:t>
            </w:r>
          </w:p>
        </w:tc>
      </w:tr>
      <w:tr w:rsidR="00E90B3A" w14:paraId="13DB3CC1" w14:textId="77777777">
        <w:tblPrEx>
          <w:tblCellMar>
            <w:top w:w="0" w:type="dxa"/>
            <w:bottom w:w="0" w:type="dxa"/>
          </w:tblCellMar>
        </w:tblPrEx>
        <w:tc>
          <w:tcPr>
            <w:tcW w:w="4700" w:type="dxa"/>
            <w:tcMar>
              <w:top w:w="70" w:type="dxa"/>
              <w:left w:w="90" w:type="dxa"/>
              <w:bottom w:w="70" w:type="dxa"/>
              <w:right w:w="90" w:type="dxa"/>
            </w:tcMar>
          </w:tcPr>
          <w:p w14:paraId="0751958B" w14:textId="77777777" w:rsidR="00E90B3A" w:rsidRDefault="00000000">
            <w:r>
              <w:rPr>
                <w:sz w:val="17"/>
                <w:szCs w:val="17"/>
              </w:rPr>
              <w:t>Test Case Pass Rate</w:t>
            </w:r>
          </w:p>
        </w:tc>
        <w:tc>
          <w:tcPr>
            <w:tcW w:w="4640" w:type="dxa"/>
            <w:tcMar>
              <w:top w:w="70" w:type="dxa"/>
              <w:left w:w="90" w:type="dxa"/>
              <w:bottom w:w="70" w:type="dxa"/>
              <w:right w:w="90" w:type="dxa"/>
            </w:tcMar>
          </w:tcPr>
          <w:p w14:paraId="5FE29E2E" w14:textId="77777777" w:rsidR="00E90B3A" w:rsidRDefault="00000000">
            <w:r>
              <w:rPr>
                <w:sz w:val="17"/>
                <w:szCs w:val="17"/>
              </w:rPr>
              <w:t>82.0%</w:t>
            </w:r>
          </w:p>
        </w:tc>
      </w:tr>
      <w:tr w:rsidR="00E90B3A" w14:paraId="53834BD9" w14:textId="77777777">
        <w:tblPrEx>
          <w:tblCellMar>
            <w:top w:w="0" w:type="dxa"/>
            <w:bottom w:w="0" w:type="dxa"/>
          </w:tblCellMar>
        </w:tblPrEx>
        <w:tc>
          <w:tcPr>
            <w:tcW w:w="4700" w:type="dxa"/>
            <w:tcMar>
              <w:top w:w="70" w:type="dxa"/>
              <w:left w:w="90" w:type="dxa"/>
              <w:bottom w:w="70" w:type="dxa"/>
              <w:right w:w="90" w:type="dxa"/>
            </w:tcMar>
          </w:tcPr>
          <w:p w14:paraId="5CB67D1F" w14:textId="77777777" w:rsidR="00E90B3A" w:rsidRDefault="00000000">
            <w:r>
              <w:rPr>
                <w:sz w:val="17"/>
                <w:szCs w:val="17"/>
              </w:rPr>
              <w:t>Test Case Fail Rate</w:t>
            </w:r>
          </w:p>
        </w:tc>
        <w:tc>
          <w:tcPr>
            <w:tcW w:w="4640" w:type="dxa"/>
            <w:tcMar>
              <w:top w:w="70" w:type="dxa"/>
              <w:left w:w="90" w:type="dxa"/>
              <w:bottom w:w="70" w:type="dxa"/>
              <w:right w:w="90" w:type="dxa"/>
            </w:tcMar>
          </w:tcPr>
          <w:p w14:paraId="5FEAF343" w14:textId="77777777" w:rsidR="00E90B3A" w:rsidRDefault="00000000">
            <w:r>
              <w:rPr>
                <w:sz w:val="17"/>
                <w:szCs w:val="17"/>
              </w:rPr>
              <w:t>14.0%</w:t>
            </w:r>
          </w:p>
        </w:tc>
      </w:tr>
      <w:tr w:rsidR="00E90B3A" w14:paraId="4E5B9BFB" w14:textId="77777777">
        <w:tblPrEx>
          <w:tblCellMar>
            <w:top w:w="0" w:type="dxa"/>
            <w:bottom w:w="0" w:type="dxa"/>
          </w:tblCellMar>
        </w:tblPrEx>
        <w:tc>
          <w:tcPr>
            <w:tcW w:w="4700" w:type="dxa"/>
            <w:tcMar>
              <w:top w:w="70" w:type="dxa"/>
              <w:left w:w="90" w:type="dxa"/>
              <w:bottom w:w="70" w:type="dxa"/>
              <w:right w:w="90" w:type="dxa"/>
            </w:tcMar>
          </w:tcPr>
          <w:p w14:paraId="6F019CFF" w14:textId="77777777" w:rsidR="00E90B3A" w:rsidRDefault="00000000">
            <w:r>
              <w:rPr>
                <w:sz w:val="17"/>
                <w:szCs w:val="17"/>
              </w:rPr>
              <w:t>Blocked Rate</w:t>
            </w:r>
          </w:p>
        </w:tc>
        <w:tc>
          <w:tcPr>
            <w:tcW w:w="4640" w:type="dxa"/>
            <w:tcMar>
              <w:top w:w="70" w:type="dxa"/>
              <w:left w:w="90" w:type="dxa"/>
              <w:bottom w:w="70" w:type="dxa"/>
              <w:right w:w="90" w:type="dxa"/>
            </w:tcMar>
          </w:tcPr>
          <w:p w14:paraId="2BF0C252" w14:textId="77777777" w:rsidR="00E90B3A" w:rsidRDefault="00000000">
            <w:r>
              <w:rPr>
                <w:sz w:val="17"/>
                <w:szCs w:val="17"/>
              </w:rPr>
              <w:t>4.0%</w:t>
            </w:r>
          </w:p>
        </w:tc>
      </w:tr>
      <w:tr w:rsidR="00E90B3A" w14:paraId="20413349" w14:textId="77777777">
        <w:tblPrEx>
          <w:tblCellMar>
            <w:top w:w="0" w:type="dxa"/>
            <w:bottom w:w="0" w:type="dxa"/>
          </w:tblCellMar>
        </w:tblPrEx>
        <w:tc>
          <w:tcPr>
            <w:tcW w:w="4700" w:type="dxa"/>
            <w:tcMar>
              <w:top w:w="70" w:type="dxa"/>
              <w:left w:w="90" w:type="dxa"/>
              <w:bottom w:w="70" w:type="dxa"/>
              <w:right w:w="90" w:type="dxa"/>
            </w:tcMar>
          </w:tcPr>
          <w:p w14:paraId="2B7BBE02" w14:textId="77777777" w:rsidR="00E90B3A" w:rsidRDefault="00000000">
            <w:r>
              <w:rPr>
                <w:sz w:val="17"/>
                <w:szCs w:val="17"/>
              </w:rPr>
              <w:t>Defect Density</w:t>
            </w:r>
          </w:p>
        </w:tc>
        <w:tc>
          <w:tcPr>
            <w:tcW w:w="4640" w:type="dxa"/>
            <w:tcMar>
              <w:top w:w="70" w:type="dxa"/>
              <w:left w:w="90" w:type="dxa"/>
              <w:bottom w:w="70" w:type="dxa"/>
              <w:right w:w="90" w:type="dxa"/>
            </w:tcMar>
          </w:tcPr>
          <w:p w14:paraId="453513B0" w14:textId="77777777" w:rsidR="00E90B3A" w:rsidRDefault="00000000">
            <w:r>
              <w:rPr>
                <w:sz w:val="17"/>
                <w:szCs w:val="17"/>
              </w:rPr>
              <w:t>0.22 per test case</w:t>
            </w:r>
          </w:p>
        </w:tc>
      </w:tr>
      <w:tr w:rsidR="00E90B3A" w14:paraId="5FB4B992" w14:textId="77777777">
        <w:tblPrEx>
          <w:tblCellMar>
            <w:top w:w="0" w:type="dxa"/>
            <w:bottom w:w="0" w:type="dxa"/>
          </w:tblCellMar>
        </w:tblPrEx>
        <w:tc>
          <w:tcPr>
            <w:tcW w:w="4700" w:type="dxa"/>
            <w:tcMar>
              <w:top w:w="70" w:type="dxa"/>
              <w:left w:w="90" w:type="dxa"/>
              <w:bottom w:w="70" w:type="dxa"/>
              <w:right w:w="90" w:type="dxa"/>
            </w:tcMar>
          </w:tcPr>
          <w:p w14:paraId="00594407" w14:textId="77777777" w:rsidR="00E90B3A" w:rsidRDefault="00000000">
            <w:r>
              <w:rPr>
                <w:sz w:val="17"/>
                <w:szCs w:val="17"/>
              </w:rPr>
              <w:t>Critical Defects (Open / Total)</w:t>
            </w:r>
          </w:p>
        </w:tc>
        <w:tc>
          <w:tcPr>
            <w:tcW w:w="4640" w:type="dxa"/>
            <w:tcMar>
              <w:top w:w="70" w:type="dxa"/>
              <w:left w:w="90" w:type="dxa"/>
              <w:bottom w:w="70" w:type="dxa"/>
              <w:right w:w="90" w:type="dxa"/>
            </w:tcMar>
          </w:tcPr>
          <w:p w14:paraId="7B935F1C" w14:textId="77777777" w:rsidR="00E90B3A" w:rsidRDefault="00000000">
            <w:r>
              <w:rPr>
                <w:sz w:val="17"/>
                <w:szCs w:val="17"/>
              </w:rPr>
              <w:t>1 / 3</w:t>
            </w:r>
          </w:p>
        </w:tc>
      </w:tr>
    </w:tbl>
    <w:p w14:paraId="333FFCC4" w14:textId="77777777" w:rsidR="00E90B3A" w:rsidRDefault="00E90B3A">
      <w:pPr>
        <w:spacing w:after="100"/>
      </w:pPr>
    </w:p>
    <w:p w14:paraId="38D0C62B" w14:textId="77777777" w:rsidR="00E90B3A" w:rsidRDefault="00000000">
      <w:pPr>
        <w:pStyle w:val="Heading2"/>
        <w:spacing w:before="240" w:after="120"/>
      </w:pPr>
      <w:r>
        <w:t>11.4.5 GO / NO-GO Recommendation</w:t>
      </w:r>
    </w:p>
    <w:p w14:paraId="3C4F26BB" w14:textId="77777777" w:rsidR="00E90B3A" w:rsidRDefault="00000000">
      <w:pPr>
        <w:spacing w:after="160"/>
      </w:pPr>
      <w:r>
        <w:rPr>
          <w:b/>
          <w:bCs/>
          <w:sz w:val="26"/>
          <w:szCs w:val="26"/>
        </w:rPr>
        <w:t>Recommendation: NO-GO (Do Not Release) — Conditional on One Remaining Defect</w:t>
      </w:r>
    </w:p>
    <w:p w14:paraId="438D95DF" w14:textId="77777777" w:rsidR="00E90B3A" w:rsidRDefault="00000000">
      <w:pPr>
        <w:spacing w:after="120"/>
      </w:pPr>
      <w:r>
        <w:t>This is a narrower and more optimistic finding than it may first appear. It is not a statement that ParaBank is broadly unreliable — 82% of executed test cases passed, and every core customer workflow (registering, logging in, transferring money, paying a bill, and applying for a loan) works correctly on its main path. It is a statement that one specific, well-understood, and already-diagnosed defect stands between this application and a responsible release.</w:t>
      </w:r>
    </w:p>
    <w:p w14:paraId="29BB5FDC" w14:textId="77777777" w:rsidR="00E90B3A" w:rsidRDefault="00000000">
      <w:pPr>
        <w:pStyle w:val="Heading3"/>
        <w:spacing w:before="200" w:after="100"/>
      </w:pPr>
      <w:r>
        <w:t>Supporting Evidence</w:t>
      </w:r>
    </w:p>
    <w:p w14:paraId="14593837" w14:textId="77777777" w:rsidR="00E90B3A" w:rsidRDefault="00000000">
      <w:pPr>
        <w:pStyle w:val="ListParagraph"/>
        <w:numPr>
          <w:ilvl w:val="0"/>
          <w:numId w:val="1"/>
        </w:numPr>
        <w:spacing w:after="60"/>
      </w:pPr>
      <w:r>
        <w:t>3 Critical defects were found during testing, all involving direct financial risk or security exposure — exactly the categories of defect this engagement's risk-based approach was specifically designed to surface and prioritize since Phase 2.</w:t>
      </w:r>
    </w:p>
    <w:p w14:paraId="3DCE5FC9" w14:textId="77777777" w:rsidR="00E90B3A" w:rsidRDefault="00000000">
      <w:pPr>
        <w:pStyle w:val="ListParagraph"/>
        <w:numPr>
          <w:ilvl w:val="0"/>
          <w:numId w:val="1"/>
        </w:numPr>
        <w:spacing w:after="60"/>
      </w:pPr>
      <w:r>
        <w:t>2 of those 3 Critical defects (DEF-007: account over-draw via rapid transfers; DEF-008: session remains briefly accessible after logout) have already been fixed by the development team and independently retested and confirmed Closed, demonstrating the remaining issue is fixable on a similar timeline, not a fundamental architecture problem.</w:t>
      </w:r>
    </w:p>
    <w:p w14:paraId="313D78A3" w14:textId="77777777" w:rsidR="00E90B3A" w:rsidRDefault="00000000">
      <w:pPr>
        <w:pStyle w:val="ListParagraph"/>
        <w:numPr>
          <w:ilvl w:val="0"/>
          <w:numId w:val="1"/>
        </w:numPr>
        <w:spacing w:after="60"/>
      </w:pPr>
      <w:r>
        <w:t>1 Critical defect remains Open: DEF-005, where a loan can be approved with a down payment that exceeds the loan amount itself, a mathematically invalid outcome that bypasses the application's own lending safeguard. This directly violates the Phase 2 Exit Criteria requirement of zero open Critical defects before release.</w:t>
      </w:r>
    </w:p>
    <w:p w14:paraId="1E49DE28" w14:textId="77777777" w:rsidR="00E90B3A" w:rsidRDefault="00000000">
      <w:pPr>
        <w:pStyle w:val="ListParagraph"/>
        <w:numPr>
          <w:ilvl w:val="0"/>
          <w:numId w:val="1"/>
        </w:numPr>
        <w:spacing w:after="60"/>
      </w:pPr>
      <w:r>
        <w:t>6 additional Open defects (Major/Minor/Trivial) do not, on their own, justify withholding release; they represent real but proportionate quality debt that can reasonably be accepted as known issues with a committed remediation timeline.</w:t>
      </w:r>
    </w:p>
    <w:p w14:paraId="12DC6F50" w14:textId="77777777" w:rsidR="00E90B3A" w:rsidRDefault="00000000">
      <w:pPr>
        <w:pStyle w:val="Heading3"/>
        <w:spacing w:before="200" w:after="100"/>
      </w:pPr>
      <w:r>
        <w:t>Outstanding Risks Acknowledged</w:t>
      </w:r>
    </w:p>
    <w:p w14:paraId="2DA70E2E" w14:textId="77777777" w:rsidR="00E90B3A" w:rsidRDefault="00000000">
      <w:pPr>
        <w:spacing w:after="120"/>
      </w:pPr>
      <w:r>
        <w:lastRenderedPageBreak/>
        <w:t>Beyond DEF-005, this recommendation is made with the outstanding risks in the Quality Risk Assessment (11.4.3) explicitly acknowledged: two modules were never tested in this engagement, several Phase 1 requirement gaps remain unconfirmed by the client, and no performance testing evidence exists. None of these independently justify a NO-GO on their own, but they should inform what "release" means, specifically, this release covers only the six tested modules with the stated coverage level, not a guarantee of full-application quality.</w:t>
      </w:r>
    </w:p>
    <w:p w14:paraId="7CD7C470" w14:textId="77777777" w:rsidR="00E90B3A" w:rsidRDefault="00000000">
      <w:pPr>
        <w:pStyle w:val="Heading3"/>
        <w:spacing w:before="200" w:after="100"/>
      </w:pPr>
      <w:r>
        <w:t>Conditions for Release</w:t>
      </w:r>
    </w:p>
    <w:p w14:paraId="7C97F2B2" w14:textId="77777777" w:rsidR="00E90B3A" w:rsidRDefault="00000000">
      <w:pPr>
        <w:pStyle w:val="ListParagraph"/>
        <w:numPr>
          <w:ilvl w:val="0"/>
          <w:numId w:val="1"/>
        </w:numPr>
        <w:spacing w:after="60"/>
      </w:pPr>
      <w:r>
        <w:t>DEF-005 must be fixed by the development team, specifically preventing loan approval whenever the down payment exceeds the requested amount.</w:t>
      </w:r>
    </w:p>
    <w:p w14:paraId="6C469A29" w14:textId="77777777" w:rsidR="00E90B3A" w:rsidRDefault="00000000">
      <w:pPr>
        <w:pStyle w:val="ListParagraph"/>
        <w:numPr>
          <w:ilvl w:val="0"/>
          <w:numId w:val="1"/>
        </w:numPr>
        <w:spacing w:after="60"/>
      </w:pPr>
      <w:r>
        <w:t>The fix must be retested against the full Phase 3 loan boundary test set (TC-044 through TC-050), not just the single failing case, to confirm no adjacent boundary was affected by the fix.</w:t>
      </w:r>
    </w:p>
    <w:p w14:paraId="6B950EB4" w14:textId="77777777" w:rsidR="00E90B3A" w:rsidRDefault="00000000">
      <w:pPr>
        <w:pStyle w:val="ListParagraph"/>
        <w:numPr>
          <w:ilvl w:val="0"/>
          <w:numId w:val="1"/>
        </w:numPr>
        <w:spacing w:after="60"/>
      </w:pPr>
      <w:r>
        <w:t>Once DEF-005 is Closed and retested, this recommendation should be revisited and is expected to move to GO, since it is the only remaining blocker against the Phase 2 Exit Criteria.</w:t>
      </w:r>
    </w:p>
    <w:p w14:paraId="5061FA50" w14:textId="77777777" w:rsidR="00E90B3A" w:rsidRDefault="00000000">
      <w:pPr>
        <w:pStyle w:val="ListParagraph"/>
        <w:numPr>
          <w:ilvl w:val="0"/>
          <w:numId w:val="1"/>
        </w:numPr>
        <w:spacing w:after="60"/>
      </w:pPr>
      <w:r>
        <w:t>The client should formally acknowledge and accept the 6 remaining Open Major/Minor/Trivial defects as known issues with a committed post-release remediation timeline, rather than release proceeding with them silently undocumented.</w:t>
      </w:r>
    </w:p>
    <w:p w14:paraId="59CCB0B1" w14:textId="77777777" w:rsidR="00E90B3A" w:rsidRDefault="00E90B3A">
      <w:pPr>
        <w:spacing w:after="100"/>
      </w:pPr>
    </w:p>
    <w:p w14:paraId="1CA36A24" w14:textId="77777777" w:rsidR="00E90B3A" w:rsidRDefault="00000000">
      <w:pPr>
        <w:pStyle w:val="Heading2"/>
        <w:spacing w:before="240" w:after="120"/>
      </w:pPr>
      <w:r>
        <w:t>11.4.6 Test Closure Report</w:t>
      </w:r>
    </w:p>
    <w:p w14:paraId="442BB9E0" w14:textId="77777777" w:rsidR="00E90B3A" w:rsidRDefault="00000000">
      <w:pPr>
        <w:pStyle w:val="Heading3"/>
        <w:spacing w:before="200" w:after="100"/>
      </w:pPr>
      <w:r>
        <w:t>Testing Objectives and Whether They Were Achieved</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640"/>
      </w:tblGrid>
      <w:tr w:rsidR="00E90B3A" w14:paraId="296B2522" w14:textId="77777777">
        <w:tblPrEx>
          <w:tblCellMar>
            <w:top w:w="0" w:type="dxa"/>
            <w:bottom w:w="0" w:type="dxa"/>
          </w:tblCellMar>
        </w:tblPrEx>
        <w:trPr>
          <w:tblHeader/>
        </w:trPr>
        <w:tc>
          <w:tcPr>
            <w:tcW w:w="4700" w:type="dxa"/>
            <w:shd w:val="clear" w:color="auto" w:fill="1F4E5F"/>
            <w:tcMar>
              <w:top w:w="70" w:type="dxa"/>
              <w:left w:w="90" w:type="dxa"/>
              <w:bottom w:w="70" w:type="dxa"/>
              <w:right w:w="90" w:type="dxa"/>
            </w:tcMar>
          </w:tcPr>
          <w:p w14:paraId="5C869533" w14:textId="77777777" w:rsidR="00E90B3A" w:rsidRDefault="00000000">
            <w:r>
              <w:rPr>
                <w:b/>
                <w:bCs/>
                <w:color w:val="FFFFFF"/>
                <w:sz w:val="17"/>
                <w:szCs w:val="17"/>
              </w:rPr>
              <w:t>Objective</w:t>
            </w:r>
          </w:p>
        </w:tc>
        <w:tc>
          <w:tcPr>
            <w:tcW w:w="4640" w:type="dxa"/>
            <w:shd w:val="clear" w:color="auto" w:fill="1F4E5F"/>
            <w:tcMar>
              <w:top w:w="70" w:type="dxa"/>
              <w:left w:w="90" w:type="dxa"/>
              <w:bottom w:w="70" w:type="dxa"/>
              <w:right w:w="90" w:type="dxa"/>
            </w:tcMar>
          </w:tcPr>
          <w:p w14:paraId="3216A2AA" w14:textId="77777777" w:rsidR="00E90B3A" w:rsidRDefault="00000000">
            <w:r>
              <w:rPr>
                <w:b/>
                <w:bCs/>
                <w:color w:val="FFFFFF"/>
                <w:sz w:val="17"/>
                <w:szCs w:val="17"/>
              </w:rPr>
              <w:t>Outcome</w:t>
            </w:r>
          </w:p>
        </w:tc>
      </w:tr>
      <w:tr w:rsidR="00E90B3A" w14:paraId="2D5040AD" w14:textId="77777777">
        <w:tblPrEx>
          <w:tblCellMar>
            <w:top w:w="0" w:type="dxa"/>
            <w:bottom w:w="0" w:type="dxa"/>
          </w:tblCellMar>
        </w:tblPrEx>
        <w:tc>
          <w:tcPr>
            <w:tcW w:w="4700" w:type="dxa"/>
            <w:tcMar>
              <w:top w:w="70" w:type="dxa"/>
              <w:left w:w="90" w:type="dxa"/>
              <w:bottom w:w="70" w:type="dxa"/>
              <w:right w:w="90" w:type="dxa"/>
            </w:tcMar>
          </w:tcPr>
          <w:p w14:paraId="0E7C46DF" w14:textId="77777777" w:rsidR="00E90B3A" w:rsidRDefault="00000000">
            <w:r>
              <w:rPr>
                <w:sz w:val="17"/>
                <w:szCs w:val="17"/>
              </w:rPr>
              <w:t>Verify core banking workflows function correctly against Phase 1 requirements</w:t>
            </w:r>
          </w:p>
        </w:tc>
        <w:tc>
          <w:tcPr>
            <w:tcW w:w="4640" w:type="dxa"/>
            <w:tcMar>
              <w:top w:w="70" w:type="dxa"/>
              <w:left w:w="90" w:type="dxa"/>
              <w:bottom w:w="70" w:type="dxa"/>
              <w:right w:w="90" w:type="dxa"/>
            </w:tcMar>
          </w:tcPr>
          <w:p w14:paraId="50B7915B" w14:textId="77777777" w:rsidR="00E90B3A" w:rsidRDefault="00000000">
            <w:r>
              <w:rPr>
                <w:sz w:val="17"/>
                <w:szCs w:val="17"/>
              </w:rPr>
              <w:t>Achieved — all core happy-path workflows across 6 modules confirmed working via 82% pass rate</w:t>
            </w:r>
          </w:p>
        </w:tc>
      </w:tr>
      <w:tr w:rsidR="00E90B3A" w14:paraId="14AAFAD0" w14:textId="77777777">
        <w:tblPrEx>
          <w:tblCellMar>
            <w:top w:w="0" w:type="dxa"/>
            <w:bottom w:w="0" w:type="dxa"/>
          </w:tblCellMar>
        </w:tblPrEx>
        <w:tc>
          <w:tcPr>
            <w:tcW w:w="4700" w:type="dxa"/>
            <w:tcMar>
              <w:top w:w="70" w:type="dxa"/>
              <w:left w:w="90" w:type="dxa"/>
              <w:bottom w:w="70" w:type="dxa"/>
              <w:right w:w="90" w:type="dxa"/>
            </w:tcMar>
          </w:tcPr>
          <w:p w14:paraId="7ACE06E8" w14:textId="77777777" w:rsidR="00E90B3A" w:rsidRDefault="00000000">
            <w:r>
              <w:rPr>
                <w:sz w:val="17"/>
                <w:szCs w:val="17"/>
              </w:rPr>
              <w:t>Identify and document defects with enough detail to be actionable without follow-up</w:t>
            </w:r>
          </w:p>
        </w:tc>
        <w:tc>
          <w:tcPr>
            <w:tcW w:w="4640" w:type="dxa"/>
            <w:tcMar>
              <w:top w:w="70" w:type="dxa"/>
              <w:left w:w="90" w:type="dxa"/>
              <w:bottom w:w="70" w:type="dxa"/>
              <w:right w:w="90" w:type="dxa"/>
            </w:tcMar>
          </w:tcPr>
          <w:p w14:paraId="4CEBFF39" w14:textId="77777777" w:rsidR="00E90B3A" w:rsidRDefault="00000000">
            <w:r>
              <w:rPr>
                <w:sz w:val="17"/>
                <w:szCs w:val="17"/>
              </w:rPr>
              <w:t>Achieved — 11 defects raised, all with reproduction steps, expected/actual results, and evidence</w:t>
            </w:r>
          </w:p>
        </w:tc>
      </w:tr>
      <w:tr w:rsidR="00E90B3A" w14:paraId="73207EF0" w14:textId="77777777">
        <w:tblPrEx>
          <w:tblCellMar>
            <w:top w:w="0" w:type="dxa"/>
            <w:bottom w:w="0" w:type="dxa"/>
          </w:tblCellMar>
        </w:tblPrEx>
        <w:tc>
          <w:tcPr>
            <w:tcW w:w="4700" w:type="dxa"/>
            <w:tcMar>
              <w:top w:w="70" w:type="dxa"/>
              <w:left w:w="90" w:type="dxa"/>
              <w:bottom w:w="70" w:type="dxa"/>
              <w:right w:w="90" w:type="dxa"/>
            </w:tcMar>
          </w:tcPr>
          <w:p w14:paraId="7E64AD83" w14:textId="77777777" w:rsidR="00E90B3A" w:rsidRDefault="00000000">
            <w:r>
              <w:rPr>
                <w:sz w:val="17"/>
                <w:szCs w:val="17"/>
              </w:rPr>
              <w:t>Apply risk-based prioritization so high-impact features receive the deepest coverage</w:t>
            </w:r>
          </w:p>
        </w:tc>
        <w:tc>
          <w:tcPr>
            <w:tcW w:w="4640" w:type="dxa"/>
            <w:tcMar>
              <w:top w:w="70" w:type="dxa"/>
              <w:left w:w="90" w:type="dxa"/>
              <w:bottom w:w="70" w:type="dxa"/>
              <w:right w:w="90" w:type="dxa"/>
            </w:tcMar>
          </w:tcPr>
          <w:p w14:paraId="77618461" w14:textId="77777777" w:rsidR="00E90B3A" w:rsidRDefault="00000000">
            <w:r>
              <w:rPr>
                <w:sz w:val="17"/>
                <w:szCs w:val="17"/>
              </w:rPr>
              <w:t>Achieved — all 3 Critical defects fell within the modules Phase 2 had already ranked High-risk</w:t>
            </w:r>
          </w:p>
        </w:tc>
      </w:tr>
      <w:tr w:rsidR="00E90B3A" w14:paraId="5832849F" w14:textId="77777777">
        <w:tblPrEx>
          <w:tblCellMar>
            <w:top w:w="0" w:type="dxa"/>
            <w:bottom w:w="0" w:type="dxa"/>
          </w:tblCellMar>
        </w:tblPrEx>
        <w:tc>
          <w:tcPr>
            <w:tcW w:w="4700" w:type="dxa"/>
            <w:tcMar>
              <w:top w:w="70" w:type="dxa"/>
              <w:left w:w="90" w:type="dxa"/>
              <w:bottom w:w="70" w:type="dxa"/>
              <w:right w:w="90" w:type="dxa"/>
            </w:tcMar>
          </w:tcPr>
          <w:p w14:paraId="40B2A736" w14:textId="77777777" w:rsidR="00E90B3A" w:rsidRDefault="00000000">
            <w:r>
              <w:rPr>
                <w:sz w:val="17"/>
                <w:szCs w:val="17"/>
              </w:rPr>
              <w:t>Provide a clear, evidence-based go/no-go recommendation at engagement close</w:t>
            </w:r>
          </w:p>
        </w:tc>
        <w:tc>
          <w:tcPr>
            <w:tcW w:w="4640" w:type="dxa"/>
            <w:tcMar>
              <w:top w:w="70" w:type="dxa"/>
              <w:left w:w="90" w:type="dxa"/>
              <w:bottom w:w="70" w:type="dxa"/>
              <w:right w:w="90" w:type="dxa"/>
            </w:tcMar>
          </w:tcPr>
          <w:p w14:paraId="20C59D5C" w14:textId="77777777" w:rsidR="00E90B3A" w:rsidRDefault="00000000">
            <w:r>
              <w:rPr>
                <w:sz w:val="17"/>
                <w:szCs w:val="17"/>
              </w:rPr>
              <w:t>Achieved — NO-GO with a specific, single-defect condition for reconsideration (11.4.5)</w:t>
            </w:r>
          </w:p>
        </w:tc>
      </w:tr>
      <w:tr w:rsidR="00E90B3A" w14:paraId="744635A4" w14:textId="77777777">
        <w:tblPrEx>
          <w:tblCellMar>
            <w:top w:w="0" w:type="dxa"/>
            <w:bottom w:w="0" w:type="dxa"/>
          </w:tblCellMar>
        </w:tblPrEx>
        <w:tc>
          <w:tcPr>
            <w:tcW w:w="4700" w:type="dxa"/>
            <w:tcMar>
              <w:top w:w="70" w:type="dxa"/>
              <w:left w:w="90" w:type="dxa"/>
              <w:bottom w:w="70" w:type="dxa"/>
              <w:right w:w="90" w:type="dxa"/>
            </w:tcMar>
          </w:tcPr>
          <w:p w14:paraId="2516BC6D" w14:textId="77777777" w:rsidR="00E90B3A" w:rsidRDefault="00000000">
            <w:r>
              <w:rPr>
                <w:sz w:val="17"/>
                <w:szCs w:val="17"/>
              </w:rPr>
              <w:t>Surface requirement gaps early enough to avoid wasted test design effort</w:t>
            </w:r>
          </w:p>
        </w:tc>
        <w:tc>
          <w:tcPr>
            <w:tcW w:w="4640" w:type="dxa"/>
            <w:tcMar>
              <w:top w:w="70" w:type="dxa"/>
              <w:left w:w="90" w:type="dxa"/>
              <w:bottom w:w="70" w:type="dxa"/>
              <w:right w:w="90" w:type="dxa"/>
            </w:tcMar>
          </w:tcPr>
          <w:p w14:paraId="74477451" w14:textId="77777777" w:rsidR="00E90B3A" w:rsidRDefault="00000000">
            <w:r>
              <w:rPr>
                <w:sz w:val="17"/>
                <w:szCs w:val="17"/>
              </w:rPr>
              <w:t>Partially achieved — gaps were surfaced in Phase 1 and correctly predicted 4 of 11 defects, but were never formally confirmed by the client during the engagement window</w:t>
            </w:r>
          </w:p>
        </w:tc>
      </w:tr>
    </w:tbl>
    <w:p w14:paraId="4484DC46" w14:textId="77777777" w:rsidR="00E90B3A" w:rsidRDefault="00E90B3A">
      <w:pPr>
        <w:spacing w:after="100"/>
      </w:pPr>
    </w:p>
    <w:p w14:paraId="38034179" w14:textId="77777777" w:rsidR="00E90B3A" w:rsidRDefault="00000000">
      <w:pPr>
        <w:pStyle w:val="Heading3"/>
        <w:spacing w:before="200" w:after="100"/>
      </w:pPr>
      <w:r>
        <w:t>Deliverables Completed</w:t>
      </w:r>
    </w:p>
    <w:p w14:paraId="6FF382D7" w14:textId="77777777" w:rsidR="00E90B3A" w:rsidRDefault="00000000">
      <w:pPr>
        <w:spacing w:after="120"/>
      </w:pPr>
      <w:r>
        <w:t>All deliverables listed in the Phase 2 Deliverables Matrix (7.4.10) were completed across all six phases, plus every phase-specific additional practical activity and reflection. A complete list of testing activities completed appears in the Test Summary Report above (11.4.4).</w:t>
      </w:r>
    </w:p>
    <w:p w14:paraId="6BEF61AC" w14:textId="77777777" w:rsidR="00E90B3A" w:rsidRDefault="00000000">
      <w:pPr>
        <w:pStyle w:val="Heading3"/>
        <w:spacing w:before="200" w:after="100"/>
      </w:pPr>
      <w:r>
        <w:t>Outstanding Risks at Time of Closure</w:t>
      </w:r>
    </w:p>
    <w:p w14:paraId="5982EF28" w14:textId="77777777" w:rsidR="00E90B3A" w:rsidRDefault="00000000">
      <w:pPr>
        <w:spacing w:after="120"/>
      </w:pPr>
      <w:r>
        <w:t>Identical to the Quality Risk Assessment (11.4.3): one remaining Open Critical defect (DEF-005) blocking release, two untested modules, unconfirmed Phase 1 requirement gaps, no performance testing evidence, and six lower-priority Open defects. None of these are being closed out silently — each is carried forward explicitly into this closure report as the engagement's honest, final state.</w:t>
      </w:r>
    </w:p>
    <w:p w14:paraId="0F1DAC1F" w14:textId="77777777" w:rsidR="00E90B3A" w:rsidRDefault="00000000">
      <w:pPr>
        <w:pStyle w:val="Heading3"/>
        <w:spacing w:before="200" w:after="100"/>
      </w:pPr>
      <w:r>
        <w:t>Final Quality Assessment</w:t>
      </w:r>
    </w:p>
    <w:p w14:paraId="0060EBE5" w14:textId="77777777" w:rsidR="00E90B3A" w:rsidRDefault="00000000">
      <w:pPr>
        <w:spacing w:after="120"/>
      </w:pPr>
      <w:r>
        <w:t>ParaBank's core, tested functionality is fundamentally reliable, with defects concentrated predictably in the higher-complexity, higher-risk areas the engagement's risk-based approach was designed to find. The application is not release-ready today only because of one specific, already-diagnosed, and readily fixable defect, not because of broad or systemic quality failure. This is a materially different, and more actionable, conclusion than either an unqualified pass or a vague sense that "more testing is needed."</w:t>
      </w:r>
    </w:p>
    <w:p w14:paraId="2146605F" w14:textId="77777777" w:rsidR="00E90B3A" w:rsidRDefault="00000000">
      <w:pPr>
        <w:pStyle w:val="Heading3"/>
        <w:spacing w:before="200" w:after="100"/>
      </w:pPr>
      <w:r>
        <w:t>Lessons Learned</w:t>
      </w:r>
    </w:p>
    <w:p w14:paraId="23EBEE7D" w14:textId="77777777" w:rsidR="00E90B3A" w:rsidRDefault="00000000">
      <w:pPr>
        <w:pStyle w:val="ListParagraph"/>
        <w:numPr>
          <w:ilvl w:val="0"/>
          <w:numId w:val="1"/>
        </w:numPr>
        <w:spacing w:after="60"/>
      </w:pPr>
      <w:r>
        <w:lastRenderedPageBreak/>
        <w:t>Requirement gaps flagged early (Phase 1) turned out to be a genuinely predictive signal for real defects (Phase 5) — treating documentation gaps as low-priority paperwork rather than active risk indicators would have been a mistake.</w:t>
      </w:r>
    </w:p>
    <w:p w14:paraId="2D28E856" w14:textId="77777777" w:rsidR="00E90B3A" w:rsidRDefault="00000000">
      <w:pPr>
        <w:pStyle w:val="ListParagraph"/>
        <w:numPr>
          <w:ilvl w:val="0"/>
          <w:numId w:val="1"/>
        </w:numPr>
        <w:spacing w:after="60"/>
      </w:pPr>
      <w:r>
        <w:t>The single-tester, two-week resourcing model was workable for the six in-scope modules but required deliberate, disciplined trade-offs (Phase 2's Resource Constraint Challenge, Phase 3's Test Optimization Exercise) that would not have happened without planning for them explicitly in advance.</w:t>
      </w:r>
    </w:p>
    <w:p w14:paraId="1565E431" w14:textId="77777777" w:rsidR="00E90B3A" w:rsidRDefault="00000000">
      <w:pPr>
        <w:pStyle w:val="ListParagraph"/>
        <w:numPr>
          <w:ilvl w:val="0"/>
          <w:numId w:val="1"/>
        </w:numPr>
        <w:spacing w:after="60"/>
      </w:pPr>
      <w:r>
        <w:t>Exploratory testing found defect classes (session security, error-message consistency) that scripted testing was structurally unable to find, confirming that a testing strategy relying on scripted test cases alone would have shipped DEF-008 and DEF-010 undetected.</w:t>
      </w:r>
    </w:p>
    <w:p w14:paraId="00EFE114" w14:textId="77777777" w:rsidR="00E90B3A" w:rsidRDefault="00000000">
      <w:pPr>
        <w:pStyle w:val="ListParagraph"/>
        <w:numPr>
          <w:ilvl w:val="0"/>
          <w:numId w:val="1"/>
        </w:numPr>
        <w:spacing w:after="60"/>
      </w:pPr>
      <w:r>
        <w:t>Carrying a single identified gap (Open New Account test data, Phase 4) through to its real consequence (Blocked test cases, Phase 5) validated that treating gaps as tracked, living risks rather than one-time notes is what makes them actually useful.</w:t>
      </w:r>
    </w:p>
    <w:p w14:paraId="0D9A755D" w14:textId="77777777" w:rsidR="00E90B3A" w:rsidRDefault="00E90B3A">
      <w:pPr>
        <w:spacing w:after="100"/>
      </w:pPr>
    </w:p>
    <w:p w14:paraId="799533FE" w14:textId="77777777" w:rsidR="00E90B3A" w:rsidRDefault="00000000">
      <w:pPr>
        <w:pStyle w:val="Heading2"/>
        <w:spacing w:before="240" w:after="120"/>
      </w:pPr>
      <w:r>
        <w:t>11.4.7 Executive Presentation</w:t>
      </w:r>
    </w:p>
    <w:p w14:paraId="6BF8A05A" w14:textId="77777777" w:rsidR="00E90B3A" w:rsidRDefault="00000000">
      <w:pPr>
        <w:spacing w:after="120"/>
      </w:pPr>
      <w:r>
        <w:t>Delivered as a separate 10-slide file, ParaBank_Assignment6_Executive_Presentation.pptx, covering: engagement overview, scope and approach, quality metrics dashboard, defect summary and module distribution, remaining risks, the release recommendation, and next steps/conditions — matching the required content list and exceeding the 8-slide minimum.</w:t>
      </w:r>
    </w:p>
    <w:p w14:paraId="3C2C95B4" w14:textId="77777777" w:rsidR="00E90B3A" w:rsidRDefault="00E90B3A">
      <w:pPr>
        <w:spacing w:after="100"/>
      </w:pPr>
    </w:p>
    <w:p w14:paraId="157801B8" w14:textId="77777777" w:rsidR="00E90B3A" w:rsidRDefault="00000000">
      <w:pPr>
        <w:pStyle w:val="Heading2"/>
        <w:spacing w:before="240" w:after="120"/>
      </w:pPr>
      <w:r>
        <w:t>11.4.8 Personal Reflection</w:t>
      </w:r>
    </w:p>
    <w:p w14:paraId="37E6B5D4" w14:textId="77777777" w:rsidR="00E90B3A" w:rsidRDefault="00000000">
      <w:pPr>
        <w:spacing w:after="120"/>
      </w:pPr>
      <w:r>
        <w:t>Looking back across all six assignments, the clearest thing I learned is that quality assurance is not really about finding bugs, it's about building a defensible, evidence-based argument about risk that someone else can act on without having to trust me personally. In Phase 1, I thought the hard part would be learning ParaBank's functionality; it turned out the hard part was resisting the urge to fill documentation gaps with convenient assumptions instead of flagging them honestly as unknowns. That discipline, treating an assumption as a stated, testable risk rather than a quiet guess, is the single thread that ran through every phase after it: it shaped the Phase 2 risk-based test strategy, it directly produced several of the Phase 3 boundary test cases, and by Phase 5 it had genuinely predicted 4 of the 11 real defects found. Seeing that connection close the loop, from a documentation gap in Phase 1 to an actual, reproducible defect in Phase 5, taught me more about why requirements matter than any explanation could have.</w:t>
      </w:r>
    </w:p>
    <w:p w14:paraId="28DA5285" w14:textId="77777777" w:rsidR="00E90B3A" w:rsidRDefault="00000000">
      <w:pPr>
        <w:spacing w:after="120"/>
      </w:pPr>
      <w:r>
        <w:t>My understanding of quality assurance developed most in how I think about coverage. At the start of this engagement, I would have equated "more test cases" with "better testing." By Phase 3, building the Requirements Traceability Matrix and Coverage Analysis Report forced me to confront that 25% of requirements were not covered at all, not because I was careless, but because of genuine scope boundaries set for good reasons. Learning to report that honestly, rather than letting a large test case count imply completeness it didn't have, was a real shift in how I think about what "done" means in testing.</w:t>
      </w:r>
    </w:p>
    <w:p w14:paraId="5A9C7D40" w14:textId="77777777" w:rsidR="00E90B3A" w:rsidRDefault="00000000">
      <w:pPr>
        <w:spacing w:after="120"/>
      </w:pPr>
      <w:r>
        <w:t>The skill that improved the most was almost certainly defect analysis and advocacy, specifically, the difference between reporting that something is broken and building a case for why it must be fixed before release. Early in Phase 3's defect prediction exercise, my reasoning was fairly generic ("this could have a validation bug"). By Phase 5's Bug Advocacy Exercise, I was able to trace DEF-007 all the way from a specific reproduction sequence through root cause, severity justification, and a concrete business-impact statement a non-technical manager could act on. That progression from vague suspicion to structured, evidenced argument is, I think, the core professional skill this whole journey was designed to build.</w:t>
      </w:r>
    </w:p>
    <w:p w14:paraId="407DDE49" w14:textId="77777777" w:rsidR="00E90B3A" w:rsidRDefault="00000000">
      <w:pPr>
        <w:spacing w:after="120"/>
      </w:pPr>
      <w:r>
        <w:t>If I were to do this differently on a future project, I would push harder and earlier for client responses to the Phase 1 requirement gaps, rather than proceeding on documented assumptions for the full two weeks. Several of the defects found (DEF-005 in particular) sit exactly on a boundary that was flagged as ambiguous in Phase 1 and never resolved; a faster feedback loop with the client might have let me design more definitively conclusive test cases rather than the honest but weaker "observe and record" test cases that Phase 3's Test Case Review Workshop specifically flagged as lower quality.</w:t>
      </w:r>
    </w:p>
    <w:p w14:paraId="37C56EC9" w14:textId="77777777" w:rsidR="00E90B3A" w:rsidRDefault="00000000">
      <w:pPr>
        <w:spacing w:after="120"/>
      </w:pPr>
      <w:r>
        <w:t>Overall, this journey has prepared me for a professional QA role by giving me practice with the parts of the job that are hardest to learn from a textbook: making a real trade-off decision under a resource constraint and having to justify it, delivering a NO-GO recommendation that will disappoint someone and backing it with specific evidence rather than opinion, and communicating the same underlying facts differently to a CEO versus a developer. Those are the skills I expect to actually use on a real client engagement, far more than any single testing technique on its own.</w:t>
      </w:r>
    </w:p>
    <w:p w14:paraId="2C37EDD0" w14:textId="77777777" w:rsidR="00E90B3A" w:rsidRDefault="00E90B3A">
      <w:pPr>
        <w:spacing w:after="100"/>
      </w:pPr>
    </w:p>
    <w:p w14:paraId="78AB0167" w14:textId="77777777" w:rsidR="00E90B3A" w:rsidRDefault="00000000">
      <w:pPr>
        <w:pStyle w:val="Heading2"/>
        <w:spacing w:before="240" w:after="120"/>
      </w:pPr>
      <w:r>
        <w:t>11.4.9 Quality Maturity Assessment</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000"/>
        <w:gridCol w:w="6740"/>
      </w:tblGrid>
      <w:tr w:rsidR="00E90B3A" w14:paraId="0EC467E1" w14:textId="77777777">
        <w:tblPrEx>
          <w:tblCellMar>
            <w:top w:w="0" w:type="dxa"/>
            <w:bottom w:w="0" w:type="dxa"/>
          </w:tblCellMar>
        </w:tblPrEx>
        <w:trPr>
          <w:tblHeader/>
        </w:trPr>
        <w:tc>
          <w:tcPr>
            <w:tcW w:w="1600" w:type="dxa"/>
            <w:shd w:val="clear" w:color="auto" w:fill="1F4E5F"/>
            <w:tcMar>
              <w:top w:w="70" w:type="dxa"/>
              <w:left w:w="90" w:type="dxa"/>
              <w:bottom w:w="70" w:type="dxa"/>
              <w:right w:w="90" w:type="dxa"/>
            </w:tcMar>
          </w:tcPr>
          <w:p w14:paraId="5361B923" w14:textId="77777777" w:rsidR="00E90B3A" w:rsidRDefault="00000000">
            <w:r>
              <w:rPr>
                <w:b/>
                <w:bCs/>
                <w:color w:val="FFFFFF"/>
                <w:sz w:val="17"/>
                <w:szCs w:val="17"/>
              </w:rPr>
              <w:lastRenderedPageBreak/>
              <w:t>Quality Dimension</w:t>
            </w:r>
          </w:p>
        </w:tc>
        <w:tc>
          <w:tcPr>
            <w:tcW w:w="1000" w:type="dxa"/>
            <w:shd w:val="clear" w:color="auto" w:fill="1F4E5F"/>
            <w:tcMar>
              <w:top w:w="70" w:type="dxa"/>
              <w:left w:w="90" w:type="dxa"/>
              <w:bottom w:w="70" w:type="dxa"/>
              <w:right w:w="90" w:type="dxa"/>
            </w:tcMar>
          </w:tcPr>
          <w:p w14:paraId="67086322" w14:textId="77777777" w:rsidR="00E90B3A" w:rsidRDefault="00000000">
            <w:r>
              <w:rPr>
                <w:b/>
                <w:bCs/>
                <w:color w:val="FFFFFF"/>
                <w:sz w:val="17"/>
                <w:szCs w:val="17"/>
              </w:rPr>
              <w:t>Score (/10)</w:t>
            </w:r>
          </w:p>
        </w:tc>
        <w:tc>
          <w:tcPr>
            <w:tcW w:w="6740" w:type="dxa"/>
            <w:shd w:val="clear" w:color="auto" w:fill="1F4E5F"/>
            <w:tcMar>
              <w:top w:w="70" w:type="dxa"/>
              <w:left w:w="90" w:type="dxa"/>
              <w:bottom w:w="70" w:type="dxa"/>
              <w:right w:w="90" w:type="dxa"/>
            </w:tcMar>
          </w:tcPr>
          <w:p w14:paraId="47CFED03" w14:textId="77777777" w:rsidR="00E90B3A" w:rsidRDefault="00000000">
            <w:r>
              <w:rPr>
                <w:b/>
                <w:bCs/>
                <w:color w:val="FFFFFF"/>
                <w:sz w:val="17"/>
                <w:szCs w:val="17"/>
              </w:rPr>
              <w:t>Justification</w:t>
            </w:r>
          </w:p>
        </w:tc>
      </w:tr>
      <w:tr w:rsidR="00E90B3A" w14:paraId="64C42798" w14:textId="77777777">
        <w:tblPrEx>
          <w:tblCellMar>
            <w:top w:w="0" w:type="dxa"/>
            <w:bottom w:w="0" w:type="dxa"/>
          </w:tblCellMar>
        </w:tblPrEx>
        <w:tc>
          <w:tcPr>
            <w:tcW w:w="1600" w:type="dxa"/>
            <w:tcMar>
              <w:top w:w="70" w:type="dxa"/>
              <w:left w:w="90" w:type="dxa"/>
              <w:bottom w:w="70" w:type="dxa"/>
              <w:right w:w="90" w:type="dxa"/>
            </w:tcMar>
          </w:tcPr>
          <w:p w14:paraId="1FD1E9C6" w14:textId="77777777" w:rsidR="00E90B3A" w:rsidRDefault="00000000">
            <w:r>
              <w:rPr>
                <w:sz w:val="17"/>
                <w:szCs w:val="17"/>
              </w:rPr>
              <w:t>Functionality</w:t>
            </w:r>
          </w:p>
        </w:tc>
        <w:tc>
          <w:tcPr>
            <w:tcW w:w="1000" w:type="dxa"/>
            <w:tcMar>
              <w:top w:w="70" w:type="dxa"/>
              <w:left w:w="90" w:type="dxa"/>
              <w:bottom w:w="70" w:type="dxa"/>
              <w:right w:w="90" w:type="dxa"/>
            </w:tcMar>
          </w:tcPr>
          <w:p w14:paraId="53020BE6" w14:textId="77777777" w:rsidR="00E90B3A" w:rsidRDefault="00000000">
            <w:r>
              <w:rPr>
                <w:sz w:val="17"/>
                <w:szCs w:val="17"/>
              </w:rPr>
              <w:t>7</w:t>
            </w:r>
          </w:p>
        </w:tc>
        <w:tc>
          <w:tcPr>
            <w:tcW w:w="6740" w:type="dxa"/>
            <w:tcMar>
              <w:top w:w="70" w:type="dxa"/>
              <w:left w:w="90" w:type="dxa"/>
              <w:bottom w:w="70" w:type="dxa"/>
              <w:right w:w="90" w:type="dxa"/>
            </w:tcMar>
          </w:tcPr>
          <w:p w14:paraId="108F4E86" w14:textId="77777777" w:rsidR="00E90B3A" w:rsidRDefault="00000000">
            <w:r>
              <w:rPr>
                <w:sz w:val="17"/>
                <w:szCs w:val="17"/>
              </w:rPr>
              <w:t>Every core happy-path workflow across all 6 tested modules passed (82% overall pass rate), and the underlying transaction logic (transfers, payments, loan submission) is fundamentally sound. The score is not higher because 7 defects remain Open, including one Critical logic gap (DEF-005) that represents a genuine functional correctness failure, not just an edge case.</w:t>
            </w:r>
          </w:p>
        </w:tc>
      </w:tr>
      <w:tr w:rsidR="00E90B3A" w14:paraId="28BD05D9" w14:textId="77777777">
        <w:tblPrEx>
          <w:tblCellMar>
            <w:top w:w="0" w:type="dxa"/>
            <w:bottom w:w="0" w:type="dxa"/>
          </w:tblCellMar>
        </w:tblPrEx>
        <w:tc>
          <w:tcPr>
            <w:tcW w:w="1600" w:type="dxa"/>
            <w:tcMar>
              <w:top w:w="70" w:type="dxa"/>
              <w:left w:w="90" w:type="dxa"/>
              <w:bottom w:w="70" w:type="dxa"/>
              <w:right w:w="90" w:type="dxa"/>
            </w:tcMar>
          </w:tcPr>
          <w:p w14:paraId="542FE5E8" w14:textId="77777777" w:rsidR="00E90B3A" w:rsidRDefault="00000000">
            <w:r>
              <w:rPr>
                <w:sz w:val="17"/>
                <w:szCs w:val="17"/>
              </w:rPr>
              <w:t>Reliability</w:t>
            </w:r>
          </w:p>
        </w:tc>
        <w:tc>
          <w:tcPr>
            <w:tcW w:w="1000" w:type="dxa"/>
            <w:tcMar>
              <w:top w:w="70" w:type="dxa"/>
              <w:left w:w="90" w:type="dxa"/>
              <w:bottom w:w="70" w:type="dxa"/>
              <w:right w:w="90" w:type="dxa"/>
            </w:tcMar>
          </w:tcPr>
          <w:p w14:paraId="4C93E081" w14:textId="77777777" w:rsidR="00E90B3A" w:rsidRDefault="00000000">
            <w:r>
              <w:rPr>
                <w:sz w:val="17"/>
                <w:szCs w:val="17"/>
              </w:rPr>
              <w:t>6</w:t>
            </w:r>
          </w:p>
        </w:tc>
        <w:tc>
          <w:tcPr>
            <w:tcW w:w="6740" w:type="dxa"/>
            <w:tcMar>
              <w:top w:w="70" w:type="dxa"/>
              <w:left w:w="90" w:type="dxa"/>
              <w:bottom w:w="70" w:type="dxa"/>
              <w:right w:w="90" w:type="dxa"/>
            </w:tcMar>
          </w:tcPr>
          <w:p w14:paraId="60188BEE" w14:textId="77777777" w:rsidR="00E90B3A" w:rsidRDefault="00000000">
            <w:r>
              <w:rPr>
                <w:sz w:val="17"/>
                <w:szCs w:val="17"/>
              </w:rPr>
              <w:t>Core flows are consistent and repeatable, and NFR-REL-002 (balance consistency) tested cleanly — but DEF-007's race condition is a direct reliability failure under realistic concurrent usage, and this class of defect (timing-dependent, not always reproducible on the first attempt) is exactly what most undermines confidence in a system's reliability.</w:t>
            </w:r>
          </w:p>
        </w:tc>
      </w:tr>
      <w:tr w:rsidR="00E90B3A" w14:paraId="1877760E" w14:textId="77777777">
        <w:tblPrEx>
          <w:tblCellMar>
            <w:top w:w="0" w:type="dxa"/>
            <w:bottom w:w="0" w:type="dxa"/>
          </w:tblCellMar>
        </w:tblPrEx>
        <w:tc>
          <w:tcPr>
            <w:tcW w:w="1600" w:type="dxa"/>
            <w:tcMar>
              <w:top w:w="70" w:type="dxa"/>
              <w:left w:w="90" w:type="dxa"/>
              <w:bottom w:w="70" w:type="dxa"/>
              <w:right w:w="90" w:type="dxa"/>
            </w:tcMar>
          </w:tcPr>
          <w:p w14:paraId="76962E3F" w14:textId="77777777" w:rsidR="00E90B3A" w:rsidRDefault="00000000">
            <w:r>
              <w:rPr>
                <w:sz w:val="17"/>
                <w:szCs w:val="17"/>
              </w:rPr>
              <w:t>Security</w:t>
            </w:r>
          </w:p>
        </w:tc>
        <w:tc>
          <w:tcPr>
            <w:tcW w:w="1000" w:type="dxa"/>
            <w:tcMar>
              <w:top w:w="70" w:type="dxa"/>
              <w:left w:w="90" w:type="dxa"/>
              <w:bottom w:w="70" w:type="dxa"/>
              <w:right w:w="90" w:type="dxa"/>
            </w:tcMar>
          </w:tcPr>
          <w:p w14:paraId="7A790D9C" w14:textId="77777777" w:rsidR="00E90B3A" w:rsidRDefault="00000000">
            <w:r>
              <w:rPr>
                <w:sz w:val="17"/>
                <w:szCs w:val="17"/>
              </w:rPr>
              <w:t>5</w:t>
            </w:r>
          </w:p>
        </w:tc>
        <w:tc>
          <w:tcPr>
            <w:tcW w:w="6740" w:type="dxa"/>
            <w:tcMar>
              <w:top w:w="70" w:type="dxa"/>
              <w:left w:w="90" w:type="dxa"/>
              <w:bottom w:w="70" w:type="dxa"/>
              <w:right w:w="90" w:type="dxa"/>
            </w:tcMar>
          </w:tcPr>
          <w:p w14:paraId="110C1B14" w14:textId="77777777" w:rsidR="00E90B3A" w:rsidRDefault="00000000">
            <w:r>
              <w:rPr>
                <w:sz w:val="17"/>
                <w:szCs w:val="17"/>
              </w:rPr>
              <w:t>No successful authentication bypass or cross-customer data access was found (a genuine positive), but 2 of the 3 Critical/security-relevant defects found (DEF-008 session invalidation, DEF-010 username enumeration) are real weaknesses in a domain where banking applications should hold a higher bar than average software; the score reflects that meaningful gaps exist even though no catastrophic breach was found.</w:t>
            </w:r>
          </w:p>
        </w:tc>
      </w:tr>
      <w:tr w:rsidR="00E90B3A" w14:paraId="0BD56F41" w14:textId="77777777">
        <w:tblPrEx>
          <w:tblCellMar>
            <w:top w:w="0" w:type="dxa"/>
            <w:bottom w:w="0" w:type="dxa"/>
          </w:tblCellMar>
        </w:tblPrEx>
        <w:tc>
          <w:tcPr>
            <w:tcW w:w="1600" w:type="dxa"/>
            <w:tcMar>
              <w:top w:w="70" w:type="dxa"/>
              <w:left w:w="90" w:type="dxa"/>
              <w:bottom w:w="70" w:type="dxa"/>
              <w:right w:w="90" w:type="dxa"/>
            </w:tcMar>
          </w:tcPr>
          <w:p w14:paraId="39F8BBDF" w14:textId="77777777" w:rsidR="00E90B3A" w:rsidRDefault="00000000">
            <w:r>
              <w:rPr>
                <w:sz w:val="17"/>
                <w:szCs w:val="17"/>
              </w:rPr>
              <w:t>Usability</w:t>
            </w:r>
          </w:p>
        </w:tc>
        <w:tc>
          <w:tcPr>
            <w:tcW w:w="1000" w:type="dxa"/>
            <w:tcMar>
              <w:top w:w="70" w:type="dxa"/>
              <w:left w:w="90" w:type="dxa"/>
              <w:bottom w:w="70" w:type="dxa"/>
              <w:right w:w="90" w:type="dxa"/>
            </w:tcMar>
          </w:tcPr>
          <w:p w14:paraId="164C2A1D" w14:textId="77777777" w:rsidR="00E90B3A" w:rsidRDefault="00000000">
            <w:r>
              <w:rPr>
                <w:sz w:val="17"/>
                <w:szCs w:val="17"/>
              </w:rPr>
              <w:t>7</w:t>
            </w:r>
          </w:p>
        </w:tc>
        <w:tc>
          <w:tcPr>
            <w:tcW w:w="6740" w:type="dxa"/>
            <w:tcMar>
              <w:top w:w="70" w:type="dxa"/>
              <w:left w:w="90" w:type="dxa"/>
              <w:bottom w:w="70" w:type="dxa"/>
              <w:right w:w="90" w:type="dxa"/>
            </w:tcMar>
          </w:tcPr>
          <w:p w14:paraId="02F854AF" w14:textId="77777777" w:rsidR="00E90B3A" w:rsidRDefault="00000000">
            <w:r>
              <w:rPr>
                <w:sz w:val="17"/>
                <w:szCs w:val="17"/>
              </w:rPr>
              <w:t>Error messages were generally specific and mandatory fields clearly indicated (NFR-USA-001/002 held up in nearly every test case), and workflows are intuitive without a manual. The score is not higher due to a small number of missing guardrails (e.g., no warning on a same-account transfer, DEF-003) that leave the user without feedback exactly when they'd most want it.</w:t>
            </w:r>
          </w:p>
        </w:tc>
      </w:tr>
      <w:tr w:rsidR="00E90B3A" w14:paraId="1BC62FAD" w14:textId="77777777">
        <w:tblPrEx>
          <w:tblCellMar>
            <w:top w:w="0" w:type="dxa"/>
            <w:bottom w:w="0" w:type="dxa"/>
          </w:tblCellMar>
        </w:tblPrEx>
        <w:tc>
          <w:tcPr>
            <w:tcW w:w="1600" w:type="dxa"/>
            <w:tcMar>
              <w:top w:w="70" w:type="dxa"/>
              <w:left w:w="90" w:type="dxa"/>
              <w:bottom w:w="70" w:type="dxa"/>
              <w:right w:w="90" w:type="dxa"/>
            </w:tcMar>
          </w:tcPr>
          <w:p w14:paraId="1619D481" w14:textId="77777777" w:rsidR="00E90B3A" w:rsidRDefault="00000000">
            <w:r>
              <w:rPr>
                <w:sz w:val="17"/>
                <w:szCs w:val="17"/>
              </w:rPr>
              <w:t>Maintainability</w:t>
            </w:r>
          </w:p>
        </w:tc>
        <w:tc>
          <w:tcPr>
            <w:tcW w:w="1000" w:type="dxa"/>
            <w:tcMar>
              <w:top w:w="70" w:type="dxa"/>
              <w:left w:w="90" w:type="dxa"/>
              <w:bottom w:w="70" w:type="dxa"/>
              <w:right w:w="90" w:type="dxa"/>
            </w:tcMar>
          </w:tcPr>
          <w:p w14:paraId="77FA12B2" w14:textId="77777777" w:rsidR="00E90B3A" w:rsidRDefault="00000000">
            <w:r>
              <w:rPr>
                <w:sz w:val="17"/>
                <w:szCs w:val="17"/>
              </w:rPr>
              <w:t>6</w:t>
            </w:r>
          </w:p>
        </w:tc>
        <w:tc>
          <w:tcPr>
            <w:tcW w:w="6740" w:type="dxa"/>
            <w:tcMar>
              <w:top w:w="70" w:type="dxa"/>
              <w:left w:w="90" w:type="dxa"/>
              <w:bottom w:w="70" w:type="dxa"/>
              <w:right w:w="90" w:type="dxa"/>
            </w:tcMar>
          </w:tcPr>
          <w:p w14:paraId="4FAC304F" w14:textId="77777777" w:rsidR="00E90B3A" w:rsidRDefault="00000000">
            <w:r>
              <w:rPr>
                <w:sz w:val="17"/>
                <w:szCs w:val="17"/>
              </w:rPr>
              <w:t>This score is inferred rather than directly tested, since maintainability is a code-level property this engagement had no access to assess directly. It is based on indirect evidence: several defects (DEF-001, DEF-003, DEF-004) share a common pattern of a business rule simply never being implemented rather than implemented incorrectly, which suggests validation logic may not be centralized or systematically applied — a maintainability concern for how consistently future changes would be validated.</w:t>
            </w:r>
          </w:p>
        </w:tc>
      </w:tr>
    </w:tbl>
    <w:p w14:paraId="1D1FC5AF" w14:textId="77777777" w:rsidR="00E90B3A" w:rsidRDefault="00E90B3A">
      <w:pPr>
        <w:spacing w:after="100"/>
      </w:pPr>
    </w:p>
    <w:p w14:paraId="66EF8923" w14:textId="77777777" w:rsidR="00E90B3A" w:rsidRDefault="00000000">
      <w:pPr>
        <w:pStyle w:val="Heading2"/>
        <w:spacing w:before="240" w:after="120"/>
      </w:pPr>
      <w:r>
        <w:t>11.4.10 Defect Trend Analysis</w:t>
      </w:r>
    </w:p>
    <w:p w14:paraId="0E6CF742" w14:textId="77777777" w:rsidR="00E90B3A" w:rsidRDefault="00000000">
      <w:pPr>
        <w:pStyle w:val="Heading3"/>
        <w:spacing w:before="200" w:after="100"/>
      </w:pPr>
      <w:r>
        <w:t>Patterns Identified</w:t>
      </w:r>
    </w:p>
    <w:p w14:paraId="055655E7" w14:textId="77777777" w:rsidR="00E90B3A" w:rsidRDefault="00000000">
      <w:pPr>
        <w:pStyle w:val="ListParagraph"/>
        <w:numPr>
          <w:ilvl w:val="0"/>
          <w:numId w:val="1"/>
        </w:numPr>
        <w:spacing w:after="60"/>
      </w:pPr>
      <w:r>
        <w:t>Clustering by risk category, not by module complexity: defect concentration tracked numeric/timing complexity (Transfer Funds) far more than form complexity (Registration, despite having the most input fields, sits at average density).</w:t>
      </w:r>
    </w:p>
    <w:p w14:paraId="5C2A37DD" w14:textId="77777777" w:rsidR="00E90B3A" w:rsidRDefault="00000000">
      <w:pPr>
        <w:pStyle w:val="ListParagraph"/>
        <w:numPr>
          <w:ilvl w:val="0"/>
          <w:numId w:val="1"/>
        </w:numPr>
        <w:spacing w:after="60"/>
      </w:pPr>
      <w:r>
        <w:t>Clustering by test type: every defect found through exploratory testing (DEF-008, DEF-009, DEF-010, DEF-011) involved a dimension scripted testing structurally does not check — session state, field-level format consistency, and comparative error-message analysis — while scripted testing reliably caught boundary and business-logic defects (DEF-001, DEF-002, DEF-005, DEF-007) that exploratory testing's Mission 3 session then failed to add anything new to.</w:t>
      </w:r>
    </w:p>
    <w:p w14:paraId="5AADF4EC" w14:textId="77777777" w:rsidR="00E90B3A" w:rsidRDefault="00000000">
      <w:pPr>
        <w:pStyle w:val="ListParagraph"/>
        <w:numPr>
          <w:ilvl w:val="0"/>
          <w:numId w:val="1"/>
        </w:numPr>
        <w:spacing w:after="60"/>
      </w:pPr>
      <w:r>
        <w:t>Clustering by severity and category: all 3 Critical defects fall into exactly two categories, direct financial risk and session security, while every Minor/Trivial defect is a missing warning message or display issue with no functional consequence.</w:t>
      </w:r>
    </w:p>
    <w:p w14:paraId="5E99E131" w14:textId="77777777" w:rsidR="00E90B3A" w:rsidRDefault="00000000">
      <w:pPr>
        <w:pStyle w:val="Heading3"/>
        <w:spacing w:before="200" w:after="100"/>
      </w:pPr>
      <w:r>
        <w:t>Root Causes Behind Recurring Defect Types</w:t>
      </w:r>
    </w:p>
    <w:p w14:paraId="5060FE60" w14:textId="77777777" w:rsidR="00E90B3A" w:rsidRDefault="00000000">
      <w:pPr>
        <w:pStyle w:val="ListParagraph"/>
        <w:numPr>
          <w:ilvl w:val="0"/>
          <w:numId w:val="1"/>
        </w:numPr>
        <w:spacing w:after="60"/>
      </w:pPr>
      <w:r>
        <w:t>Requirement Issues (DEF-001, DEF-003): both trace to a business rule that was never documented in Phase 1 and consequently never implemented — not a coding mistake, but an absence of a decision to code against.</w:t>
      </w:r>
    </w:p>
    <w:p w14:paraId="340B8018" w14:textId="77777777" w:rsidR="00E90B3A" w:rsidRDefault="00000000">
      <w:pPr>
        <w:pStyle w:val="ListParagraph"/>
        <w:numPr>
          <w:ilvl w:val="0"/>
          <w:numId w:val="1"/>
        </w:numPr>
        <w:spacing w:after="60"/>
      </w:pPr>
      <w:r>
        <w:t>Design Issues (DEF-004, DEF-009, DEF-010): all three involve a validation or error-handling decision that was never made at design time, resulting in inconsistent behaviour (validated in some places, not others) rather than a single identifiable bug.</w:t>
      </w:r>
    </w:p>
    <w:p w14:paraId="383DDCAE" w14:textId="77777777" w:rsidR="00E90B3A" w:rsidRDefault="00000000">
      <w:pPr>
        <w:pStyle w:val="ListParagraph"/>
        <w:numPr>
          <w:ilvl w:val="0"/>
          <w:numId w:val="1"/>
        </w:numPr>
        <w:spacing w:after="60"/>
      </w:pPr>
      <w:r>
        <w:t>Coding Issues (DEF-002, DEF-005, DEF-006, DEF-007, DEF-008, DEF-011): the majority of defects, spanning comparison-operator errors, race conditions, and missing input-length handling — recurring instances of the same underlying pattern, an edge case the implementation did not explicitly account for.</w:t>
      </w:r>
    </w:p>
    <w:p w14:paraId="3847CF63" w14:textId="77777777" w:rsidR="00E90B3A" w:rsidRDefault="00000000">
      <w:pPr>
        <w:pStyle w:val="Heading3"/>
        <w:spacing w:before="200" w:after="100"/>
      </w:pPr>
      <w:r>
        <w:t>Common Failure Modes Observed Across the Application</w:t>
      </w:r>
    </w:p>
    <w:p w14:paraId="35EBCA14" w14:textId="77777777" w:rsidR="00E90B3A" w:rsidRDefault="00000000">
      <w:pPr>
        <w:pStyle w:val="ListParagraph"/>
        <w:numPr>
          <w:ilvl w:val="0"/>
          <w:numId w:val="1"/>
        </w:numPr>
        <w:spacing w:after="60"/>
      </w:pPr>
      <w:r>
        <w:t>"Permissive by default" failure mode: in the absence of an explicit rule (same-account transfer, minimum deposit, payee validation), the system tends to allow the action rather than block it — a pattern worth flagging to the development team as a design principle to reconsider (fail closed, not open, on undocumented cases).</w:t>
      </w:r>
    </w:p>
    <w:p w14:paraId="31B43530" w14:textId="77777777" w:rsidR="00E90B3A" w:rsidRDefault="00000000">
      <w:pPr>
        <w:pStyle w:val="ListParagraph"/>
        <w:numPr>
          <w:ilvl w:val="0"/>
          <w:numId w:val="1"/>
        </w:numPr>
        <w:spacing w:after="60"/>
      </w:pPr>
      <w:r>
        <w:t>"Boundary blind spot" failure mode: exact-value boundaries (DEF-002's exact-balance transfer, DEF-005's down-payment-equals-amount edge) are where business logic most often breaks, consistent with why Phase 3's Boundary Value Analysis was weighted so heavily in test design.</w:t>
      </w:r>
    </w:p>
    <w:p w14:paraId="696936B2" w14:textId="77777777" w:rsidR="00E90B3A" w:rsidRDefault="00000000">
      <w:pPr>
        <w:pStyle w:val="ListParagraph"/>
        <w:numPr>
          <w:ilvl w:val="0"/>
          <w:numId w:val="1"/>
        </w:numPr>
        <w:spacing w:after="60"/>
      </w:pPr>
      <w:r>
        <w:lastRenderedPageBreak/>
        <w:t>"Validated in isolation" failure mode: fields and modules that were validated well in one context (e.g., transfer amount validation) do not guarantee the same rigor was applied elsewhere (e.g., SSN format), suggesting validation was implemented piecemeal rather than through a single consistent framework.</w:t>
      </w:r>
    </w:p>
    <w:p w14:paraId="046436B7" w14:textId="77777777" w:rsidR="00E90B3A" w:rsidRDefault="00E90B3A">
      <w:pPr>
        <w:spacing w:after="100"/>
      </w:pPr>
    </w:p>
    <w:p w14:paraId="1393BB1D" w14:textId="77777777" w:rsidR="00E90B3A" w:rsidRDefault="00000000">
      <w:pPr>
        <w:pStyle w:val="Heading2"/>
        <w:spacing w:before="240" w:after="120"/>
      </w:pPr>
      <w:r>
        <w:t>11.4.11 Production Impact Assessment</w:t>
      </w:r>
    </w:p>
    <w:p w14:paraId="257DF698" w14:textId="77777777" w:rsidR="00E90B3A" w:rsidRDefault="00000000">
      <w:pPr>
        <w:spacing w:after="120"/>
      </w:pPr>
      <w:r>
        <w:t>If ParaBank were released today, in its current state, with DEF-005 still Open:</w:t>
      </w:r>
    </w:p>
    <w:p w14:paraId="6C69DB64" w14:textId="77777777" w:rsidR="00E90B3A" w:rsidRDefault="00000000">
      <w:pPr>
        <w:pStyle w:val="Heading3"/>
        <w:spacing w:before="200" w:after="100"/>
      </w:pPr>
      <w:r>
        <w:t>Financial Impact</w:t>
      </w:r>
    </w:p>
    <w:p w14:paraId="341271AE" w14:textId="77777777" w:rsidR="00E90B3A" w:rsidRDefault="00000000">
      <w:pPr>
        <w:spacing w:after="120"/>
      </w:pPr>
      <w:r>
        <w:t>The most direct exposure is DEF-005: every loan approved under the invalid down-payment-exceeds-amount condition represents a real lending decision the bank did not intend to make, with a cost proportional to loan volume and average loan size, not a one-time cost. Although DEF-007 (the transfer race condition) is now Closed and retested, had it shipped it would have created a slower-burning cost through manual reconciliation labor for every over-drawn account discovered after the fact, which is a useful illustration of why Critical defects were prioritized for pre-release fixing over Major/Minor ones.</w:t>
      </w:r>
    </w:p>
    <w:p w14:paraId="429FFED8" w14:textId="77777777" w:rsidR="00E90B3A" w:rsidRDefault="00000000">
      <w:pPr>
        <w:pStyle w:val="Heading3"/>
        <w:spacing w:before="200" w:after="100"/>
      </w:pPr>
      <w:r>
        <w:t>Customer Impact</w:t>
      </w:r>
    </w:p>
    <w:p w14:paraId="0F008E1F" w14:textId="77777777" w:rsidR="00E90B3A" w:rsidRDefault="00000000">
      <w:pPr>
        <w:spacing w:after="120"/>
      </w:pPr>
      <w:r>
        <w:t>Most customers would experience an entirely normal, working banking application, since 82% of tested functionality passed and every core happy path works correctly. The customers who would be affected are a smaller but real minority: anyone who happens to submit a loan request with an unusual down-payment ratio, anyone who double-clicks a transfer button on a slow connection (mitigated now that DEF-007 is fixed), and anyone relying on the browser back button after logout on a shared device (mitigated now that DEF-008 is fixed). The remaining Open Minor/Trivial defects would be noticed by very few customers and would not materially affect trust in the platform.</w:t>
      </w:r>
    </w:p>
    <w:p w14:paraId="2358F316" w14:textId="77777777" w:rsidR="00E90B3A" w:rsidRDefault="00000000">
      <w:pPr>
        <w:pStyle w:val="Heading3"/>
        <w:spacing w:before="200" w:after="100"/>
      </w:pPr>
      <w:r>
        <w:t>Reputation Impact</w:t>
      </w:r>
    </w:p>
    <w:p w14:paraId="267252D5" w14:textId="77777777" w:rsidR="00E90B3A" w:rsidRDefault="00000000">
      <w:pPr>
        <w:spacing w:after="120"/>
      </w:pPr>
      <w:r>
        <w:t>The primary reputational risk is not the volume of defects but their nature: an approved loan that should have been rejected, or an account that could be over-drawn through ordinary use, are exactly the kind of stories that erode trust in a bank's competence if they became public or were discovered by a customer rather than by internal testing. The fact that this engagement found and is actively resolving these issues before release is itself a positive reputational signal internally, but only if DEF-005 is actually fixed before launch; releasing with a known, unresolved instance of automated lending logic being bypassable would be difficult to justify after the fact if it surfaced publicly.</w:t>
      </w:r>
    </w:p>
    <w:p w14:paraId="0AE085EE" w14:textId="77777777" w:rsidR="00E90B3A" w:rsidRDefault="00E90B3A">
      <w:pPr>
        <w:spacing w:after="100"/>
      </w:pPr>
    </w:p>
    <w:p w14:paraId="627EB90D" w14:textId="77777777" w:rsidR="00E90B3A" w:rsidRDefault="00000000">
      <w:pPr>
        <w:pStyle w:val="Heading2"/>
        <w:spacing w:before="240" w:after="120"/>
      </w:pPr>
      <w:r>
        <w:t>11.4.12 Executive Communication Exercise</w:t>
      </w:r>
    </w:p>
    <w:p w14:paraId="328E0D67" w14:textId="77777777" w:rsidR="00E90B3A" w:rsidRDefault="00000000">
      <w:pPr>
        <w:pStyle w:val="Heading3"/>
        <w:spacing w:before="200" w:after="100"/>
      </w:pPr>
      <w:r>
        <w:t>CEO / Executive Report</w:t>
      </w:r>
    </w:p>
    <w:p w14:paraId="0EA4EE8E" w14:textId="77777777" w:rsidR="00E90B3A" w:rsidRDefault="00000000">
      <w:pPr>
        <w:spacing w:after="120"/>
      </w:pPr>
      <w:r>
        <w:t>Testing is complete. The good news: ParaBank's core banking functions, signing up, logging in, moving money, paying bills, and applying for loans, all work correctly, with 82% of our tests passing on the first attempt. The recommendation, however, is not to release yet. We found one remaining issue where the system can approve a loan on terms that don't make financial sense, essentially a safeguard that isn't working as intended. We've already fixed two other serious issues (an account balance problem and a login security gap), so we know this last one is fixable quickly too. Once it's fixed and we've confirmed it, we expect to be ready to recommend release. Bottom line: we're one specific, well-understood fix away from go-live, not weeks away.</w:t>
      </w:r>
    </w:p>
    <w:p w14:paraId="686071A9" w14:textId="77777777" w:rsidR="00E90B3A" w:rsidRDefault="00000000">
      <w:pPr>
        <w:pStyle w:val="Heading3"/>
        <w:spacing w:before="200" w:after="100"/>
      </w:pPr>
      <w:r>
        <w:t>Project Manager Report</w:t>
      </w:r>
    </w:p>
    <w:p w14:paraId="56F54373" w14:textId="77777777" w:rsidR="00E90B3A" w:rsidRDefault="00000000">
      <w:pPr>
        <w:spacing w:after="120"/>
      </w:pPr>
      <w:r>
        <w:t>Status: NO-GO pending one Critical defect (DEF-005, Request Loan module). 2 of 3 Critical defects are Closed and retested (DEF-007, DEF-008); DEF-005 needs a dev fix and a full retest of the Phase 3 loan boundary suite (TC-044–TC-050, ~7 test cases, estimated 2-3 hours including retest) before this can move to GO. 6 additional Open defects (5 Major/Minor, 1 Trivial) do not block release but need a committed remediation timeline documented and shared with the client for sign-off. Two modules (Find Transactions, Update Contact Info) remain fully untested and out of this engagement's scope — recommend scoping a follow-up mini-engagement if these are needed before a future release. No blockers on timeline beyond the DEF-005 fix-and-retest cycle.</w:t>
      </w:r>
    </w:p>
    <w:p w14:paraId="1A297190" w14:textId="77777777" w:rsidR="00E90B3A" w:rsidRDefault="00000000">
      <w:pPr>
        <w:pStyle w:val="Heading3"/>
        <w:spacing w:before="200" w:after="100"/>
      </w:pPr>
      <w:r>
        <w:t>Development Team Report</w:t>
      </w:r>
    </w:p>
    <w:p w14:paraId="42F67289" w14:textId="77777777" w:rsidR="00E90B3A" w:rsidRDefault="00000000">
      <w:pPr>
        <w:spacing w:after="120"/>
      </w:pPr>
      <w:r>
        <w:t xml:space="preserve">Priority fix: DEF-005 — loan approval logic does not validate that down payment ≤ requested amount before evaluating for approval; add this check ahead of the existing decision logic and reject with a validation error if violated. Root cause is most likely a missing comparison in the approval branch rather than a design gap, since the decision engine otherwise functions correctly. Retest scope after fix: full TC-044–TC-050 suite, not just the originally failing case, since adjacent boundary values </w:t>
      </w:r>
      <w:r>
        <w:lastRenderedPageBreak/>
        <w:t>(TC-049, down payment = 100% of amount) must continue to approve correctly after the fix. Secondary backlog (non-blocking): DEF-001 (Open New Account — add minimum funding balance check), DEF-004 (Bill Pay — validate payee account number exists before saving), DEF-006 (Registration — make username uniqueness check case-insensitive), DEF-009 (Registration — add SSN numeric-format validation), DEF-010 (Login — standardize error message/timing for invalid username vs. invalid password), DEF-011 (Bill Pay — enforce a max length on payee name field). Full reproduction steps, expected/actual results, and evidence for every defect are in the Phase 5 Defect Report (10.4.3).</w:t>
      </w:r>
    </w:p>
    <w:p w14:paraId="0394C7B7" w14:textId="77777777" w:rsidR="00E90B3A" w:rsidRDefault="00E90B3A">
      <w:pPr>
        <w:spacing w:after="100"/>
      </w:pPr>
    </w:p>
    <w:p w14:paraId="7DBE7811" w14:textId="77777777" w:rsidR="00E90B3A" w:rsidRDefault="00000000">
      <w:pPr>
        <w:pStyle w:val="Heading2"/>
        <w:spacing w:before="240" w:after="120"/>
      </w:pPr>
      <w:r>
        <w:t>11.4.13 STLC Retrospective</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600"/>
        <w:gridCol w:w="2600"/>
        <w:gridCol w:w="2740"/>
      </w:tblGrid>
      <w:tr w:rsidR="00E90B3A" w14:paraId="05EAF2BB" w14:textId="77777777">
        <w:tblPrEx>
          <w:tblCellMar>
            <w:top w:w="0" w:type="dxa"/>
            <w:bottom w:w="0" w:type="dxa"/>
          </w:tblCellMar>
        </w:tblPrEx>
        <w:trPr>
          <w:tblHeader/>
        </w:trPr>
        <w:tc>
          <w:tcPr>
            <w:tcW w:w="1700" w:type="dxa"/>
            <w:shd w:val="clear" w:color="auto" w:fill="1F4E5F"/>
            <w:tcMar>
              <w:top w:w="70" w:type="dxa"/>
              <w:left w:w="90" w:type="dxa"/>
              <w:bottom w:w="70" w:type="dxa"/>
              <w:right w:w="90" w:type="dxa"/>
            </w:tcMar>
          </w:tcPr>
          <w:p w14:paraId="0F11140C" w14:textId="77777777" w:rsidR="00E90B3A" w:rsidRDefault="00000000">
            <w:r>
              <w:rPr>
                <w:b/>
                <w:bCs/>
                <w:color w:val="FFFFFF"/>
                <w:sz w:val="17"/>
                <w:szCs w:val="17"/>
              </w:rPr>
              <w:t>Phase</w:t>
            </w:r>
          </w:p>
        </w:tc>
        <w:tc>
          <w:tcPr>
            <w:tcW w:w="2600" w:type="dxa"/>
            <w:shd w:val="clear" w:color="auto" w:fill="1F4E5F"/>
            <w:tcMar>
              <w:top w:w="70" w:type="dxa"/>
              <w:left w:w="90" w:type="dxa"/>
              <w:bottom w:w="70" w:type="dxa"/>
              <w:right w:w="90" w:type="dxa"/>
            </w:tcMar>
          </w:tcPr>
          <w:p w14:paraId="1D3ACB2E" w14:textId="77777777" w:rsidR="00E90B3A" w:rsidRDefault="00000000">
            <w:r>
              <w:rPr>
                <w:b/>
                <w:bCs/>
                <w:color w:val="FFFFFF"/>
                <w:sz w:val="17"/>
                <w:szCs w:val="17"/>
              </w:rPr>
              <w:t>What Went Well?</w:t>
            </w:r>
          </w:p>
        </w:tc>
        <w:tc>
          <w:tcPr>
            <w:tcW w:w="2600" w:type="dxa"/>
            <w:shd w:val="clear" w:color="auto" w:fill="1F4E5F"/>
            <w:tcMar>
              <w:top w:w="70" w:type="dxa"/>
              <w:left w:w="90" w:type="dxa"/>
              <w:bottom w:w="70" w:type="dxa"/>
              <w:right w:w="90" w:type="dxa"/>
            </w:tcMar>
          </w:tcPr>
          <w:p w14:paraId="73916DBD" w14:textId="77777777" w:rsidR="00E90B3A" w:rsidRDefault="00000000">
            <w:r>
              <w:rPr>
                <w:b/>
                <w:bCs/>
                <w:color w:val="FFFFFF"/>
                <w:sz w:val="17"/>
                <w:szCs w:val="17"/>
              </w:rPr>
              <w:t>What Did Not Go Well?</w:t>
            </w:r>
          </w:p>
        </w:tc>
        <w:tc>
          <w:tcPr>
            <w:tcW w:w="2740" w:type="dxa"/>
            <w:shd w:val="clear" w:color="auto" w:fill="1F4E5F"/>
            <w:tcMar>
              <w:top w:w="70" w:type="dxa"/>
              <w:left w:w="90" w:type="dxa"/>
              <w:bottom w:w="70" w:type="dxa"/>
              <w:right w:w="90" w:type="dxa"/>
            </w:tcMar>
          </w:tcPr>
          <w:p w14:paraId="2D2BD72F" w14:textId="77777777" w:rsidR="00E90B3A" w:rsidRDefault="00000000">
            <w:r>
              <w:rPr>
                <w:b/>
                <w:bCs/>
                <w:color w:val="FFFFFF"/>
                <w:sz w:val="17"/>
                <w:szCs w:val="17"/>
              </w:rPr>
              <w:t>What Would You Improve?</w:t>
            </w:r>
          </w:p>
        </w:tc>
      </w:tr>
      <w:tr w:rsidR="00E90B3A" w14:paraId="0098B91C" w14:textId="77777777">
        <w:tblPrEx>
          <w:tblCellMar>
            <w:top w:w="0" w:type="dxa"/>
            <w:bottom w:w="0" w:type="dxa"/>
          </w:tblCellMar>
        </w:tblPrEx>
        <w:tc>
          <w:tcPr>
            <w:tcW w:w="1700" w:type="dxa"/>
            <w:tcMar>
              <w:top w:w="70" w:type="dxa"/>
              <w:left w:w="90" w:type="dxa"/>
              <w:bottom w:w="70" w:type="dxa"/>
              <w:right w:w="90" w:type="dxa"/>
            </w:tcMar>
          </w:tcPr>
          <w:p w14:paraId="216E9C71" w14:textId="77777777" w:rsidR="00E90B3A" w:rsidRDefault="00000000">
            <w:r>
              <w:rPr>
                <w:sz w:val="17"/>
                <w:szCs w:val="17"/>
              </w:rPr>
              <w:t>Phase 1: Discovery &amp; Requirements</w:t>
            </w:r>
          </w:p>
        </w:tc>
        <w:tc>
          <w:tcPr>
            <w:tcW w:w="2600" w:type="dxa"/>
            <w:tcMar>
              <w:top w:w="70" w:type="dxa"/>
              <w:left w:w="90" w:type="dxa"/>
              <w:bottom w:w="70" w:type="dxa"/>
              <w:right w:w="90" w:type="dxa"/>
            </w:tcMar>
          </w:tcPr>
          <w:p w14:paraId="2B7470D8" w14:textId="77777777" w:rsidR="00E90B3A" w:rsidRDefault="00000000">
            <w:r>
              <w:rPr>
                <w:sz w:val="17"/>
                <w:szCs w:val="17"/>
              </w:rPr>
              <w:t>Hands-on exploration produced a genuinely useful, testable requirement set with no formal documentation to start from; the Risk Register and Stakeholder Questions later proved directly predictive of real defects</w:t>
            </w:r>
          </w:p>
        </w:tc>
        <w:tc>
          <w:tcPr>
            <w:tcW w:w="2600" w:type="dxa"/>
            <w:tcMar>
              <w:top w:w="70" w:type="dxa"/>
              <w:left w:w="90" w:type="dxa"/>
              <w:bottom w:w="70" w:type="dxa"/>
              <w:right w:w="90" w:type="dxa"/>
            </w:tcMar>
          </w:tcPr>
          <w:p w14:paraId="2D19E77C" w14:textId="77777777" w:rsidR="00E90B3A" w:rsidRDefault="00000000">
            <w:r>
              <w:rPr>
                <w:sz w:val="17"/>
                <w:szCs w:val="17"/>
              </w:rPr>
              <w:t>Several requirement gaps identified here were never resolved by the client during the engagement, forcing later phases to proceed on assumptions rather than confirmed rules</w:t>
            </w:r>
          </w:p>
        </w:tc>
        <w:tc>
          <w:tcPr>
            <w:tcW w:w="2740" w:type="dxa"/>
            <w:tcMar>
              <w:top w:w="70" w:type="dxa"/>
              <w:left w:w="90" w:type="dxa"/>
              <w:bottom w:w="70" w:type="dxa"/>
              <w:right w:w="90" w:type="dxa"/>
            </w:tcMar>
          </w:tcPr>
          <w:p w14:paraId="55D251CB" w14:textId="77777777" w:rsidR="00E90B3A" w:rsidRDefault="00000000">
            <w:r>
              <w:rPr>
                <w:sz w:val="17"/>
                <w:szCs w:val="17"/>
              </w:rPr>
              <w:t>Push flagged gaps to the client earlier and more insistently, rather than letting them sit as open items for the full two weeks</w:t>
            </w:r>
          </w:p>
        </w:tc>
      </w:tr>
      <w:tr w:rsidR="00E90B3A" w14:paraId="76EFE1E4" w14:textId="77777777">
        <w:tblPrEx>
          <w:tblCellMar>
            <w:top w:w="0" w:type="dxa"/>
            <w:bottom w:w="0" w:type="dxa"/>
          </w:tblCellMar>
        </w:tblPrEx>
        <w:tc>
          <w:tcPr>
            <w:tcW w:w="1700" w:type="dxa"/>
            <w:tcMar>
              <w:top w:w="70" w:type="dxa"/>
              <w:left w:w="90" w:type="dxa"/>
              <w:bottom w:w="70" w:type="dxa"/>
              <w:right w:w="90" w:type="dxa"/>
            </w:tcMar>
          </w:tcPr>
          <w:p w14:paraId="7E020AE9" w14:textId="77777777" w:rsidR="00E90B3A" w:rsidRDefault="00000000">
            <w:r>
              <w:rPr>
                <w:sz w:val="17"/>
                <w:szCs w:val="17"/>
              </w:rPr>
              <w:t>Phase 2: Test Strategy</w:t>
            </w:r>
          </w:p>
        </w:tc>
        <w:tc>
          <w:tcPr>
            <w:tcW w:w="2600" w:type="dxa"/>
            <w:tcMar>
              <w:top w:w="70" w:type="dxa"/>
              <w:left w:w="90" w:type="dxa"/>
              <w:bottom w:w="70" w:type="dxa"/>
              <w:right w:w="90" w:type="dxa"/>
            </w:tcMar>
          </w:tcPr>
          <w:p w14:paraId="2F697F23" w14:textId="77777777" w:rsidR="00E90B3A" w:rsidRDefault="00000000">
            <w:r>
              <w:rPr>
                <w:sz w:val="17"/>
                <w:szCs w:val="17"/>
              </w:rPr>
              <w:t>Risk-based prioritization set up every later phase well — the modules ranked High-risk here are exactly where the Critical defects were later found in Phase 5</w:t>
            </w:r>
          </w:p>
        </w:tc>
        <w:tc>
          <w:tcPr>
            <w:tcW w:w="2600" w:type="dxa"/>
            <w:tcMar>
              <w:top w:w="70" w:type="dxa"/>
              <w:left w:w="90" w:type="dxa"/>
              <w:bottom w:w="70" w:type="dxa"/>
              <w:right w:w="90" w:type="dxa"/>
            </w:tcMar>
          </w:tcPr>
          <w:p w14:paraId="7D3F35B5" w14:textId="77777777" w:rsidR="00E90B3A" w:rsidRDefault="00000000">
            <w:r>
              <w:rPr>
                <w:sz w:val="17"/>
                <w:szCs w:val="17"/>
              </w:rPr>
              <w:t>The Resource Constraint and Exit Decision Workshop scenarios were necessarily hypothetical rather than tested against real pressure, since the actual timeline held</w:t>
            </w:r>
          </w:p>
        </w:tc>
        <w:tc>
          <w:tcPr>
            <w:tcW w:w="2740" w:type="dxa"/>
            <w:tcMar>
              <w:top w:w="70" w:type="dxa"/>
              <w:left w:w="90" w:type="dxa"/>
              <w:bottom w:w="70" w:type="dxa"/>
              <w:right w:w="90" w:type="dxa"/>
            </w:tcMar>
          </w:tcPr>
          <w:p w14:paraId="7CFC5258" w14:textId="77777777" w:rsidR="00E90B3A" w:rsidRDefault="00000000">
            <w:r>
              <w:rPr>
                <w:sz w:val="17"/>
                <w:szCs w:val="17"/>
              </w:rPr>
              <w:t>Build in an explicit buffer day in the schedule rather than assuming zero slack for the full two weeks</w:t>
            </w:r>
          </w:p>
        </w:tc>
      </w:tr>
      <w:tr w:rsidR="00E90B3A" w14:paraId="41EDC384" w14:textId="77777777">
        <w:tblPrEx>
          <w:tblCellMar>
            <w:top w:w="0" w:type="dxa"/>
            <w:bottom w:w="0" w:type="dxa"/>
          </w:tblCellMar>
        </w:tblPrEx>
        <w:tc>
          <w:tcPr>
            <w:tcW w:w="1700" w:type="dxa"/>
            <w:tcMar>
              <w:top w:w="70" w:type="dxa"/>
              <w:left w:w="90" w:type="dxa"/>
              <w:bottom w:w="70" w:type="dxa"/>
              <w:right w:w="90" w:type="dxa"/>
            </w:tcMar>
          </w:tcPr>
          <w:p w14:paraId="6BB9E5A1" w14:textId="77777777" w:rsidR="00E90B3A" w:rsidRDefault="00000000">
            <w:r>
              <w:rPr>
                <w:sz w:val="17"/>
                <w:szCs w:val="17"/>
              </w:rPr>
              <w:t>Phase 3: Test Design &amp; Coverage</w:t>
            </w:r>
          </w:p>
        </w:tc>
        <w:tc>
          <w:tcPr>
            <w:tcW w:w="2600" w:type="dxa"/>
            <w:tcMar>
              <w:top w:w="70" w:type="dxa"/>
              <w:left w:w="90" w:type="dxa"/>
              <w:bottom w:w="70" w:type="dxa"/>
              <w:right w:w="90" w:type="dxa"/>
            </w:tcMar>
          </w:tcPr>
          <w:p w14:paraId="55AB50CA" w14:textId="77777777" w:rsidR="00E90B3A" w:rsidRDefault="00000000">
            <w:r>
              <w:rPr>
                <w:sz w:val="17"/>
                <w:szCs w:val="17"/>
              </w:rPr>
              <w:t>BVA-driven test design directly caught 2 of the defects later confirmed in execution (DEF-002, DEF-005-adjacent boundaries); the RTM made the Find Transactions/Contact Info gap fully explicit and traceable rather than implicit</w:t>
            </w:r>
          </w:p>
        </w:tc>
        <w:tc>
          <w:tcPr>
            <w:tcW w:w="2600" w:type="dxa"/>
            <w:tcMar>
              <w:top w:w="70" w:type="dxa"/>
              <w:left w:w="90" w:type="dxa"/>
              <w:bottom w:w="70" w:type="dxa"/>
              <w:right w:w="90" w:type="dxa"/>
            </w:tcMar>
          </w:tcPr>
          <w:p w14:paraId="2847469A" w14:textId="77777777" w:rsidR="00E90B3A" w:rsidRDefault="00000000">
            <w:r>
              <w:rPr>
                <w:sz w:val="17"/>
                <w:szCs w:val="17"/>
              </w:rPr>
              <w:t>Several test cases (TC-020, TC-031, TC-042, TC-048) could only be written as honest either/or outcomes due to unresolved Phase 1 gaps, weakening their repeatability</w:t>
            </w:r>
          </w:p>
        </w:tc>
        <w:tc>
          <w:tcPr>
            <w:tcW w:w="2740" w:type="dxa"/>
            <w:tcMar>
              <w:top w:w="70" w:type="dxa"/>
              <w:left w:w="90" w:type="dxa"/>
              <w:bottom w:w="70" w:type="dxa"/>
              <w:right w:w="90" w:type="dxa"/>
            </w:tcMar>
          </w:tcPr>
          <w:p w14:paraId="516C4707" w14:textId="77777777" w:rsidR="00E90B3A" w:rsidRDefault="00000000">
            <w:r>
              <w:rPr>
                <w:sz w:val="17"/>
                <w:szCs w:val="17"/>
              </w:rPr>
              <w:t>Convert those either/or test cases into two fully deterministic cases as soon as the underlying business rule is confirmed by the client</w:t>
            </w:r>
          </w:p>
        </w:tc>
      </w:tr>
      <w:tr w:rsidR="00E90B3A" w14:paraId="57F46417" w14:textId="77777777">
        <w:tblPrEx>
          <w:tblCellMar>
            <w:top w:w="0" w:type="dxa"/>
            <w:bottom w:w="0" w:type="dxa"/>
          </w:tblCellMar>
        </w:tblPrEx>
        <w:tc>
          <w:tcPr>
            <w:tcW w:w="1700" w:type="dxa"/>
            <w:tcMar>
              <w:top w:w="70" w:type="dxa"/>
              <w:left w:w="90" w:type="dxa"/>
              <w:bottom w:w="70" w:type="dxa"/>
              <w:right w:w="90" w:type="dxa"/>
            </w:tcMar>
          </w:tcPr>
          <w:p w14:paraId="59726EFA" w14:textId="77777777" w:rsidR="00E90B3A" w:rsidRDefault="00000000">
            <w:r>
              <w:rPr>
                <w:sz w:val="17"/>
                <w:szCs w:val="17"/>
              </w:rPr>
              <w:t>Phase 4: Quality Preparation</w:t>
            </w:r>
          </w:p>
        </w:tc>
        <w:tc>
          <w:tcPr>
            <w:tcW w:w="2600" w:type="dxa"/>
            <w:tcMar>
              <w:top w:w="70" w:type="dxa"/>
              <w:left w:w="90" w:type="dxa"/>
              <w:bottom w:w="70" w:type="dxa"/>
              <w:right w:w="90" w:type="dxa"/>
            </w:tcMar>
          </w:tcPr>
          <w:p w14:paraId="1618465D" w14:textId="77777777" w:rsidR="00E90B3A" w:rsidRDefault="00000000">
            <w:r>
              <w:rPr>
                <w:sz w:val="17"/>
                <w:szCs w:val="17"/>
              </w:rPr>
              <w:t>The Test Data Traceability Matrix and Traceability Audit successfully surfaced the Open New Account data gap before execution began, exactly as intended</w:t>
            </w:r>
          </w:p>
        </w:tc>
        <w:tc>
          <w:tcPr>
            <w:tcW w:w="2600" w:type="dxa"/>
            <w:tcMar>
              <w:top w:w="70" w:type="dxa"/>
              <w:left w:w="90" w:type="dxa"/>
              <w:bottom w:w="70" w:type="dxa"/>
              <w:right w:w="90" w:type="dxa"/>
            </w:tcMar>
          </w:tcPr>
          <w:p w14:paraId="3C501396" w14:textId="77777777" w:rsidR="00E90B3A" w:rsidRDefault="00000000">
            <w:r>
              <w:rPr>
                <w:sz w:val="17"/>
                <w:szCs w:val="17"/>
              </w:rPr>
              <w:t>The gap was found late in the phase rather than during initial data design, meaning it was accepted as a known risk rather than fully resolved before Phase 5</w:t>
            </w:r>
          </w:p>
        </w:tc>
        <w:tc>
          <w:tcPr>
            <w:tcW w:w="2740" w:type="dxa"/>
            <w:tcMar>
              <w:top w:w="70" w:type="dxa"/>
              <w:left w:w="90" w:type="dxa"/>
              <w:bottom w:w="70" w:type="dxa"/>
              <w:right w:w="90" w:type="dxa"/>
            </w:tcMar>
          </w:tcPr>
          <w:p w14:paraId="670C2500" w14:textId="77777777" w:rsidR="00E90B3A" w:rsidRDefault="00000000">
            <w:r>
              <w:rPr>
                <w:sz w:val="17"/>
                <w:szCs w:val="17"/>
              </w:rPr>
              <w:t>Build the traceability check earlier in the data design process, module by module, rather than as a single pass at the end</w:t>
            </w:r>
          </w:p>
        </w:tc>
      </w:tr>
      <w:tr w:rsidR="00E90B3A" w14:paraId="753E1563" w14:textId="77777777">
        <w:tblPrEx>
          <w:tblCellMar>
            <w:top w:w="0" w:type="dxa"/>
            <w:bottom w:w="0" w:type="dxa"/>
          </w:tblCellMar>
        </w:tblPrEx>
        <w:tc>
          <w:tcPr>
            <w:tcW w:w="1700" w:type="dxa"/>
            <w:tcMar>
              <w:top w:w="70" w:type="dxa"/>
              <w:left w:w="90" w:type="dxa"/>
              <w:bottom w:w="70" w:type="dxa"/>
              <w:right w:w="90" w:type="dxa"/>
            </w:tcMar>
          </w:tcPr>
          <w:p w14:paraId="55B0A032" w14:textId="77777777" w:rsidR="00E90B3A" w:rsidRDefault="00000000">
            <w:r>
              <w:rPr>
                <w:sz w:val="17"/>
                <w:szCs w:val="17"/>
              </w:rPr>
              <w:t>Phase 5: Quality Investigation</w:t>
            </w:r>
          </w:p>
        </w:tc>
        <w:tc>
          <w:tcPr>
            <w:tcW w:w="2600" w:type="dxa"/>
            <w:tcMar>
              <w:top w:w="70" w:type="dxa"/>
              <w:left w:w="90" w:type="dxa"/>
              <w:bottom w:w="70" w:type="dxa"/>
              <w:right w:w="90" w:type="dxa"/>
            </w:tcMar>
          </w:tcPr>
          <w:p w14:paraId="73FE6FD5" w14:textId="77777777" w:rsidR="00E90B3A" w:rsidRDefault="00000000">
            <w:r>
              <w:rPr>
                <w:sz w:val="17"/>
                <w:szCs w:val="17"/>
              </w:rPr>
              <w:t>Exploratory testing found real defects (DEF-008, DEF-010) that scripted testing structurally could not, validating the decision to include dedicated exploratory missions rather than scripted testing alone</w:t>
            </w:r>
          </w:p>
        </w:tc>
        <w:tc>
          <w:tcPr>
            <w:tcW w:w="2600" w:type="dxa"/>
            <w:tcMar>
              <w:top w:w="70" w:type="dxa"/>
              <w:left w:w="90" w:type="dxa"/>
              <w:bottom w:w="70" w:type="dxa"/>
              <w:right w:w="90" w:type="dxa"/>
            </w:tcMar>
          </w:tcPr>
          <w:p w14:paraId="03153E23" w14:textId="77777777" w:rsidR="00E90B3A" w:rsidRDefault="00000000">
            <w:r>
              <w:rPr>
                <w:sz w:val="17"/>
                <w:szCs w:val="17"/>
              </w:rPr>
              <w:t>The Open New Account test data gap identified in Phase 4 did materialize as 2 Blocked test cases, a real, if anticipated, loss of coverage</w:t>
            </w:r>
          </w:p>
        </w:tc>
        <w:tc>
          <w:tcPr>
            <w:tcW w:w="2740" w:type="dxa"/>
            <w:tcMar>
              <w:top w:w="70" w:type="dxa"/>
              <w:left w:w="90" w:type="dxa"/>
              <w:bottom w:w="70" w:type="dxa"/>
              <w:right w:w="90" w:type="dxa"/>
            </w:tcMar>
          </w:tcPr>
          <w:p w14:paraId="60FD6CA6" w14:textId="77777777" w:rsidR="00E90B3A" w:rsidRDefault="00000000">
            <w:r>
              <w:rPr>
                <w:sz w:val="17"/>
                <w:szCs w:val="17"/>
              </w:rPr>
              <w:t>Prepare the missing test data before execution day 1 rather than accepting the gap into execution, now that its concrete cost (2 blocked test cases) is known</w:t>
            </w:r>
          </w:p>
        </w:tc>
      </w:tr>
      <w:tr w:rsidR="00E90B3A" w14:paraId="02AFE3F0" w14:textId="77777777">
        <w:tblPrEx>
          <w:tblCellMar>
            <w:top w:w="0" w:type="dxa"/>
            <w:bottom w:w="0" w:type="dxa"/>
          </w:tblCellMar>
        </w:tblPrEx>
        <w:tc>
          <w:tcPr>
            <w:tcW w:w="1700" w:type="dxa"/>
            <w:tcMar>
              <w:top w:w="70" w:type="dxa"/>
              <w:left w:w="90" w:type="dxa"/>
              <w:bottom w:w="70" w:type="dxa"/>
              <w:right w:w="90" w:type="dxa"/>
            </w:tcMar>
          </w:tcPr>
          <w:p w14:paraId="69C77C2F" w14:textId="77777777" w:rsidR="00E90B3A" w:rsidRDefault="00000000">
            <w:r>
              <w:rPr>
                <w:sz w:val="17"/>
                <w:szCs w:val="17"/>
              </w:rPr>
              <w:t>Phase 6: Quality Advisory &amp; Release Decision</w:t>
            </w:r>
          </w:p>
        </w:tc>
        <w:tc>
          <w:tcPr>
            <w:tcW w:w="2600" w:type="dxa"/>
            <w:tcMar>
              <w:top w:w="70" w:type="dxa"/>
              <w:left w:w="90" w:type="dxa"/>
              <w:bottom w:w="70" w:type="dxa"/>
              <w:right w:w="90" w:type="dxa"/>
            </w:tcMar>
          </w:tcPr>
          <w:p w14:paraId="24F415C8" w14:textId="77777777" w:rsidR="00E90B3A" w:rsidRDefault="00000000">
            <w:r>
              <w:rPr>
                <w:sz w:val="17"/>
                <w:szCs w:val="17"/>
              </w:rPr>
              <w:t>Being able to trace the final NO-GO recommendation all the way back through specific defects, root causes, and even Phase 1 requirement gaps made the recommendation feel evidenced rather than opinion-based</w:t>
            </w:r>
          </w:p>
        </w:tc>
        <w:tc>
          <w:tcPr>
            <w:tcW w:w="2600" w:type="dxa"/>
            <w:tcMar>
              <w:top w:w="70" w:type="dxa"/>
              <w:left w:w="90" w:type="dxa"/>
              <w:bottom w:w="70" w:type="dxa"/>
              <w:right w:w="90" w:type="dxa"/>
            </w:tcMar>
          </w:tcPr>
          <w:p w14:paraId="42F4530D" w14:textId="77777777" w:rsidR="00E90B3A" w:rsidRDefault="00000000">
            <w:r>
              <w:rPr>
                <w:sz w:val="17"/>
                <w:szCs w:val="17"/>
              </w:rPr>
              <w:t>Communicating the same findings differently for three audiences (CEO, PM, dev team) surfaced how much translation work is needed between technical accuracy and business clarity, more than initially expected</w:t>
            </w:r>
          </w:p>
        </w:tc>
        <w:tc>
          <w:tcPr>
            <w:tcW w:w="2740" w:type="dxa"/>
            <w:tcMar>
              <w:top w:w="70" w:type="dxa"/>
              <w:left w:w="90" w:type="dxa"/>
              <w:bottom w:w="70" w:type="dxa"/>
              <w:right w:w="90" w:type="dxa"/>
            </w:tcMar>
          </w:tcPr>
          <w:p w14:paraId="3222F8CF" w14:textId="77777777" w:rsidR="00E90B3A" w:rsidRDefault="00000000">
            <w:r>
              <w:rPr>
                <w:sz w:val="17"/>
                <w:szCs w:val="17"/>
              </w:rPr>
              <w:t>Draft audience-specific reporting templates earlier in the engagement rather than only at final close-out, so translation happens continuously rather than all at once</w:t>
            </w:r>
          </w:p>
        </w:tc>
      </w:tr>
    </w:tbl>
    <w:p w14:paraId="30C80D49" w14:textId="77777777" w:rsidR="00E90B3A" w:rsidRDefault="00E90B3A">
      <w:pPr>
        <w:spacing w:after="100"/>
      </w:pPr>
    </w:p>
    <w:p w14:paraId="05B26B9D" w14:textId="77777777" w:rsidR="00E90B3A" w:rsidRDefault="00000000">
      <w:pPr>
        <w:pStyle w:val="Heading1"/>
        <w:spacing w:before="300" w:after="150"/>
      </w:pPr>
      <w:r>
        <w:t>11.5 Additional Practical Activity: If This Was Your Bank Account...</w:t>
      </w:r>
    </w:p>
    <w:p w14:paraId="28D71218" w14:textId="77777777" w:rsidR="00E90B3A" w:rsidRDefault="00000000">
      <w:pPr>
        <w:spacing w:after="120"/>
      </w:pPr>
      <w:r>
        <w:t>Would I trust this application with my own bank account? Right now, honestly, not quite yet, and the reason is specific rather than a vague unease. I would trust ParaBank with the everyday things: logging in, checking my balance, moving money between my own accounts, and paying a regular bill. Those flows passed testing cleanly, and the two defects that concerned me the most on the financial side, the transfer race condition and the session-after-logout issue, have already been found, fixed, and confirmed through retesting. That fix-and-retest cycle actually increased my trust rather than damaging it, because it's evidence the team responds seriously to what testing finds.</w:t>
      </w:r>
    </w:p>
    <w:p w14:paraId="5DDDF510" w14:textId="77777777" w:rsidR="00E90B3A" w:rsidRDefault="00000000">
      <w:pPr>
        <w:spacing w:after="120"/>
      </w:pPr>
      <w:r>
        <w:lastRenderedPageBreak/>
        <w:t>What stops me short of full trust today is DEF-005: the fact that, right now, the system can approve a loan on terms that are mathematically nonsensical, a down payment larger than the loan itself. It's not that this defect would cost me money directly as a depositor, but it tells me something about how carefully the automated decision logic was built and checked, and that makes me want to see it fixed and specifically retested before I'd call the lending side of this application trustworthy. I'd also want to know that the two modules we never tested at all, Find Transactions and Update Contact Information, have actually been looked at by someone, since "we didn't check" is a different and more uncomfortable statement than "we checked and it's fine."</w:t>
      </w:r>
    </w:p>
    <w:p w14:paraId="270F588E" w14:textId="77777777" w:rsidR="00E90B3A" w:rsidRDefault="00000000">
      <w:pPr>
        <w:spacing w:after="120"/>
      </w:pPr>
      <w:r>
        <w:t>What would need to change before I'd trust it fully: DEF-005 fixed and retested (non-negotiable for me, given it's my own lending exposure at stake), the two untested modules brought into a future testing pass, and some independent confirmation of the session security fix beyond my own retest, since security is exactly the kind of thing I'd want more than one person to have verified. None of that changes my overall impression that this is a fundamentally well-built application with a short, specific list of things to fix, rather than something I'd be nervous about at a foundational level, but for my own money, I'd want that specific list closed out first.</w:t>
      </w:r>
    </w:p>
    <w:p w14:paraId="12C50F17" w14:textId="77777777" w:rsidR="00E90B3A" w:rsidRDefault="00E90B3A">
      <w:pPr>
        <w:spacing w:after="100"/>
      </w:pPr>
    </w:p>
    <w:p w14:paraId="2CE08E1E" w14:textId="77777777" w:rsidR="00E90B3A" w:rsidRDefault="00000000">
      <w:pPr>
        <w:pStyle w:val="Heading1"/>
        <w:spacing w:before="300" w:after="150"/>
      </w:pPr>
      <w:r>
        <w:t>11.6 Professional Reflection</w:t>
      </w:r>
    </w:p>
    <w:p w14:paraId="3DB8E78B" w14:textId="77777777" w:rsidR="00E90B3A" w:rsidRDefault="00000000">
      <w:pPr>
        <w:pStyle w:val="Heading3"/>
        <w:spacing w:before="200" w:after="100"/>
      </w:pPr>
      <w:r>
        <w:t>33. Which STLC phase contributed the most value to the engagement and why?</w:t>
      </w:r>
    </w:p>
    <w:p w14:paraId="7997A6BE" w14:textId="77777777" w:rsidR="00E90B3A" w:rsidRDefault="00000000">
      <w:pPr>
        <w:spacing w:after="120"/>
      </w:pPr>
      <w:r>
        <w:t>Phase 3 (Test Design &amp; Coverage) contributed the most value, because it's where every earlier phase's thinking became something concrete and checkable, and where every later phase's findings trace back to. The Requirements Traceability Matrix in particular turned out to be the single most-referenced artifact of the entire engagement: it's what let Phase 4 identify a real gap before execution, what let Phase 5 map every defect back to a requirement, and what let this final phase state a precise 75% coverage number instead of a vague impression. Good test design is what makes every other phase's output trustworthy rather than just plausible-sounding.</w:t>
      </w:r>
    </w:p>
    <w:p w14:paraId="49E4D2C4" w14:textId="77777777" w:rsidR="00E90B3A" w:rsidRDefault="00000000">
      <w:pPr>
        <w:pStyle w:val="Heading3"/>
        <w:spacing w:before="200" w:after="100"/>
      </w:pPr>
      <w:r>
        <w:t>34. Which skill improved the most throughout this journey?</w:t>
      </w:r>
    </w:p>
    <w:p w14:paraId="6A7679E6" w14:textId="77777777" w:rsidR="00E90B3A" w:rsidRDefault="00000000">
      <w:pPr>
        <w:spacing w:after="120"/>
      </w:pPr>
      <w:r>
        <w:t>Defect advocacy and evidence-based argumentation improved the most, and I can see the specific trajectory: Phase 3's defect predictions were educated guesses, Phase 5's defect reports were reproducible and evidenced but still somewhat technical, and by this phase's Bug Advocacy Exercise and Executive Communication Exercise I was building genuinely persuasive, audience-appropriate cases for action. That progression from "I found a bug" to "here is why this specific bug must be fixed before release, in language you'll act on" is the skill I'm most confident actually transferred across this journey.</w:t>
      </w:r>
    </w:p>
    <w:p w14:paraId="5E2F5E72" w14:textId="77777777" w:rsidR="00E90B3A" w:rsidRDefault="00000000">
      <w:pPr>
        <w:pStyle w:val="Heading3"/>
        <w:spacing w:before="200" w:after="100"/>
      </w:pPr>
      <w:r>
        <w:t>35. Which phase was most challenging and what made it difficult?</w:t>
      </w:r>
    </w:p>
    <w:p w14:paraId="5A4718D9" w14:textId="77777777" w:rsidR="00E90B3A" w:rsidRDefault="00000000">
      <w:pPr>
        <w:spacing w:after="120"/>
      </w:pPr>
      <w:r>
        <w:t>Phase 1 was the most challenging, specifically because there was no existing documentation to react to or correct, only raw application behaviour to interpret. It's much harder to write a testable requirement from scratch through exploration than to review and improve an existing one, and the discipline of separating "what I observed" from "what I'm assuming" took real, deliberate effort in a way that got easier once I had that first requirement set to build on in later phases.</w:t>
      </w:r>
    </w:p>
    <w:p w14:paraId="74912A13" w14:textId="77777777" w:rsidR="00E90B3A" w:rsidRDefault="00000000">
      <w:pPr>
        <w:pStyle w:val="Heading3"/>
        <w:spacing w:before="200" w:after="100"/>
      </w:pPr>
      <w:r>
        <w:t>36. What would you do differently on a future project?</w:t>
      </w:r>
    </w:p>
    <w:p w14:paraId="000814AA" w14:textId="77777777" w:rsidR="00E90B3A" w:rsidRDefault="00000000">
      <w:pPr>
        <w:spacing w:after="120"/>
      </w:pPr>
      <w:r>
        <w:t>I would push for faster client turnaround on requirement clarification questions much earlier in the engagement, ideally by the end of Phase 1 rather than letting several gaps remain unconfirmed through to this final phase. Multiple defects in this engagement (most notably DEF-005) sit exactly on a boundary that was flagged as ambiguous from the very first phase; a faster feedback loop could plausibly have turned some of Phase 3's honest either/or test cases into fully deterministic ones before execution even began.</w:t>
      </w:r>
    </w:p>
    <w:p w14:paraId="510D77AD" w14:textId="77777777" w:rsidR="00E90B3A" w:rsidRDefault="00000000">
      <w:pPr>
        <w:pStyle w:val="Heading3"/>
        <w:spacing w:before="200" w:after="100"/>
      </w:pPr>
      <w:r>
        <w:t>37. How has your confidence as a QA professional changed after completing this journey?</w:t>
      </w:r>
    </w:p>
    <w:p w14:paraId="0CB5115A" w14:textId="77777777" w:rsidR="00E90B3A" w:rsidRDefault="00000000">
      <w:pPr>
        <w:spacing w:after="120"/>
      </w:pPr>
      <w:r>
        <w:t>I feel genuinely more confident, not because I now believe testing catches everything, but because I've now practiced the full arc from ambiguous, undocumented system behaviour all the way to a defensible release recommendation that other people would actually act on. Before this journey, I think I would have treated a NO-GO recommendation as an uncomfortable thing to have to say; having now built the specific evidence chain that makes DEF-005 an obvious, undeniable blocker rather than a judgment call, I feel like I understand what it actually takes to make that kind of recommendation stick, and that's the confidence I most wanted to come out of this with.</w:t>
      </w:r>
    </w:p>
    <w:sectPr w:rsidR="00E90B3A">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215B4A"/>
    <w:multiLevelType w:val="hybridMultilevel"/>
    <w:tmpl w:val="5978AE2C"/>
    <w:lvl w:ilvl="0" w:tplc="6B3429EE">
      <w:start w:val="1"/>
      <w:numFmt w:val="bullet"/>
      <w:lvlText w:val="●"/>
      <w:lvlJc w:val="left"/>
      <w:pPr>
        <w:ind w:left="720" w:hanging="360"/>
      </w:pPr>
    </w:lvl>
    <w:lvl w:ilvl="1" w:tplc="01F8D4EA">
      <w:start w:val="1"/>
      <w:numFmt w:val="bullet"/>
      <w:lvlText w:val="○"/>
      <w:lvlJc w:val="left"/>
      <w:pPr>
        <w:ind w:left="1440" w:hanging="360"/>
      </w:pPr>
    </w:lvl>
    <w:lvl w:ilvl="2" w:tplc="CC404640">
      <w:start w:val="1"/>
      <w:numFmt w:val="bullet"/>
      <w:lvlText w:val="■"/>
      <w:lvlJc w:val="left"/>
      <w:pPr>
        <w:ind w:left="2160" w:hanging="360"/>
      </w:pPr>
    </w:lvl>
    <w:lvl w:ilvl="3" w:tplc="6A8CFEF8">
      <w:start w:val="1"/>
      <w:numFmt w:val="bullet"/>
      <w:lvlText w:val="●"/>
      <w:lvlJc w:val="left"/>
      <w:pPr>
        <w:ind w:left="2880" w:hanging="360"/>
      </w:pPr>
    </w:lvl>
    <w:lvl w:ilvl="4" w:tplc="F5FEC2D4">
      <w:start w:val="1"/>
      <w:numFmt w:val="bullet"/>
      <w:lvlText w:val="○"/>
      <w:lvlJc w:val="left"/>
      <w:pPr>
        <w:ind w:left="3600" w:hanging="360"/>
      </w:pPr>
    </w:lvl>
    <w:lvl w:ilvl="5" w:tplc="CCF6790A">
      <w:start w:val="1"/>
      <w:numFmt w:val="bullet"/>
      <w:lvlText w:val="■"/>
      <w:lvlJc w:val="left"/>
      <w:pPr>
        <w:ind w:left="4320" w:hanging="360"/>
      </w:pPr>
    </w:lvl>
    <w:lvl w:ilvl="6" w:tplc="ED346A22">
      <w:start w:val="1"/>
      <w:numFmt w:val="bullet"/>
      <w:lvlText w:val="●"/>
      <w:lvlJc w:val="left"/>
      <w:pPr>
        <w:ind w:left="5040" w:hanging="360"/>
      </w:pPr>
    </w:lvl>
    <w:lvl w:ilvl="7" w:tplc="0D34D5B4">
      <w:start w:val="1"/>
      <w:numFmt w:val="bullet"/>
      <w:lvlText w:val="●"/>
      <w:lvlJc w:val="left"/>
      <w:pPr>
        <w:ind w:left="5760" w:hanging="360"/>
      </w:pPr>
    </w:lvl>
    <w:lvl w:ilvl="8" w:tplc="E8B2A934">
      <w:start w:val="1"/>
      <w:numFmt w:val="bullet"/>
      <w:lvlText w:val="●"/>
      <w:lvlJc w:val="left"/>
      <w:pPr>
        <w:ind w:left="6480" w:hanging="360"/>
      </w:pPr>
    </w:lvl>
  </w:abstractNum>
  <w:num w:numId="1" w16cid:durableId="6682197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B3A"/>
    <w:rsid w:val="002A0F7E"/>
    <w:rsid w:val="0095542D"/>
    <w:rsid w:val="00E90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95869"/>
  <w15:docId w15:val="{0C600296-D776-4F2D-AE5C-47322FC7F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5740</Words>
  <Characters>32720</Characters>
  <Application>Microsoft Office Word</Application>
  <DocSecurity>0</DocSecurity>
  <Lines>272</Lines>
  <Paragraphs>76</Paragraphs>
  <ScaleCrop>false</ScaleCrop>
  <Company/>
  <LinksUpToDate>false</LinksUpToDate>
  <CharactersWithSpaces>38384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Kamogelo  Sekhaolelo (Lubanzi Automation Academy)</cp:lastModifiedBy>
  <cp:revision>2</cp:revision>
  <dcterms:created xsi:type="dcterms:W3CDTF">2026-07-26T04:08:00Z</dcterms:created>
  <dcterms:modified xsi:type="dcterms:W3CDTF">2026-07-27T06:05:00Z</dcterms:modified>
</cp:coreProperties>
</file>