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6288EE34"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189D26B8"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6399CDC2" w:rsidR="00720545" w:rsidRDefault="00000000">
            <w:pPr>
              <w:rPr>
                <w:rFonts w:ascii="Arial" w:eastAsia="Arial" w:hAnsi="Arial" w:cs="Arial"/>
              </w:rPr>
            </w:pPr>
            <w:r>
              <w:rPr>
                <w:rFonts w:ascii="Arial" w:eastAsia="Arial" w:hAnsi="Arial" w:cs="Arial"/>
              </w:rPr>
              <w:t>2</w:t>
            </w:r>
            <w:r w:rsidR="009B2F4A">
              <w:rPr>
                <w:rFonts w:ascii="Arial" w:eastAsia="Arial" w:hAnsi="Arial" w:cs="Arial"/>
              </w:rPr>
              <w:t>2</w:t>
            </w:r>
            <w:r>
              <w:rPr>
                <w:rFonts w:ascii="Arial" w:eastAsia="Arial" w:hAnsi="Arial" w:cs="Arial"/>
              </w:rPr>
              <w:t xml:space="preserve"> </w:t>
            </w:r>
            <w:r w:rsidR="009B2F4A">
              <w:rPr>
                <w:rFonts w:ascii="Arial" w:eastAsia="Arial" w:hAnsi="Arial" w:cs="Arial"/>
              </w:rPr>
              <w:t>June</w:t>
            </w:r>
            <w:r w:rsidR="00642171">
              <w:rPr>
                <w:rFonts w:ascii="Arial" w:eastAsia="Arial" w:hAnsi="Arial" w:cs="Arial"/>
              </w:rPr>
              <w:t xml:space="preserve"> </w:t>
            </w:r>
            <w:r>
              <w:rPr>
                <w:rFonts w:ascii="Arial" w:eastAsia="Arial" w:hAnsi="Arial" w:cs="Arial"/>
              </w:rPr>
              <w:t>202</w:t>
            </w:r>
            <w:r w:rsidR="009B2F4A">
              <w:rPr>
                <w:rFonts w:ascii="Arial" w:eastAsia="Arial" w:hAnsi="Arial" w:cs="Arial"/>
              </w:rPr>
              <w:t>5</w:t>
            </w:r>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58AFF70A" w14:textId="22953496" w:rsidR="009B2F4A" w:rsidRDefault="009B2F4A" w:rsidP="009B2F4A">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w:t>
            </w:r>
          </w:p>
          <w:p w14:paraId="71A52242" w14:textId="77777777" w:rsidR="009B2F4A" w:rsidRDefault="009B2F4A" w:rsidP="009B2F4A">
            <w:pPr>
              <w:pBdr>
                <w:top w:val="nil"/>
                <w:left w:val="nil"/>
                <w:bottom w:val="nil"/>
                <w:right w:val="nil"/>
                <w:between w:val="nil"/>
              </w:pBdr>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Analysis of Key Regions and Generation </w:t>
            </w:r>
          </w:p>
          <w:p w14:paraId="1D354C95" w14:textId="4A6926F3" w:rsidR="00720545" w:rsidRDefault="009B2F4A" w:rsidP="009B2F4A">
            <w:pPr>
              <w:rPr>
                <w:rFonts w:ascii="Arial" w:eastAsia="Arial" w:hAnsi="Arial" w:cs="Arial"/>
              </w:rPr>
            </w:pPr>
            <w:r w:rsidRPr="0042361A">
              <w:rPr>
                <w:rFonts w:ascii="Times New Roman" w:eastAsia="Times New Roman" w:hAnsi="Times New Roman" w:cs="Times New Roman"/>
                <w:color w:val="000000"/>
                <w:sz w:val="24"/>
                <w:szCs w:val="24"/>
              </w:rPr>
              <w:t>Modes using Power BI</w:t>
            </w:r>
          </w:p>
        </w:tc>
      </w:tr>
      <w:tr w:rsidR="00720545" w14:paraId="52F170A6" w14:textId="77777777">
        <w:trPr>
          <w:jc w:val="center"/>
        </w:trPr>
        <w:tc>
          <w:tcPr>
            <w:tcW w:w="4508" w:type="dxa"/>
          </w:tcPr>
          <w:p w14:paraId="2A03D322" w14:textId="2E089207" w:rsidR="00720545" w:rsidRDefault="00000000">
            <w:pPr>
              <w:rPr>
                <w:rFonts w:ascii="Arial" w:eastAsia="Arial" w:hAnsi="Arial" w:cs="Arial"/>
              </w:rPr>
            </w:pPr>
            <w:r>
              <w:rPr>
                <w:rFonts w:ascii="Arial" w:eastAsia="Arial" w:hAnsi="Arial" w:cs="Arial"/>
              </w:rPr>
              <w:t>Maximum Marks</w:t>
            </w:r>
          </w:p>
        </w:tc>
        <w:tc>
          <w:tcPr>
            <w:tcW w:w="4843" w:type="dxa"/>
          </w:tcPr>
          <w:p w14:paraId="6FC77C1E" w14:textId="6FB6D9AC" w:rsidR="00720545" w:rsidRDefault="00A20696">
            <w:pPr>
              <w:rPr>
                <w:rFonts w:ascii="Arial" w:eastAsia="Arial" w:hAnsi="Arial" w:cs="Arial"/>
              </w:rPr>
            </w:pPr>
            <w:r>
              <w:rPr>
                <w:rFonts w:ascii="Arial" w:eastAsia="Arial" w:hAnsi="Arial" w:cs="Arial"/>
              </w:rPr>
              <w:t>5 Marks</w:t>
            </w:r>
          </w:p>
        </w:tc>
      </w:tr>
    </w:tbl>
    <w:p w14:paraId="137B83EC" w14:textId="22AD30F5" w:rsidR="00720545" w:rsidRDefault="00720545">
      <w:pPr>
        <w:rPr>
          <w:rFonts w:ascii="Cambria" w:eastAsia="Cambria" w:hAnsi="Cambria" w:cs="Cambria"/>
          <w:color w:val="000000"/>
          <w:sz w:val="24"/>
          <w:szCs w:val="24"/>
          <w:highlight w:val="white"/>
        </w:rPr>
      </w:pPr>
    </w:p>
    <w:p w14:paraId="51BECEAE" w14:textId="529FC061" w:rsidR="00A20696" w:rsidRPr="00D10015" w:rsidRDefault="00A20696" w:rsidP="00A20696">
      <w:pPr>
        <w:spacing w:before="100" w:beforeAutospacing="1" w:after="100" w:afterAutospacing="1" w:line="240" w:lineRule="auto"/>
        <w:ind w:left="284"/>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w:t>
      </w:r>
      <w:r w:rsidRPr="00D10015">
        <w:rPr>
          <w:rFonts w:ascii="Times New Roman" w:hAnsi="Times New Roman" w:cs="Times New Roman"/>
          <w:sz w:val="24"/>
          <w:szCs w:val="24"/>
        </w:rPr>
        <w:t xml:space="preserve"> Reports are suitable for a diverse audience, including decision-makers, analysts, and stakeholders who need a comprehensive understanding of the data.</w:t>
      </w:r>
    </w:p>
    <w:p w14:paraId="17C75643" w14:textId="59ABECD3" w:rsidR="00A20696" w:rsidRPr="00D10015" w:rsidRDefault="009B2F4A" w:rsidP="00A20696">
      <w:pPr>
        <w:pBdr>
          <w:top w:val="nil"/>
          <w:left w:val="nil"/>
          <w:bottom w:val="nil"/>
          <w:right w:val="nil"/>
          <w:between w:val="nil"/>
        </w:pBdr>
        <w:spacing w:after="200" w:line="240" w:lineRule="auto"/>
        <w:ind w:left="284"/>
        <w:jc w:val="both"/>
        <w:rPr>
          <w:rFonts w:ascii="Times New Roman" w:eastAsia="Cambria" w:hAnsi="Times New Roman" w:cs="Times New Roman"/>
          <w:sz w:val="24"/>
          <w:szCs w:val="24"/>
        </w:rPr>
      </w:pPr>
      <w:r w:rsidRPr="00D10015">
        <w:rPr>
          <w:rFonts w:ascii="Times New Roman" w:eastAsia="Arial" w:hAnsi="Times New Roman" w:cs="Times New Roman"/>
          <w:noProof/>
          <w:color w:val="000000"/>
          <w:sz w:val="24"/>
          <w:szCs w:val="24"/>
        </w:rPr>
        <w:drawing>
          <wp:anchor distT="0" distB="0" distL="114300" distR="114300" simplePos="0" relativeHeight="251658240" behindDoc="0" locked="0" layoutInCell="1" allowOverlap="1" wp14:anchorId="21A2D6FC" wp14:editId="1B0BEC55">
            <wp:simplePos x="0" y="0"/>
            <wp:positionH relativeFrom="margin">
              <wp:align>left</wp:align>
            </wp:positionH>
            <wp:positionV relativeFrom="margin">
              <wp:posOffset>4145280</wp:posOffset>
            </wp:positionV>
            <wp:extent cx="5731510" cy="3134360"/>
            <wp:effectExtent l="0" t="0" r="2540" b="8890"/>
            <wp:wrapSquare wrapText="bothSides"/>
            <wp:docPr id="101429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90391" name="Picture 10142903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4360"/>
                    </a:xfrm>
                    <a:prstGeom prst="rect">
                      <a:avLst/>
                    </a:prstGeom>
                  </pic:spPr>
                </pic:pic>
              </a:graphicData>
            </a:graphic>
          </wp:anchor>
        </w:drawing>
      </w:r>
      <w:r w:rsidR="00A20696" w:rsidRPr="00D10015">
        <w:rPr>
          <w:rFonts w:ascii="Times New Roman" w:eastAsia="Cambria"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9E6CBAE" w14:textId="7F9FBCCD" w:rsidR="00720545" w:rsidRPr="009B2F4A" w:rsidRDefault="00000000" w:rsidP="009B2F4A">
      <w:pPr>
        <w:shd w:val="clear" w:color="auto" w:fill="FFFFFF"/>
        <w:jc w:val="center"/>
        <w:rPr>
          <w:sz w:val="20"/>
          <w:szCs w:val="20"/>
          <w:highlight w:val="white"/>
        </w:rPr>
      </w:pPr>
      <w:r>
        <w:rPr>
          <w:sz w:val="20"/>
          <w:szCs w:val="20"/>
        </w:rPr>
        <w:t xml:space="preserve">                    </w:t>
      </w: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526F0F93" w14:textId="65890015" w:rsidR="00A20696" w:rsidRPr="00F31194" w:rsidRDefault="00642171"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 xml:space="preserve">1. </w:t>
      </w:r>
      <w:r w:rsidR="00A20696" w:rsidRPr="00F31194">
        <w:rPr>
          <w:rFonts w:ascii="Times New Roman" w:eastAsia="Arial" w:hAnsi="Times New Roman" w:cs="Times New Roman"/>
          <w:b/>
          <w:bCs/>
          <w:color w:val="000000"/>
          <w:sz w:val="24"/>
          <w:szCs w:val="24"/>
        </w:rPr>
        <w:t>Trends Over Time</w:t>
      </w:r>
      <w:r w:rsidR="00A20696" w:rsidRPr="00F31194">
        <w:rPr>
          <w:rFonts w:ascii="Times New Roman" w:eastAsia="Arial" w:hAnsi="Times New Roman" w:cs="Times New Roman"/>
          <w:color w:val="000000"/>
          <w:sz w:val="24"/>
          <w:szCs w:val="24"/>
        </w:rPr>
        <w:t>:</w:t>
      </w:r>
    </w:p>
    <w:p w14:paraId="5BFD80AD" w14:textId="1B0B4353" w:rsidR="00F31194" w:rsidRPr="00F31194" w:rsidRDefault="00F31194" w:rsidP="00F31194">
      <w:pPr>
        <w:pBdr>
          <w:top w:val="nil"/>
          <w:left w:val="nil"/>
          <w:bottom w:val="nil"/>
          <w:right w:val="nil"/>
          <w:between w:val="nil"/>
        </w:pBdr>
        <w:spacing w:after="200" w:line="240" w:lineRule="auto"/>
        <w:jc w:val="both"/>
        <w:rPr>
          <w:rFonts w:ascii="Times New Roman" w:eastAsia="Arial" w:hAnsi="Times New Roman" w:cs="Times New Roman"/>
          <w:b/>
          <w:bCs/>
          <w:color w:val="000000"/>
          <w:sz w:val="24"/>
          <w:szCs w:val="24"/>
        </w:rPr>
      </w:pPr>
      <w:r w:rsidRPr="00F31194">
        <w:rPr>
          <w:rFonts w:ascii="Times New Roman" w:eastAsia="Arial" w:hAnsi="Times New Roman" w:cs="Times New Roman"/>
          <w:b/>
          <w:bCs/>
          <w:color w:val="000000"/>
          <w:sz w:val="24"/>
          <w:szCs w:val="24"/>
        </w:rPr>
        <w:t>Global and Continental Energy Growth</w:t>
      </w:r>
    </w:p>
    <w:p w14:paraId="35C268F9" w14:textId="63E437CA"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lastRenderedPageBreak/>
        <w:t>Asia leads the world in total energy consumption, maintaining consistent growth across the 30-year period.</w:t>
      </w:r>
    </w:p>
    <w:p w14:paraId="7E41FB95" w14:textId="3BE91FCC"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China has emerged as the top consumer of power, surpassing traditional leaders like the United States since 2010.</w:t>
      </w:r>
    </w:p>
    <w:p w14:paraId="445D8F3F" w14:textId="72EDF3B7"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Hydroelectricity has seen a steady and significant rise, confirming its growing role as a renewable energy pillar.</w:t>
      </w:r>
    </w:p>
    <w:p w14:paraId="7697BE59" w14:textId="77777777" w:rsidR="00F31194" w:rsidRPr="00F31194" w:rsidRDefault="00F31194" w:rsidP="00F31194">
      <w:pPr>
        <w:pStyle w:val="ListParagraph"/>
        <w:numPr>
          <w:ilvl w:val="0"/>
          <w:numId w:val="10"/>
        </w:numPr>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Tidal energy, although relatively new, now comprises 42.95% of renewable energy share, showcasing a shift toward ocean-based solutions.</w:t>
      </w:r>
    </w:p>
    <w:p w14:paraId="5C02873F" w14:textId="77777777" w:rsidR="00F31194" w:rsidRPr="00F31194" w:rsidRDefault="00F31194" w:rsidP="00F31194">
      <w:pPr>
        <w:pStyle w:val="ListParagraph"/>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p>
    <w:p w14:paraId="07FBAC7E" w14:textId="18A3B925" w:rsidR="00F31194" w:rsidRPr="00F31194" w:rsidRDefault="00F31194" w:rsidP="00F31194">
      <w:pPr>
        <w:pStyle w:val="ListParagraph"/>
        <w:pBdr>
          <w:top w:val="nil"/>
          <w:left w:val="nil"/>
          <w:bottom w:val="nil"/>
          <w:right w:val="nil"/>
          <w:between w:val="nil"/>
        </w:pBdr>
        <w:spacing w:after="200" w:line="240" w:lineRule="auto"/>
        <w:ind w:left="57"/>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Renewable Energy Evolution (1990–2017)</w:t>
      </w:r>
    </w:p>
    <w:p w14:paraId="0607DAD8" w14:textId="77777777" w:rsidR="00F31194" w:rsidRPr="00F31194" w:rsidRDefault="00F31194" w:rsidP="00F31194">
      <w:pPr>
        <w:pStyle w:val="ListParagraph"/>
        <w:pBdr>
          <w:top w:val="nil"/>
          <w:left w:val="nil"/>
          <w:bottom w:val="nil"/>
          <w:right w:val="nil"/>
          <w:between w:val="nil"/>
        </w:pBdr>
        <w:spacing w:after="200" w:line="240" w:lineRule="auto"/>
        <w:ind w:left="709"/>
        <w:jc w:val="both"/>
        <w:rPr>
          <w:rFonts w:ascii="Times New Roman" w:eastAsia="Arial" w:hAnsi="Times New Roman" w:cs="Times New Roman"/>
          <w:color w:val="000000"/>
          <w:sz w:val="24"/>
          <w:szCs w:val="24"/>
        </w:rPr>
      </w:pPr>
    </w:p>
    <w:p w14:paraId="7B639D14" w14:textId="77777777" w:rsidR="00F31194" w:rsidRPr="00F31194" w:rsidRDefault="00F31194" w:rsidP="00F31194">
      <w:pPr>
        <w:pStyle w:val="ListParagraph"/>
        <w:numPr>
          <w:ilvl w:val="0"/>
          <w:numId w:val="12"/>
        </w:numPr>
        <w:pBdr>
          <w:top w:val="nil"/>
          <w:left w:val="nil"/>
          <w:bottom w:val="nil"/>
          <w:right w:val="nil"/>
          <w:between w:val="nil"/>
        </w:pBdr>
        <w:spacing w:after="200"/>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Biofuel increased from 3.88 TWh to 1,127.31 TWh, while Geothermal ranged from 36.42 TWh onwards, indicating a positive correlation between them.</w:t>
      </w:r>
    </w:p>
    <w:p w14:paraId="09B54BDA" w14:textId="7FF3C27E" w:rsidR="00A20696" w:rsidRPr="00F31194" w:rsidRDefault="00F31194" w:rsidP="00F31194">
      <w:pPr>
        <w:pStyle w:val="ListParagraph"/>
        <w:numPr>
          <w:ilvl w:val="0"/>
          <w:numId w:val="12"/>
        </w:numPr>
        <w:pBdr>
          <w:top w:val="nil"/>
          <w:left w:val="nil"/>
          <w:bottom w:val="nil"/>
          <w:right w:val="nil"/>
          <w:between w:val="nil"/>
        </w:pBdr>
        <w:spacing w:after="200"/>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Renewable sources like Solar PV and Wind have accelerated post-2010, driven by falling costs and global climate targets.</w:t>
      </w:r>
    </w:p>
    <w:p w14:paraId="5AC1E377" w14:textId="77777777" w:rsidR="00F31194" w:rsidRPr="00F31194" w:rsidRDefault="00F31194" w:rsidP="00F31194">
      <w:pPr>
        <w:pStyle w:val="ListParagraph"/>
        <w:pBdr>
          <w:top w:val="nil"/>
          <w:left w:val="nil"/>
          <w:bottom w:val="nil"/>
          <w:right w:val="nil"/>
          <w:between w:val="nil"/>
        </w:pBdr>
        <w:spacing w:after="200"/>
        <w:jc w:val="both"/>
        <w:rPr>
          <w:rFonts w:ascii="Times New Roman" w:eastAsia="Arial" w:hAnsi="Times New Roman" w:cs="Times New Roman"/>
          <w:color w:val="000000"/>
          <w:sz w:val="24"/>
          <w:szCs w:val="24"/>
        </w:rPr>
      </w:pPr>
    </w:p>
    <w:p w14:paraId="35DF7E91" w14:textId="77777777" w:rsidR="00F31194" w:rsidRPr="00F31194" w:rsidRDefault="00642171"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 xml:space="preserve">2. </w:t>
      </w:r>
      <w:r w:rsidR="00A20696" w:rsidRPr="00F31194">
        <w:rPr>
          <w:rFonts w:ascii="Times New Roman" w:eastAsia="Arial" w:hAnsi="Times New Roman" w:cs="Times New Roman"/>
          <w:b/>
          <w:bCs/>
          <w:color w:val="000000"/>
          <w:sz w:val="24"/>
          <w:szCs w:val="24"/>
        </w:rPr>
        <w:t>Performance Comparisons</w:t>
      </w:r>
      <w:r w:rsidR="00A20696" w:rsidRPr="00F31194">
        <w:rPr>
          <w:rFonts w:ascii="Times New Roman" w:eastAsia="Arial" w:hAnsi="Times New Roman" w:cs="Times New Roman"/>
          <w:color w:val="000000"/>
          <w:sz w:val="24"/>
          <w:szCs w:val="24"/>
        </w:rPr>
        <w:t>:</w:t>
      </w:r>
    </w:p>
    <w:p w14:paraId="076327CA" w14:textId="0122FA0D" w:rsidR="00F31194" w:rsidRPr="00F31194" w:rsidRDefault="00F31194"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Top 20 Countries:</w:t>
      </w:r>
    </w:p>
    <w:p w14:paraId="01FA17E0" w14:textId="77777777" w:rsidR="00F31194" w:rsidRPr="00F31194" w:rsidRDefault="00F31194" w:rsidP="00F31194">
      <w:pPr>
        <w:numPr>
          <w:ilvl w:val="0"/>
          <w:numId w:val="13"/>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Total energy (TWh) per country ranges from as low as 12.40 TWh to 1,819.94 TWh, showing a significant performance gap.</w:t>
      </w:r>
    </w:p>
    <w:p w14:paraId="1ED0B4C8" w14:textId="77777777" w:rsidR="00F31194" w:rsidRDefault="00F31194" w:rsidP="00F31194">
      <w:pPr>
        <w:numPr>
          <w:ilvl w:val="0"/>
          <w:numId w:val="13"/>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The United States, despite declining slightly in recent years, remains a top contributor in both renewable and non-renewable sectors.</w:t>
      </w:r>
    </w:p>
    <w:p w14:paraId="7A6C48B1" w14:textId="640E9756" w:rsidR="00F31194" w:rsidRPr="00F31194" w:rsidRDefault="00F31194" w:rsidP="00F31194">
      <w:p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b/>
          <w:bCs/>
          <w:color w:val="000000"/>
          <w:sz w:val="24"/>
          <w:szCs w:val="24"/>
        </w:rPr>
        <w:t>Continent-Level Consumption:</w:t>
      </w:r>
    </w:p>
    <w:p w14:paraId="272DB4E0" w14:textId="77777777" w:rsidR="00F31194" w:rsidRPr="00F31194" w:rsidRDefault="00F31194" w:rsidP="00F31194">
      <w:pPr>
        <w:numPr>
          <w:ilvl w:val="0"/>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Africa has shown modest but consistent growth in energy consumption. Among African nations:</w:t>
      </w:r>
    </w:p>
    <w:p w14:paraId="1F80B18B"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South Africa and Egypt lead the region.</w:t>
      </w:r>
    </w:p>
    <w:p w14:paraId="2727F5DE"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Nigeria and Algeria have shown gradual upward trends post-2005.</w:t>
      </w:r>
    </w:p>
    <w:p w14:paraId="43100D5B" w14:textId="77777777" w:rsidR="00F31194" w:rsidRPr="00F31194" w:rsidRDefault="00F31194" w:rsidP="00F31194">
      <w:pPr>
        <w:numPr>
          <w:ilvl w:val="0"/>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OECD, BRICS, and CIS regions differ sharply:</w:t>
      </w:r>
    </w:p>
    <w:p w14:paraId="59DD2F61"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OECD: Highest average consumption.</w:t>
      </w:r>
    </w:p>
    <w:p w14:paraId="156F757B"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BRICS: Rapidly growing, led by China and India.</w:t>
      </w:r>
    </w:p>
    <w:p w14:paraId="6FFAAFF8" w14:textId="77777777" w:rsidR="00F31194" w:rsidRPr="00F31194" w:rsidRDefault="00F31194" w:rsidP="00F31194">
      <w:pPr>
        <w:numPr>
          <w:ilvl w:val="1"/>
          <w:numId w:val="14"/>
        </w:numPr>
        <w:pBdr>
          <w:top w:val="nil"/>
          <w:left w:val="nil"/>
          <w:bottom w:val="nil"/>
          <w:right w:val="nil"/>
          <w:between w:val="nil"/>
        </w:pBdr>
        <w:spacing w:after="200" w:line="240" w:lineRule="auto"/>
        <w:jc w:val="both"/>
        <w:rPr>
          <w:rFonts w:ascii="Times New Roman" w:eastAsia="Arial" w:hAnsi="Times New Roman" w:cs="Times New Roman"/>
          <w:color w:val="000000"/>
          <w:sz w:val="24"/>
          <w:szCs w:val="24"/>
        </w:rPr>
      </w:pPr>
      <w:r w:rsidRPr="00F31194">
        <w:rPr>
          <w:rFonts w:ascii="Times New Roman" w:eastAsia="Arial" w:hAnsi="Times New Roman" w:cs="Times New Roman"/>
          <w:color w:val="000000"/>
          <w:sz w:val="24"/>
          <w:szCs w:val="24"/>
        </w:rPr>
        <w:t>CIS: Lowest, with relatively stable trends.</w:t>
      </w:r>
    </w:p>
    <w:p w14:paraId="339A0FE3" w14:textId="5A9488B3" w:rsidR="00A20696" w:rsidRDefault="00A20696" w:rsidP="00F31194">
      <w:pPr>
        <w:pBdr>
          <w:top w:val="nil"/>
          <w:left w:val="nil"/>
          <w:bottom w:val="nil"/>
          <w:right w:val="nil"/>
          <w:between w:val="nil"/>
        </w:pBdr>
        <w:spacing w:after="200" w:line="240" w:lineRule="auto"/>
        <w:ind w:left="720"/>
        <w:rPr>
          <w:rFonts w:ascii="Arial" w:eastAsia="Arial" w:hAnsi="Arial" w:cs="Arial"/>
          <w:color w:val="000000"/>
          <w:sz w:val="20"/>
          <w:szCs w:val="20"/>
        </w:rPr>
      </w:pPr>
    </w:p>
    <w:p w14:paraId="09642414" w14:textId="433E7611" w:rsidR="00AF7735" w:rsidRPr="00AF7735" w:rsidRDefault="00642171" w:rsidP="00AF77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D10015" w:rsidRPr="00D10015">
        <w:rPr>
          <w:rFonts w:ascii="Times New Roman" w:eastAsia="Times New Roman" w:hAnsi="Times New Roman" w:cs="Times New Roman"/>
          <w:b/>
          <w:bCs/>
          <w:sz w:val="24"/>
          <w:szCs w:val="24"/>
        </w:rPr>
        <w:t>Potential for Segmentation &amp; Strategy</w:t>
      </w:r>
      <w:r w:rsidR="00AF7735" w:rsidRPr="00AF7735">
        <w:rPr>
          <w:rFonts w:ascii="Times New Roman" w:eastAsia="Times New Roman" w:hAnsi="Times New Roman" w:cs="Times New Roman"/>
          <w:sz w:val="24"/>
          <w:szCs w:val="24"/>
        </w:rPr>
        <w:t>:</w:t>
      </w:r>
    </w:p>
    <w:p w14:paraId="65D2CC06" w14:textId="77777777" w:rsidR="00D10015" w:rsidRPr="00D10015" w:rsidRDefault="00D10015" w:rsidP="00D10015">
      <w:p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Though demographic data is not available in this dataset, regional energy performance can act as a segmentation proxy:</w:t>
      </w:r>
    </w:p>
    <w:p w14:paraId="62E9E5C2" w14:textId="77777777" w:rsidR="00D10015" w:rsidRPr="00D10015" w:rsidRDefault="00D10015" w:rsidP="00D100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High-Performing Regions (Asia, North America):</w:t>
      </w:r>
    </w:p>
    <w:p w14:paraId="42202CAD" w14:textId="77777777" w:rsidR="00D10015" w:rsidRPr="00D10015" w:rsidRDefault="00D10015" w:rsidP="00D10015">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These regions can focus on energy optimization and grid modernization.</w:t>
      </w:r>
    </w:p>
    <w:p w14:paraId="675EC395" w14:textId="77777777" w:rsidR="00D10015" w:rsidRPr="00D10015" w:rsidRDefault="00D10015" w:rsidP="00D100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lastRenderedPageBreak/>
        <w:t>Emerging Regions (Africa, Latin America):</w:t>
      </w:r>
    </w:p>
    <w:p w14:paraId="39822A0F" w14:textId="77777777" w:rsidR="00D10015" w:rsidRPr="00D10015" w:rsidRDefault="00D10015" w:rsidP="00D10015">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Focus on energy access and renewable adoption strategies.</w:t>
      </w:r>
    </w:p>
    <w:p w14:paraId="4EAD1C93" w14:textId="00DF875C" w:rsidR="00A20696" w:rsidRPr="00A20696" w:rsidRDefault="00642171" w:rsidP="00A206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A20696" w:rsidRPr="00A20696">
        <w:rPr>
          <w:rFonts w:ascii="Times New Roman" w:eastAsia="Times New Roman" w:hAnsi="Times New Roman" w:cs="Times New Roman"/>
          <w:b/>
          <w:bCs/>
          <w:sz w:val="24"/>
          <w:szCs w:val="24"/>
        </w:rPr>
        <w:t>Goal Achievement</w:t>
      </w:r>
      <w:r w:rsidR="00A20696" w:rsidRPr="00A20696">
        <w:rPr>
          <w:rFonts w:ascii="Times New Roman" w:eastAsia="Times New Roman" w:hAnsi="Times New Roman" w:cs="Times New Roman"/>
          <w:sz w:val="24"/>
          <w:szCs w:val="24"/>
        </w:rPr>
        <w:t>:</w:t>
      </w:r>
      <w:r w:rsidR="00D10015">
        <w:t xml:space="preserve"> </w:t>
      </w:r>
      <w:r w:rsidR="00D10015" w:rsidRPr="00D10015">
        <w:rPr>
          <w:rFonts w:ascii="Times New Roman" w:eastAsia="Times New Roman" w:hAnsi="Times New Roman" w:cs="Times New Roman"/>
          <w:b/>
          <w:bCs/>
          <w:sz w:val="24"/>
          <w:szCs w:val="24"/>
        </w:rPr>
        <w:t>Renewable vs Non-Renewable</w:t>
      </w:r>
    </w:p>
    <w:p w14:paraId="20E70FC0" w14:textId="77777777" w:rsidR="00D10015" w:rsidRPr="00D10015" w:rsidRDefault="00D10015" w:rsidP="00D10015">
      <w:pPr>
        <w:spacing w:before="100" w:beforeAutospacing="1" w:after="100" w:afterAutospacing="1" w:line="240" w:lineRule="auto"/>
        <w:rPr>
          <w:rFonts w:ascii="Times New Roman" w:eastAsia="Times New Roman" w:hAnsi="Times New Roman" w:cs="Times New Roman"/>
          <w:b/>
          <w:bCs/>
          <w:sz w:val="24"/>
          <w:szCs w:val="24"/>
        </w:rPr>
      </w:pPr>
      <w:r w:rsidRPr="00D10015">
        <w:rPr>
          <w:rFonts w:ascii="Times New Roman" w:eastAsia="Times New Roman" w:hAnsi="Times New Roman" w:cs="Times New Roman"/>
          <w:b/>
          <w:bCs/>
          <w:sz w:val="24"/>
          <w:szCs w:val="24"/>
        </w:rPr>
        <w:t>Current Split</w:t>
      </w:r>
    </w:p>
    <w:p w14:paraId="5B53EB40" w14:textId="77777777" w:rsidR="00D10015" w:rsidRPr="00D10015" w:rsidRDefault="00D10015" w:rsidP="00D1001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Coal leads non-renewables with 50.72% share.</w:t>
      </w:r>
    </w:p>
    <w:p w14:paraId="3D74E06D" w14:textId="77777777" w:rsidR="00D10015" w:rsidRPr="00D10015" w:rsidRDefault="00D10015" w:rsidP="00D1001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Hydro dominates renewables with 42.95%.</w:t>
      </w:r>
    </w:p>
    <w:p w14:paraId="47D277D6" w14:textId="77777777" w:rsidR="00D10015" w:rsidRDefault="00D10015" w:rsidP="00D10015">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D10015">
        <w:rPr>
          <w:rFonts w:ascii="Times New Roman" w:eastAsia="Times New Roman" w:hAnsi="Times New Roman" w:cs="Times New Roman"/>
          <w:sz w:val="24"/>
          <w:szCs w:val="24"/>
        </w:rPr>
        <w:t>Overall, renewables are growing, but non-renewables still form a majority of global energy mix.</w:t>
      </w:r>
    </w:p>
    <w:p w14:paraId="6760AB25" w14:textId="77777777" w:rsidR="00D10015" w:rsidRPr="00D10015" w:rsidRDefault="00D10015" w:rsidP="00D10015">
      <w:pPr>
        <w:pStyle w:val="Heading3"/>
        <w:rPr>
          <w:rFonts w:ascii="Times New Roman" w:hAnsi="Times New Roman" w:cs="Times New Roman"/>
          <w:b w:val="0"/>
          <w:bCs/>
          <w:sz w:val="24"/>
          <w:szCs w:val="24"/>
        </w:rPr>
      </w:pPr>
      <w:r w:rsidRPr="00D10015">
        <w:rPr>
          <w:rStyle w:val="Strong"/>
          <w:rFonts w:ascii="Times New Roman" w:hAnsi="Times New Roman" w:cs="Times New Roman"/>
          <w:b/>
          <w:bCs w:val="0"/>
          <w:sz w:val="24"/>
          <w:szCs w:val="24"/>
        </w:rPr>
        <w:t>Actionable KPIs</w:t>
      </w:r>
    </w:p>
    <w:p w14:paraId="029293CB" w14:textId="77777777" w:rsidR="00D10015" w:rsidRPr="00D10015" w:rsidRDefault="00D10015" w:rsidP="00D10015">
      <w:pPr>
        <w:pStyle w:val="NormalWeb"/>
        <w:numPr>
          <w:ilvl w:val="0"/>
          <w:numId w:val="17"/>
        </w:numPr>
        <w:rPr>
          <w:bCs/>
        </w:rPr>
      </w:pPr>
      <w:r w:rsidRPr="00D10015">
        <w:rPr>
          <w:bCs/>
        </w:rPr>
        <w:t xml:space="preserve">Countries aiming for </w:t>
      </w:r>
      <w:r w:rsidRPr="00D10015">
        <w:rPr>
          <w:rStyle w:val="Strong"/>
          <w:b w:val="0"/>
        </w:rPr>
        <w:t>net-zero emissions</w:t>
      </w:r>
      <w:r w:rsidRPr="00D10015">
        <w:rPr>
          <w:bCs/>
        </w:rPr>
        <w:t xml:space="preserve"> must focus on:</w:t>
      </w:r>
    </w:p>
    <w:p w14:paraId="4C3C950F" w14:textId="77777777" w:rsidR="00D10015" w:rsidRPr="00D10015" w:rsidRDefault="00D10015" w:rsidP="00D10015">
      <w:pPr>
        <w:pStyle w:val="NormalWeb"/>
        <w:numPr>
          <w:ilvl w:val="1"/>
          <w:numId w:val="17"/>
        </w:numPr>
        <w:rPr>
          <w:bCs/>
        </w:rPr>
      </w:pPr>
      <w:r w:rsidRPr="00D10015">
        <w:rPr>
          <w:rStyle w:val="Strong"/>
          <w:b w:val="0"/>
        </w:rPr>
        <w:t>Reducing coal and oil</w:t>
      </w:r>
      <w:r w:rsidRPr="00D10015">
        <w:rPr>
          <w:bCs/>
        </w:rPr>
        <w:t xml:space="preserve"> dependency.</w:t>
      </w:r>
    </w:p>
    <w:p w14:paraId="422222D0" w14:textId="3D2BDCC6" w:rsidR="00AF7735" w:rsidRDefault="00D10015" w:rsidP="00D10015">
      <w:pPr>
        <w:pStyle w:val="NormalWeb"/>
        <w:numPr>
          <w:ilvl w:val="1"/>
          <w:numId w:val="17"/>
        </w:numPr>
        <w:rPr>
          <w:bCs/>
        </w:rPr>
      </w:pPr>
      <w:r w:rsidRPr="00D10015">
        <w:rPr>
          <w:rStyle w:val="Strong"/>
          <w:b w:val="0"/>
        </w:rPr>
        <w:t>Boosting wind, solar, and geothermal</w:t>
      </w:r>
      <w:r w:rsidRPr="00D10015">
        <w:rPr>
          <w:bCs/>
        </w:rPr>
        <w:t xml:space="preserve"> development.</w:t>
      </w:r>
    </w:p>
    <w:p w14:paraId="435532A1" w14:textId="16A2AFC3" w:rsidR="00D10015" w:rsidRDefault="00D10015" w:rsidP="00D10015">
      <w:pPr>
        <w:pStyle w:val="NormalWeb"/>
        <w:rPr>
          <w:b/>
          <w:bCs/>
        </w:rPr>
      </w:pPr>
      <w:r w:rsidRPr="00D10015">
        <w:rPr>
          <w:b/>
          <w:bCs/>
        </w:rPr>
        <w:t>Key Insights:</w:t>
      </w:r>
    </w:p>
    <w:tbl>
      <w:tblPr>
        <w:tblW w:w="87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1"/>
        <w:gridCol w:w="5658"/>
      </w:tblGrid>
      <w:tr w:rsidR="00D10015" w:rsidRPr="00D10015" w14:paraId="7A89ACA3" w14:textId="77777777" w:rsidTr="00D10015">
        <w:trPr>
          <w:trHeight w:val="362"/>
          <w:tblHeader/>
          <w:tblCellSpacing w:w="15" w:type="dxa"/>
        </w:trPr>
        <w:tc>
          <w:tcPr>
            <w:tcW w:w="0" w:type="auto"/>
            <w:vAlign w:val="center"/>
            <w:hideMark/>
          </w:tcPr>
          <w:p w14:paraId="08935363" w14:textId="77777777" w:rsidR="00D10015" w:rsidRPr="00D10015" w:rsidRDefault="00D10015" w:rsidP="00D10015">
            <w:pPr>
              <w:pStyle w:val="NormalWeb"/>
              <w:rPr>
                <w:b/>
                <w:bCs/>
              </w:rPr>
            </w:pPr>
            <w:r w:rsidRPr="00D10015">
              <w:rPr>
                <w:b/>
                <w:bCs/>
              </w:rPr>
              <w:t>Observation</w:t>
            </w:r>
          </w:p>
        </w:tc>
        <w:tc>
          <w:tcPr>
            <w:tcW w:w="0" w:type="auto"/>
            <w:vAlign w:val="center"/>
            <w:hideMark/>
          </w:tcPr>
          <w:p w14:paraId="16F2C559" w14:textId="77777777" w:rsidR="00D10015" w:rsidRPr="00D10015" w:rsidRDefault="00D10015" w:rsidP="00D10015">
            <w:pPr>
              <w:pStyle w:val="NormalWeb"/>
              <w:rPr>
                <w:b/>
                <w:bCs/>
              </w:rPr>
            </w:pPr>
            <w:r w:rsidRPr="00D10015">
              <w:rPr>
                <w:b/>
                <w:bCs/>
              </w:rPr>
              <w:t>Insight</w:t>
            </w:r>
          </w:p>
        </w:tc>
      </w:tr>
      <w:tr w:rsidR="00D10015" w:rsidRPr="00D10015" w14:paraId="195E89E7" w14:textId="77777777" w:rsidTr="00D10015">
        <w:trPr>
          <w:trHeight w:val="347"/>
          <w:tblCellSpacing w:w="15" w:type="dxa"/>
        </w:trPr>
        <w:tc>
          <w:tcPr>
            <w:tcW w:w="0" w:type="auto"/>
            <w:vAlign w:val="center"/>
            <w:hideMark/>
          </w:tcPr>
          <w:p w14:paraId="0EB0EA18" w14:textId="77777777" w:rsidR="00D10015" w:rsidRPr="00D10015" w:rsidRDefault="00D10015" w:rsidP="00D10015">
            <w:pPr>
              <w:pStyle w:val="NormalWeb"/>
            </w:pPr>
            <w:r w:rsidRPr="00D10015">
              <w:t>Top Consumer</w:t>
            </w:r>
          </w:p>
        </w:tc>
        <w:tc>
          <w:tcPr>
            <w:tcW w:w="0" w:type="auto"/>
            <w:vAlign w:val="center"/>
            <w:hideMark/>
          </w:tcPr>
          <w:p w14:paraId="34115E61" w14:textId="77777777" w:rsidR="00D10015" w:rsidRPr="00D10015" w:rsidRDefault="00D10015" w:rsidP="00D10015">
            <w:pPr>
              <w:pStyle w:val="NormalWeb"/>
            </w:pPr>
            <w:r w:rsidRPr="00D10015">
              <w:t>China (Rapid rise post-2005)</w:t>
            </w:r>
          </w:p>
        </w:tc>
      </w:tr>
      <w:tr w:rsidR="00D10015" w:rsidRPr="00D10015" w14:paraId="3FE0FB39" w14:textId="77777777" w:rsidTr="00D10015">
        <w:trPr>
          <w:trHeight w:val="362"/>
          <w:tblCellSpacing w:w="15" w:type="dxa"/>
        </w:trPr>
        <w:tc>
          <w:tcPr>
            <w:tcW w:w="0" w:type="auto"/>
            <w:vAlign w:val="center"/>
            <w:hideMark/>
          </w:tcPr>
          <w:p w14:paraId="5ADD3483" w14:textId="77777777" w:rsidR="00D10015" w:rsidRPr="00D10015" w:rsidRDefault="00D10015" w:rsidP="00D10015">
            <w:pPr>
              <w:pStyle w:val="NormalWeb"/>
            </w:pPr>
            <w:r w:rsidRPr="00D10015">
              <w:t>Top Continent</w:t>
            </w:r>
          </w:p>
        </w:tc>
        <w:tc>
          <w:tcPr>
            <w:tcW w:w="0" w:type="auto"/>
            <w:vAlign w:val="center"/>
            <w:hideMark/>
          </w:tcPr>
          <w:p w14:paraId="73347E5F" w14:textId="77777777" w:rsidR="00D10015" w:rsidRPr="00D10015" w:rsidRDefault="00D10015" w:rsidP="00D10015">
            <w:pPr>
              <w:pStyle w:val="NormalWeb"/>
            </w:pPr>
            <w:r w:rsidRPr="00D10015">
              <w:t>Asia</w:t>
            </w:r>
          </w:p>
        </w:tc>
      </w:tr>
      <w:tr w:rsidR="00D10015" w:rsidRPr="00D10015" w14:paraId="54FD56CA" w14:textId="77777777" w:rsidTr="00D10015">
        <w:trPr>
          <w:trHeight w:val="362"/>
          <w:tblCellSpacing w:w="15" w:type="dxa"/>
        </w:trPr>
        <w:tc>
          <w:tcPr>
            <w:tcW w:w="0" w:type="auto"/>
            <w:vAlign w:val="center"/>
            <w:hideMark/>
          </w:tcPr>
          <w:p w14:paraId="35128529" w14:textId="77777777" w:rsidR="00D10015" w:rsidRPr="00D10015" w:rsidRDefault="00D10015" w:rsidP="00D10015">
            <w:pPr>
              <w:pStyle w:val="NormalWeb"/>
            </w:pPr>
            <w:r w:rsidRPr="00D10015">
              <w:t>Top Renewable</w:t>
            </w:r>
          </w:p>
        </w:tc>
        <w:tc>
          <w:tcPr>
            <w:tcW w:w="0" w:type="auto"/>
            <w:vAlign w:val="center"/>
            <w:hideMark/>
          </w:tcPr>
          <w:p w14:paraId="228B4C5D" w14:textId="77777777" w:rsidR="00D10015" w:rsidRPr="00D10015" w:rsidRDefault="00D10015" w:rsidP="00D10015">
            <w:pPr>
              <w:pStyle w:val="NormalWeb"/>
            </w:pPr>
            <w:r w:rsidRPr="00D10015">
              <w:t>Hydro (42.95% of total renewable mix)</w:t>
            </w:r>
          </w:p>
        </w:tc>
      </w:tr>
      <w:tr w:rsidR="00D10015" w:rsidRPr="00D10015" w14:paraId="2C5F2F94" w14:textId="77777777" w:rsidTr="00D10015">
        <w:trPr>
          <w:trHeight w:val="347"/>
          <w:tblCellSpacing w:w="15" w:type="dxa"/>
        </w:trPr>
        <w:tc>
          <w:tcPr>
            <w:tcW w:w="0" w:type="auto"/>
            <w:vAlign w:val="center"/>
            <w:hideMark/>
          </w:tcPr>
          <w:p w14:paraId="15F75668" w14:textId="77777777" w:rsidR="00D10015" w:rsidRPr="00D10015" w:rsidRDefault="00D10015" w:rsidP="00D10015">
            <w:pPr>
              <w:pStyle w:val="NormalWeb"/>
            </w:pPr>
            <w:r w:rsidRPr="00D10015">
              <w:t>Top Non-Renewable</w:t>
            </w:r>
          </w:p>
        </w:tc>
        <w:tc>
          <w:tcPr>
            <w:tcW w:w="0" w:type="auto"/>
            <w:vAlign w:val="center"/>
            <w:hideMark/>
          </w:tcPr>
          <w:p w14:paraId="4CBA9126" w14:textId="77777777" w:rsidR="00D10015" w:rsidRPr="00D10015" w:rsidRDefault="00D10015" w:rsidP="00D10015">
            <w:pPr>
              <w:pStyle w:val="NormalWeb"/>
            </w:pPr>
            <w:r w:rsidRPr="00D10015">
              <w:t>Coal (50.72%)</w:t>
            </w:r>
          </w:p>
        </w:tc>
      </w:tr>
      <w:tr w:rsidR="00D10015" w:rsidRPr="00D10015" w14:paraId="75375649" w14:textId="77777777" w:rsidTr="00D10015">
        <w:trPr>
          <w:trHeight w:val="362"/>
          <w:tblCellSpacing w:w="15" w:type="dxa"/>
        </w:trPr>
        <w:tc>
          <w:tcPr>
            <w:tcW w:w="0" w:type="auto"/>
            <w:vAlign w:val="center"/>
            <w:hideMark/>
          </w:tcPr>
          <w:p w14:paraId="5AB11343" w14:textId="77777777" w:rsidR="00D10015" w:rsidRPr="00D10015" w:rsidRDefault="00D10015" w:rsidP="00D10015">
            <w:pPr>
              <w:pStyle w:val="NormalWeb"/>
            </w:pPr>
            <w:r w:rsidRPr="00D10015">
              <w:t>Emerging Renewable</w:t>
            </w:r>
          </w:p>
        </w:tc>
        <w:tc>
          <w:tcPr>
            <w:tcW w:w="0" w:type="auto"/>
            <w:vAlign w:val="center"/>
            <w:hideMark/>
          </w:tcPr>
          <w:p w14:paraId="563CCAA7" w14:textId="77777777" w:rsidR="00D10015" w:rsidRPr="00D10015" w:rsidRDefault="00D10015" w:rsidP="00D10015">
            <w:pPr>
              <w:pStyle w:val="NormalWeb"/>
            </w:pPr>
            <w:r w:rsidRPr="00D10015">
              <w:t>Tidal energy gaining share</w:t>
            </w:r>
          </w:p>
        </w:tc>
      </w:tr>
      <w:tr w:rsidR="00D10015" w:rsidRPr="00D10015" w14:paraId="1C158D6A" w14:textId="77777777" w:rsidTr="00D10015">
        <w:trPr>
          <w:trHeight w:val="362"/>
          <w:tblCellSpacing w:w="15" w:type="dxa"/>
        </w:trPr>
        <w:tc>
          <w:tcPr>
            <w:tcW w:w="0" w:type="auto"/>
            <w:vAlign w:val="center"/>
            <w:hideMark/>
          </w:tcPr>
          <w:p w14:paraId="66F624C1" w14:textId="77777777" w:rsidR="00D10015" w:rsidRPr="00D10015" w:rsidRDefault="00D10015" w:rsidP="00D10015">
            <w:pPr>
              <w:pStyle w:val="NormalWeb"/>
            </w:pPr>
            <w:r w:rsidRPr="00D10015">
              <w:t>African Leaders</w:t>
            </w:r>
          </w:p>
        </w:tc>
        <w:tc>
          <w:tcPr>
            <w:tcW w:w="0" w:type="auto"/>
            <w:vAlign w:val="center"/>
            <w:hideMark/>
          </w:tcPr>
          <w:p w14:paraId="0BECF23C" w14:textId="77777777" w:rsidR="00D10015" w:rsidRPr="00D10015" w:rsidRDefault="00D10015" w:rsidP="00D10015">
            <w:pPr>
              <w:pStyle w:val="NormalWeb"/>
            </w:pPr>
            <w:r w:rsidRPr="00D10015">
              <w:t>South Africa, Egypt</w:t>
            </w:r>
          </w:p>
        </w:tc>
      </w:tr>
      <w:tr w:rsidR="00D10015" w:rsidRPr="00D10015" w14:paraId="2473FE76" w14:textId="77777777" w:rsidTr="00D10015">
        <w:trPr>
          <w:trHeight w:val="347"/>
          <w:tblCellSpacing w:w="15" w:type="dxa"/>
        </w:trPr>
        <w:tc>
          <w:tcPr>
            <w:tcW w:w="0" w:type="auto"/>
            <w:vAlign w:val="center"/>
            <w:hideMark/>
          </w:tcPr>
          <w:p w14:paraId="01DED608" w14:textId="77777777" w:rsidR="00D10015" w:rsidRPr="00D10015" w:rsidRDefault="00D10015" w:rsidP="00D10015">
            <w:pPr>
              <w:pStyle w:val="NormalWeb"/>
            </w:pPr>
            <w:r w:rsidRPr="00D10015">
              <w:t>BRICS Growth</w:t>
            </w:r>
          </w:p>
        </w:tc>
        <w:tc>
          <w:tcPr>
            <w:tcW w:w="0" w:type="auto"/>
            <w:vAlign w:val="center"/>
            <w:hideMark/>
          </w:tcPr>
          <w:p w14:paraId="5CC59F10" w14:textId="77777777" w:rsidR="00D10015" w:rsidRPr="00D10015" w:rsidRDefault="00D10015" w:rsidP="00D10015">
            <w:pPr>
              <w:pStyle w:val="NormalWeb"/>
            </w:pPr>
            <w:r w:rsidRPr="00D10015">
              <w:t>High, driven by China &amp; India</w:t>
            </w:r>
          </w:p>
        </w:tc>
      </w:tr>
      <w:tr w:rsidR="00D10015" w:rsidRPr="00D10015" w14:paraId="37E831F1" w14:textId="77777777" w:rsidTr="00D10015">
        <w:trPr>
          <w:trHeight w:val="362"/>
          <w:tblCellSpacing w:w="15" w:type="dxa"/>
        </w:trPr>
        <w:tc>
          <w:tcPr>
            <w:tcW w:w="0" w:type="auto"/>
            <w:vAlign w:val="center"/>
            <w:hideMark/>
          </w:tcPr>
          <w:p w14:paraId="10F5B097" w14:textId="77777777" w:rsidR="00D10015" w:rsidRPr="00D10015" w:rsidRDefault="00D10015" w:rsidP="00D10015">
            <w:pPr>
              <w:pStyle w:val="NormalWeb"/>
            </w:pPr>
            <w:r w:rsidRPr="00D10015">
              <w:t>OECD Consumption</w:t>
            </w:r>
          </w:p>
        </w:tc>
        <w:tc>
          <w:tcPr>
            <w:tcW w:w="0" w:type="auto"/>
            <w:vAlign w:val="center"/>
            <w:hideMark/>
          </w:tcPr>
          <w:p w14:paraId="3C843B6A" w14:textId="77777777" w:rsidR="00D10015" w:rsidRPr="00D10015" w:rsidRDefault="00D10015" w:rsidP="00D10015">
            <w:pPr>
              <w:pStyle w:val="NormalWeb"/>
            </w:pPr>
            <w:r w:rsidRPr="00D10015">
              <w:t>Still the highest among groups</w:t>
            </w:r>
          </w:p>
        </w:tc>
      </w:tr>
    </w:tbl>
    <w:p w14:paraId="232AA508" w14:textId="245E3832" w:rsidR="00D10015" w:rsidRDefault="00D10015" w:rsidP="00D10015">
      <w:pPr>
        <w:pStyle w:val="NormalWeb"/>
        <w:rPr>
          <w:b/>
          <w:bCs/>
        </w:rPr>
      </w:pPr>
      <w:r w:rsidRPr="00D10015">
        <w:rPr>
          <w:b/>
          <w:bCs/>
        </w:rPr>
        <w:t>Recommendations for Decision Makers</w:t>
      </w:r>
      <w:r>
        <w:rPr>
          <w:b/>
          <w:bCs/>
        </w:rPr>
        <w:t>:</w:t>
      </w:r>
    </w:p>
    <w:p w14:paraId="6CA498CC" w14:textId="1FFFD0A7" w:rsidR="00D10015" w:rsidRPr="00D10015" w:rsidRDefault="00D10015" w:rsidP="00D10015">
      <w:pPr>
        <w:pStyle w:val="NormalWeb"/>
        <w:numPr>
          <w:ilvl w:val="0"/>
          <w:numId w:val="18"/>
        </w:numPr>
        <w:ind w:left="426"/>
        <w:jc w:val="both"/>
      </w:pPr>
      <w:r w:rsidRPr="00D10015">
        <w:rPr>
          <w:b/>
          <w:bCs/>
        </w:rPr>
        <w:t>Policy Shift</w:t>
      </w:r>
      <w:r w:rsidRPr="00D10015">
        <w:t>: Encourage hydro and tidal investment based on current momentum.</w:t>
      </w:r>
    </w:p>
    <w:p w14:paraId="0186AC1F" w14:textId="33F44739" w:rsidR="00D10015" w:rsidRPr="00D10015" w:rsidRDefault="00D10015" w:rsidP="00D10015">
      <w:pPr>
        <w:pStyle w:val="NormalWeb"/>
        <w:numPr>
          <w:ilvl w:val="0"/>
          <w:numId w:val="18"/>
        </w:numPr>
        <w:ind w:left="426"/>
        <w:jc w:val="both"/>
      </w:pPr>
      <w:r w:rsidRPr="00D10015">
        <w:rPr>
          <w:b/>
          <w:bCs/>
        </w:rPr>
        <w:t>Tech Upgradation</w:t>
      </w:r>
      <w:r w:rsidRPr="00D10015">
        <w:t>: Countries like India and Brazil should invest in grid-scale battery storage for renewable stability.</w:t>
      </w:r>
    </w:p>
    <w:p w14:paraId="2685C4DB" w14:textId="3D5D2428" w:rsidR="00D10015" w:rsidRPr="00D10015" w:rsidRDefault="00D10015" w:rsidP="00D10015">
      <w:pPr>
        <w:pStyle w:val="NormalWeb"/>
        <w:numPr>
          <w:ilvl w:val="0"/>
          <w:numId w:val="18"/>
        </w:numPr>
        <w:ind w:left="426"/>
        <w:jc w:val="both"/>
      </w:pPr>
      <w:r w:rsidRPr="00D10015">
        <w:rPr>
          <w:b/>
          <w:bCs/>
        </w:rPr>
        <w:t>Africa Focus</w:t>
      </w:r>
      <w:r w:rsidRPr="00D10015">
        <w:t>: Provide international support for renewable infrastructure expansion in low-consuming African nations.</w:t>
      </w:r>
    </w:p>
    <w:p w14:paraId="74DDC3BF" w14:textId="3940F331" w:rsidR="00D10015" w:rsidRPr="00D10015" w:rsidRDefault="00D10015" w:rsidP="00D10015">
      <w:pPr>
        <w:pStyle w:val="NormalWeb"/>
        <w:numPr>
          <w:ilvl w:val="0"/>
          <w:numId w:val="18"/>
        </w:numPr>
        <w:ind w:left="426"/>
        <w:jc w:val="both"/>
      </w:pPr>
      <w:r w:rsidRPr="00D10015">
        <w:rPr>
          <w:b/>
          <w:bCs/>
        </w:rPr>
        <w:t>Coal Phase-Out</w:t>
      </w:r>
      <w:r w:rsidRPr="00D10015">
        <w:t>: OECD countries must accelerate coal retirement programs and fund cleaner alternatives.</w:t>
      </w:r>
    </w:p>
    <w:p w14:paraId="5B153EF5" w14:textId="77777777" w:rsidR="00D10015" w:rsidRPr="00D10015" w:rsidRDefault="00D10015" w:rsidP="00D10015">
      <w:pPr>
        <w:pStyle w:val="NormalWeb"/>
        <w:jc w:val="both"/>
        <w:rPr>
          <w:b/>
          <w:bCs/>
        </w:rPr>
      </w:pPr>
    </w:p>
    <w:p w14:paraId="45855261" w14:textId="771CEEC0" w:rsidR="00720545" w:rsidRDefault="00720545"/>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47298"/>
    <w:multiLevelType w:val="multilevel"/>
    <w:tmpl w:val="060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2226F"/>
    <w:multiLevelType w:val="multilevel"/>
    <w:tmpl w:val="55F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618C"/>
    <w:multiLevelType w:val="hybridMultilevel"/>
    <w:tmpl w:val="FB602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177BEA"/>
    <w:multiLevelType w:val="multilevel"/>
    <w:tmpl w:val="4940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B39E8"/>
    <w:multiLevelType w:val="hybridMultilevel"/>
    <w:tmpl w:val="149E3214"/>
    <w:lvl w:ilvl="0" w:tplc="654C99BA">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68C7B5A"/>
    <w:multiLevelType w:val="multilevel"/>
    <w:tmpl w:val="137A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E3CD5"/>
    <w:multiLevelType w:val="multilevel"/>
    <w:tmpl w:val="E9C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3FD9"/>
    <w:multiLevelType w:val="multilevel"/>
    <w:tmpl w:val="4EA8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07306"/>
    <w:multiLevelType w:val="hybridMultilevel"/>
    <w:tmpl w:val="D5D29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5"/>
  </w:num>
  <w:num w:numId="2" w16cid:durableId="1645432796">
    <w:abstractNumId w:val="11"/>
  </w:num>
  <w:num w:numId="3" w16cid:durableId="275448970">
    <w:abstractNumId w:val="4"/>
  </w:num>
  <w:num w:numId="4" w16cid:durableId="1463424373">
    <w:abstractNumId w:val="1"/>
  </w:num>
  <w:num w:numId="5" w16cid:durableId="1771975069">
    <w:abstractNumId w:val="5"/>
  </w:num>
  <w:num w:numId="6" w16cid:durableId="542443052">
    <w:abstractNumId w:val="2"/>
  </w:num>
  <w:num w:numId="7" w16cid:durableId="1289777035">
    <w:abstractNumId w:val="13"/>
  </w:num>
  <w:num w:numId="8" w16cid:durableId="674189717">
    <w:abstractNumId w:val="17"/>
  </w:num>
  <w:num w:numId="9" w16cid:durableId="1101997984">
    <w:abstractNumId w:val="0"/>
  </w:num>
  <w:num w:numId="10" w16cid:durableId="47805475">
    <w:abstractNumId w:val="7"/>
  </w:num>
  <w:num w:numId="11" w16cid:durableId="2007781282">
    <w:abstractNumId w:val="9"/>
  </w:num>
  <w:num w:numId="12" w16cid:durableId="573667851">
    <w:abstractNumId w:val="6"/>
  </w:num>
  <w:num w:numId="13" w16cid:durableId="22948645">
    <w:abstractNumId w:val="12"/>
  </w:num>
  <w:num w:numId="14" w16cid:durableId="1874532015">
    <w:abstractNumId w:val="10"/>
  </w:num>
  <w:num w:numId="15" w16cid:durableId="1393045390">
    <w:abstractNumId w:val="14"/>
  </w:num>
  <w:num w:numId="16" w16cid:durableId="638075573">
    <w:abstractNumId w:val="3"/>
  </w:num>
  <w:num w:numId="17" w16cid:durableId="860780993">
    <w:abstractNumId w:val="8"/>
  </w:num>
  <w:num w:numId="18" w16cid:durableId="13623194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0C3793"/>
    <w:rsid w:val="001D4F63"/>
    <w:rsid w:val="00642171"/>
    <w:rsid w:val="00720545"/>
    <w:rsid w:val="009B2F4A"/>
    <w:rsid w:val="00A136B3"/>
    <w:rsid w:val="00A20696"/>
    <w:rsid w:val="00AF7735"/>
    <w:rsid w:val="00BB347E"/>
    <w:rsid w:val="00D043A9"/>
    <w:rsid w:val="00D10015"/>
    <w:rsid w:val="00F31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39339078">
      <w:bodyDiv w:val="1"/>
      <w:marLeft w:val="0"/>
      <w:marRight w:val="0"/>
      <w:marTop w:val="0"/>
      <w:marBottom w:val="0"/>
      <w:divBdr>
        <w:top w:val="none" w:sz="0" w:space="0" w:color="auto"/>
        <w:left w:val="none" w:sz="0" w:space="0" w:color="auto"/>
        <w:bottom w:val="none" w:sz="0" w:space="0" w:color="auto"/>
        <w:right w:val="none" w:sz="0" w:space="0" w:color="auto"/>
      </w:divBdr>
    </w:div>
    <w:div w:id="285502791">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642854514">
      <w:bodyDiv w:val="1"/>
      <w:marLeft w:val="0"/>
      <w:marRight w:val="0"/>
      <w:marTop w:val="0"/>
      <w:marBottom w:val="0"/>
      <w:divBdr>
        <w:top w:val="none" w:sz="0" w:space="0" w:color="auto"/>
        <w:left w:val="none" w:sz="0" w:space="0" w:color="auto"/>
        <w:bottom w:val="none" w:sz="0" w:space="0" w:color="auto"/>
        <w:right w:val="none" w:sz="0" w:space="0" w:color="auto"/>
      </w:divBdr>
    </w:div>
    <w:div w:id="679625089">
      <w:bodyDiv w:val="1"/>
      <w:marLeft w:val="0"/>
      <w:marRight w:val="0"/>
      <w:marTop w:val="0"/>
      <w:marBottom w:val="0"/>
      <w:divBdr>
        <w:top w:val="none" w:sz="0" w:space="0" w:color="auto"/>
        <w:left w:val="none" w:sz="0" w:space="0" w:color="auto"/>
        <w:bottom w:val="none" w:sz="0" w:space="0" w:color="auto"/>
        <w:right w:val="none" w:sz="0" w:space="0" w:color="auto"/>
      </w:divBdr>
    </w:div>
    <w:div w:id="711808341">
      <w:bodyDiv w:val="1"/>
      <w:marLeft w:val="0"/>
      <w:marRight w:val="0"/>
      <w:marTop w:val="0"/>
      <w:marBottom w:val="0"/>
      <w:divBdr>
        <w:top w:val="none" w:sz="0" w:space="0" w:color="auto"/>
        <w:left w:val="none" w:sz="0" w:space="0" w:color="auto"/>
        <w:bottom w:val="none" w:sz="0" w:space="0" w:color="auto"/>
        <w:right w:val="none" w:sz="0" w:space="0" w:color="auto"/>
      </w:divBdr>
    </w:div>
    <w:div w:id="873886328">
      <w:bodyDiv w:val="1"/>
      <w:marLeft w:val="0"/>
      <w:marRight w:val="0"/>
      <w:marTop w:val="0"/>
      <w:marBottom w:val="0"/>
      <w:divBdr>
        <w:top w:val="none" w:sz="0" w:space="0" w:color="auto"/>
        <w:left w:val="none" w:sz="0" w:space="0" w:color="auto"/>
        <w:bottom w:val="none" w:sz="0" w:space="0" w:color="auto"/>
        <w:right w:val="none" w:sz="0" w:space="0" w:color="auto"/>
      </w:divBdr>
    </w:div>
    <w:div w:id="896285513">
      <w:bodyDiv w:val="1"/>
      <w:marLeft w:val="0"/>
      <w:marRight w:val="0"/>
      <w:marTop w:val="0"/>
      <w:marBottom w:val="0"/>
      <w:divBdr>
        <w:top w:val="none" w:sz="0" w:space="0" w:color="auto"/>
        <w:left w:val="none" w:sz="0" w:space="0" w:color="auto"/>
        <w:bottom w:val="none" w:sz="0" w:space="0" w:color="auto"/>
        <w:right w:val="none" w:sz="0" w:space="0" w:color="auto"/>
      </w:divBdr>
    </w:div>
    <w:div w:id="940256196">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070076160">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184132194">
      <w:bodyDiv w:val="1"/>
      <w:marLeft w:val="0"/>
      <w:marRight w:val="0"/>
      <w:marTop w:val="0"/>
      <w:marBottom w:val="0"/>
      <w:divBdr>
        <w:top w:val="none" w:sz="0" w:space="0" w:color="auto"/>
        <w:left w:val="none" w:sz="0" w:space="0" w:color="auto"/>
        <w:bottom w:val="none" w:sz="0" w:space="0" w:color="auto"/>
        <w:right w:val="none" w:sz="0" w:space="0" w:color="auto"/>
      </w:divBdr>
    </w:div>
    <w:div w:id="1300187446">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14158191">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664703098">
      <w:bodyDiv w:val="1"/>
      <w:marLeft w:val="0"/>
      <w:marRight w:val="0"/>
      <w:marTop w:val="0"/>
      <w:marBottom w:val="0"/>
      <w:divBdr>
        <w:top w:val="none" w:sz="0" w:space="0" w:color="auto"/>
        <w:left w:val="none" w:sz="0" w:space="0" w:color="auto"/>
        <w:bottom w:val="none" w:sz="0" w:space="0" w:color="auto"/>
        <w:right w:val="none" w:sz="0" w:space="0" w:color="auto"/>
      </w:divBdr>
    </w:div>
    <w:div w:id="1674870111">
      <w:bodyDiv w:val="1"/>
      <w:marLeft w:val="0"/>
      <w:marRight w:val="0"/>
      <w:marTop w:val="0"/>
      <w:marBottom w:val="0"/>
      <w:divBdr>
        <w:top w:val="none" w:sz="0" w:space="0" w:color="auto"/>
        <w:left w:val="none" w:sz="0" w:space="0" w:color="auto"/>
        <w:bottom w:val="none" w:sz="0" w:space="0" w:color="auto"/>
        <w:right w:val="none" w:sz="0" w:space="0" w:color="auto"/>
      </w:divBdr>
    </w:div>
    <w:div w:id="1701082828">
      <w:bodyDiv w:val="1"/>
      <w:marLeft w:val="0"/>
      <w:marRight w:val="0"/>
      <w:marTop w:val="0"/>
      <w:marBottom w:val="0"/>
      <w:divBdr>
        <w:top w:val="none" w:sz="0" w:space="0" w:color="auto"/>
        <w:left w:val="none" w:sz="0" w:space="0" w:color="auto"/>
        <w:bottom w:val="none" w:sz="0" w:space="0" w:color="auto"/>
        <w:right w:val="none" w:sz="0" w:space="0" w:color="auto"/>
      </w:divBdr>
    </w:div>
    <w:div w:id="1754932289">
      <w:bodyDiv w:val="1"/>
      <w:marLeft w:val="0"/>
      <w:marRight w:val="0"/>
      <w:marTop w:val="0"/>
      <w:marBottom w:val="0"/>
      <w:divBdr>
        <w:top w:val="none" w:sz="0" w:space="0" w:color="auto"/>
        <w:left w:val="none" w:sz="0" w:space="0" w:color="auto"/>
        <w:bottom w:val="none" w:sz="0" w:space="0" w:color="auto"/>
        <w:right w:val="none" w:sz="0" w:space="0" w:color="auto"/>
      </w:divBdr>
    </w:div>
    <w:div w:id="1821116844">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1919553901">
      <w:bodyDiv w:val="1"/>
      <w:marLeft w:val="0"/>
      <w:marRight w:val="0"/>
      <w:marTop w:val="0"/>
      <w:marBottom w:val="0"/>
      <w:divBdr>
        <w:top w:val="none" w:sz="0" w:space="0" w:color="auto"/>
        <w:left w:val="none" w:sz="0" w:space="0" w:color="auto"/>
        <w:bottom w:val="none" w:sz="0" w:space="0" w:color="auto"/>
        <w:right w:val="none" w:sz="0" w:space="0" w:color="auto"/>
      </w:divBdr>
    </w:div>
    <w:div w:id="2009749041">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 w:id="211100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SONTA RAMESH</cp:lastModifiedBy>
  <cp:revision>5</cp:revision>
  <dcterms:created xsi:type="dcterms:W3CDTF">2024-01-13T08:53:00Z</dcterms:created>
  <dcterms:modified xsi:type="dcterms:W3CDTF">2025-06-26T06:25:00Z</dcterms:modified>
</cp:coreProperties>
</file>