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HELP DESK — WEEKLY ANALYSIS</w:t>
      </w:r>
    </w:p>
    <w:p>
      <w:r>
        <w:rPr>
          <w:b/>
        </w:rPr>
        <w:t>TABLEAU • SERVICE ANALYTICS • KPI DESIGN • WEEKLY TREND ANALYSIS • PARAMETER ACTIONS • FIXED LOD CALCULATIONS</w:t>
      </w:r>
    </w:p>
    <w:p>
      <w:pPr>
        <w:pStyle w:val="Heading1"/>
      </w:pPr>
      <w:r>
        <w:t>PROJECT OVERVIEW</w:t>
      </w:r>
    </w:p>
    <w:p>
      <w:r>
        <w:t>Help Desk — Weekly Analysis is an interactive Tableau service-analytics project designed to turn ticket-level support data into a focused weekly performance view. The dashboard evaluates workload, ticket aging, resolution performance and satisfaction for a selected week, while benchmarking the selected period against broader weekly or overall baselines.</w:t>
      </w:r>
    </w:p>
    <w:p>
      <w:r>
        <w:t>The project is built around a main dashboard named “Help Desk | Weekly Analysis”, a Help Desk datasource, a dedicated Parameters source, KPI worksheets, analytical breakdowns and parameter/action-driven interactions. The supplied source document identifies the packaged Tableau workbook as the source of truth for the dashboard structure, fields, calculations, parameters and analytical techniques. fileciteturn58file0L7-L19</w:t>
      </w:r>
    </w:p>
    <w:p>
      <w:pPr>
        <w:pStyle w:val="Heading1"/>
      </w:pPr>
      <w:r>
        <w:t>PROJECT OBJECTIVE</w:t>
      </w:r>
    </w:p>
    <w:p>
      <w:pPr>
        <w:pStyle w:val="ListBullet"/>
        <w:spacing w:after="60"/>
      </w:pPr>
      <w:r>
        <w:t>Monitor ticket volume for a selected week.</w:t>
      </w:r>
    </w:p>
    <w:p>
      <w:pPr>
        <w:pStyle w:val="ListBullet"/>
        <w:spacing w:after="60"/>
      </w:pPr>
      <w:r>
        <w:t>Compare selected-week ticket volume against the average weekly ticket level.</w:t>
      </w:r>
    </w:p>
    <w:p>
      <w:pPr>
        <w:pStyle w:val="ListBullet"/>
        <w:spacing w:after="60"/>
      </w:pPr>
      <w:r>
        <w:t>Measure average Days Open and compare the selected week with the broader weekly average.</w:t>
      </w:r>
    </w:p>
    <w:p>
      <w:pPr>
        <w:pStyle w:val="ListBullet"/>
        <w:spacing w:after="60"/>
      </w:pPr>
      <w:r>
        <w:t>Measure the resolved-ticket rate and compare selected-week performance with the overall rate.</w:t>
      </w:r>
    </w:p>
    <w:p>
      <w:pPr>
        <w:pStyle w:val="ListBullet"/>
        <w:spacing w:after="60"/>
      </w:pPr>
      <w:r>
        <w:t>Measure the share of highly satisfied tickets.</w:t>
      </w:r>
    </w:p>
    <w:p>
      <w:pPr>
        <w:pStyle w:val="ListBullet"/>
        <w:spacing w:after="60"/>
      </w:pPr>
      <w:r>
        <w:t>Analyze ticket distribution by severity, issue category, ticket status and satisfaction.</w:t>
      </w:r>
    </w:p>
    <w:p>
      <w:pPr>
        <w:pStyle w:val="ListBullet"/>
        <w:spacing w:after="60"/>
      </w:pPr>
      <w:r>
        <w:t>Explore performance across owner groups and ticket types.</w:t>
      </w:r>
    </w:p>
    <w:p>
      <w:pPr>
        <w:pStyle w:val="ListBullet"/>
        <w:spacing w:after="60"/>
      </w:pPr>
      <w:r>
        <w:t>Provide an interactive weekly analysis experience rather than relying only on static summary tables.</w:t>
      </w:r>
    </w:p>
    <w:p>
      <w:pPr>
        <w:pStyle w:val="Heading1"/>
      </w:pPr>
      <w:r>
        <w:t>DASHBOARD ARCHITECTURE</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Component</w:t>
            </w:r>
          </w:p>
        </w:tc>
        <w:tc>
          <w:tcPr>
            <w:tcW w:type="dxa" w:w="5083"/>
          </w:tcPr>
          <w:p>
            <w:r>
              <w:rPr>
                <w:b/>
              </w:rPr>
              <w:t>Purpose</w:t>
            </w:r>
          </w:p>
        </w:tc>
      </w:tr>
      <w:tr>
        <w:tc>
          <w:tcPr>
            <w:tcW w:type="dxa" w:w="5083"/>
            <w:vAlign w:val="center"/>
          </w:tcPr>
          <w:p>
            <w:r>
              <w:t>Main dashboard — Help Desk | Weekly Analysis</w:t>
            </w:r>
          </w:p>
        </w:tc>
        <w:tc>
          <w:tcPr>
            <w:tcW w:type="dxa" w:w="5083"/>
            <w:vAlign w:val="center"/>
          </w:tcPr>
          <w:p>
            <w:r>
              <w:t>Combines KPI cards, variance analysis, category distributions and supporting charts.</w:t>
            </w:r>
          </w:p>
        </w:tc>
      </w:tr>
      <w:tr>
        <w:tc>
          <w:tcPr>
            <w:tcW w:type="dxa" w:w="5083"/>
            <w:vAlign w:val="center"/>
          </w:tcPr>
          <w:p>
            <w:r>
              <w:t>Primary data source — Help Desk</w:t>
            </w:r>
          </w:p>
        </w:tc>
        <w:tc>
          <w:tcPr>
            <w:tcW w:type="dxa" w:w="5083"/>
            <w:vAlign w:val="center"/>
          </w:tcPr>
          <w:p>
            <w:r>
              <w:t>Contains ticket-level service/support fields.</w:t>
            </w:r>
          </w:p>
        </w:tc>
      </w:tr>
      <w:tr>
        <w:tc>
          <w:tcPr>
            <w:tcW w:type="dxa" w:w="5083"/>
            <w:vAlign w:val="center"/>
          </w:tcPr>
          <w:p>
            <w:r>
              <w:t>Parameters source — Parameters</w:t>
            </w:r>
          </w:p>
        </w:tc>
        <w:tc>
          <w:tcPr>
            <w:tcW w:type="dxa" w:w="5083"/>
            <w:vAlign w:val="center"/>
          </w:tcPr>
          <w:p>
            <w:r>
              <w:t>Controls the selected week, ticket-day sets and dashboard interactions.</w:t>
            </w:r>
          </w:p>
        </w:tc>
      </w:tr>
      <w:tr>
        <w:tc>
          <w:tcPr>
            <w:tcW w:type="dxa" w:w="5083"/>
            <w:vAlign w:val="center"/>
          </w:tcPr>
          <w:p>
            <w:r>
              <w:t>KPI layer</w:t>
            </w:r>
          </w:p>
        </w:tc>
        <w:tc>
          <w:tcPr>
            <w:tcW w:type="dxa" w:w="5083"/>
            <w:vAlign w:val="center"/>
          </w:tcPr>
          <w:p>
            <w:r>
              <w:t>Communicates selected-week performance and variance through primary KPI and comparison views.</w:t>
            </w:r>
          </w:p>
        </w:tc>
      </w:tr>
      <w:tr>
        <w:tc>
          <w:tcPr>
            <w:tcW w:type="dxa" w:w="5083"/>
            <w:vAlign w:val="center"/>
          </w:tcPr>
          <w:p>
            <w:r>
              <w:t>Analytical views</w:t>
            </w:r>
          </w:p>
        </w:tc>
        <w:tc>
          <w:tcPr>
            <w:tcW w:type="dxa" w:w="5083"/>
            <w:vAlign w:val="center"/>
          </w:tcPr>
          <w:p>
            <w:r>
              <w:t>Variance bar chart, heatmap, drop chart, severity, issue category, status and satisfaction analysis.</w:t>
            </w:r>
          </w:p>
        </w:tc>
      </w:tr>
      <w:tr>
        <w:tc>
          <w:tcPr>
            <w:tcW w:type="dxa" w:w="5083"/>
            <w:vAlign w:val="center"/>
          </w:tcPr>
          <w:p>
            <w:r>
              <w:t>Portfolio navigation</w:t>
            </w:r>
          </w:p>
        </w:tc>
        <w:tc>
          <w:tcPr>
            <w:tcW w:type="dxa" w:w="5083"/>
            <w:vAlign w:val="center"/>
          </w:tcPr>
          <w:p>
            <w:r>
              <w:t>LinkedIn and GitHub objects are included in the workbook as navigation/attribution placeholders.</w:t>
            </w:r>
          </w:p>
        </w:tc>
      </w:tr>
    </w:tbl>
    <w:p/>
    <w:p>
      <w:pPr>
        <w:pStyle w:val="Heading1"/>
      </w:pPr>
      <w:r>
        <w:t>PRIMARY DATASET</w:t>
      </w:r>
    </w:p>
    <w:p>
      <w:r>
        <w:t>The Help Desk datasource contains ticket-level fields used as the foundation for the dashboard calculations and analytical views.</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rPr>
                <w:b/>
              </w:rPr>
              <w:t>Field</w:t>
            </w:r>
          </w:p>
        </w:tc>
        <w:tc>
          <w:tcPr>
            <w:tcW w:type="dxa" w:w="3389"/>
          </w:tcPr>
          <w:p>
            <w:r>
              <w:rPr>
                <w:b/>
              </w:rPr>
              <w:t>Type</w:t>
            </w:r>
          </w:p>
        </w:tc>
        <w:tc>
          <w:tcPr>
            <w:tcW w:type="dxa" w:w="3389"/>
          </w:tcPr>
          <w:p>
            <w:r>
              <w:rPr>
                <w:b/>
              </w:rPr>
              <w:t>Analytical role</w:t>
            </w:r>
          </w:p>
        </w:tc>
      </w:tr>
      <w:tr>
        <w:tc>
          <w:tcPr>
            <w:tcW w:type="dxa" w:w="3389"/>
            <w:vAlign w:val="center"/>
          </w:tcPr>
          <w:p>
            <w:r>
              <w:t>Created Date</w:t>
            </w:r>
          </w:p>
        </w:tc>
        <w:tc>
          <w:tcPr>
            <w:tcW w:type="dxa" w:w="3389"/>
            <w:vAlign w:val="center"/>
          </w:tcPr>
          <w:p>
            <w:r>
              <w:t>Date</w:t>
            </w:r>
          </w:p>
        </w:tc>
        <w:tc>
          <w:tcPr>
            <w:tcW w:type="dxa" w:w="3389"/>
            <w:vAlign w:val="center"/>
          </w:tcPr>
          <w:p>
            <w:r>
              <w:t>Ticket creation date and weekly aggregation.</w:t>
            </w:r>
          </w:p>
        </w:tc>
      </w:tr>
      <w:tr>
        <w:tc>
          <w:tcPr>
            <w:tcW w:type="dxa" w:w="3389"/>
            <w:vAlign w:val="center"/>
          </w:tcPr>
          <w:p>
            <w:r>
              <w:t>Days Open</w:t>
            </w:r>
          </w:p>
        </w:tc>
        <w:tc>
          <w:tcPr>
            <w:tcW w:type="dxa" w:w="3389"/>
            <w:vAlign w:val="center"/>
          </w:tcPr>
          <w:p>
            <w:r>
              <w:t>Integer</w:t>
            </w:r>
          </w:p>
        </w:tc>
        <w:tc>
          <w:tcPr>
            <w:tcW w:type="dxa" w:w="3389"/>
            <w:vAlign w:val="center"/>
          </w:tcPr>
          <w:p>
            <w:r>
              <w:t>Measures how long tickets remain open.</w:t>
            </w:r>
          </w:p>
        </w:tc>
      </w:tr>
      <w:tr>
        <w:tc>
          <w:tcPr>
            <w:tcW w:type="dxa" w:w="3389"/>
            <w:vAlign w:val="center"/>
          </w:tcPr>
          <w:p>
            <w:r>
              <w:t>Issue Category</w:t>
            </w:r>
          </w:p>
        </w:tc>
        <w:tc>
          <w:tcPr>
            <w:tcW w:type="dxa" w:w="3389"/>
            <w:vAlign w:val="center"/>
          </w:tcPr>
          <w:p>
            <w:r>
              <w:t>String</w:t>
            </w:r>
          </w:p>
        </w:tc>
        <w:tc>
          <w:tcPr>
            <w:tcW w:type="dxa" w:w="3389"/>
            <w:vAlign w:val="center"/>
          </w:tcPr>
          <w:p>
            <w:r>
              <w:t>Categorizes the support issue.</w:t>
            </w:r>
          </w:p>
        </w:tc>
      </w:tr>
      <w:tr>
        <w:tc>
          <w:tcPr>
            <w:tcW w:type="dxa" w:w="3389"/>
            <w:vAlign w:val="center"/>
          </w:tcPr>
          <w:p>
            <w:r>
              <w:t>Owner Group</w:t>
            </w:r>
          </w:p>
        </w:tc>
        <w:tc>
          <w:tcPr>
            <w:tcW w:type="dxa" w:w="3389"/>
            <w:vAlign w:val="center"/>
          </w:tcPr>
          <w:p>
            <w:r>
              <w:t>String</w:t>
            </w:r>
          </w:p>
        </w:tc>
        <w:tc>
          <w:tcPr>
            <w:tcW w:type="dxa" w:w="3389"/>
            <w:vAlign w:val="center"/>
          </w:tcPr>
          <w:p>
            <w:r>
              <w:t>Identifies the support/ownership group.</w:t>
            </w:r>
          </w:p>
        </w:tc>
      </w:tr>
      <w:tr>
        <w:tc>
          <w:tcPr>
            <w:tcW w:type="dxa" w:w="3389"/>
            <w:vAlign w:val="center"/>
          </w:tcPr>
          <w:p>
            <w:r>
              <w:t>Requestor Fname / Requestor Lname</w:t>
            </w:r>
          </w:p>
        </w:tc>
        <w:tc>
          <w:tcPr>
            <w:tcW w:type="dxa" w:w="3389"/>
            <w:vAlign w:val="center"/>
          </w:tcPr>
          <w:p>
            <w:r>
              <w:t>String</w:t>
            </w:r>
          </w:p>
        </w:tc>
        <w:tc>
          <w:tcPr>
            <w:tcW w:type="dxa" w:w="3389"/>
            <w:vAlign w:val="center"/>
          </w:tcPr>
          <w:p>
            <w:r>
              <w:t>Requestor-level attributes.</w:t>
            </w:r>
          </w:p>
        </w:tc>
      </w:tr>
      <w:tr>
        <w:tc>
          <w:tcPr>
            <w:tcW w:type="dxa" w:w="3389"/>
            <w:vAlign w:val="center"/>
          </w:tcPr>
          <w:p>
            <w:r>
              <w:t>Severity</w:t>
            </w:r>
          </w:p>
        </w:tc>
        <w:tc>
          <w:tcPr>
            <w:tcW w:type="dxa" w:w="3389"/>
            <w:vAlign w:val="center"/>
          </w:tcPr>
          <w:p>
            <w:r>
              <w:t>String</w:t>
            </w:r>
          </w:p>
        </w:tc>
        <w:tc>
          <w:tcPr>
            <w:tcW w:type="dxa" w:w="3389"/>
            <w:vAlign w:val="center"/>
          </w:tcPr>
          <w:p>
            <w:r>
              <w:t>Ticket severity classification.</w:t>
            </w:r>
          </w:p>
        </w:tc>
      </w:tr>
      <w:tr>
        <w:tc>
          <w:tcPr>
            <w:tcW w:type="dxa" w:w="3389"/>
            <w:vAlign w:val="center"/>
          </w:tcPr>
          <w:p>
            <w:r>
              <w:t>Statisfaction Score</w:t>
            </w:r>
          </w:p>
        </w:tc>
        <w:tc>
          <w:tcPr>
            <w:tcW w:type="dxa" w:w="3389"/>
            <w:vAlign w:val="center"/>
          </w:tcPr>
          <w:p>
            <w:r>
              <w:t>String</w:t>
            </w:r>
          </w:p>
        </w:tc>
        <w:tc>
          <w:tcPr>
            <w:tcW w:type="dxa" w:w="3389"/>
            <w:vAlign w:val="center"/>
          </w:tcPr>
          <w:p>
            <w:r>
              <w:t>Customer/requestor satisfaction category.</w:t>
            </w:r>
          </w:p>
        </w:tc>
      </w:tr>
      <w:tr>
        <w:tc>
          <w:tcPr>
            <w:tcW w:type="dxa" w:w="3389"/>
            <w:vAlign w:val="center"/>
          </w:tcPr>
          <w:p>
            <w:r>
              <w:t>Ticket Status</w:t>
            </w:r>
          </w:p>
        </w:tc>
        <w:tc>
          <w:tcPr>
            <w:tcW w:type="dxa" w:w="3389"/>
            <w:vAlign w:val="center"/>
          </w:tcPr>
          <w:p>
            <w:r>
              <w:t>String</w:t>
            </w:r>
          </w:p>
        </w:tc>
        <w:tc>
          <w:tcPr>
            <w:tcW w:type="dxa" w:w="3389"/>
            <w:vAlign w:val="center"/>
          </w:tcPr>
          <w:p>
            <w:r>
              <w:t>Current/resolution status.</w:t>
            </w:r>
          </w:p>
        </w:tc>
      </w:tr>
      <w:tr>
        <w:tc>
          <w:tcPr>
            <w:tcW w:type="dxa" w:w="3389"/>
            <w:vAlign w:val="center"/>
          </w:tcPr>
          <w:p>
            <w:r>
              <w:t>Ticket Number</w:t>
            </w:r>
          </w:p>
        </w:tc>
        <w:tc>
          <w:tcPr>
            <w:tcW w:type="dxa" w:w="3389"/>
            <w:vAlign w:val="center"/>
          </w:tcPr>
          <w:p>
            <w:r>
              <w:t>String</w:t>
            </w:r>
          </w:p>
        </w:tc>
        <w:tc>
          <w:tcPr>
            <w:tcW w:type="dxa" w:w="3389"/>
            <w:vAlign w:val="center"/>
          </w:tcPr>
          <w:p>
            <w:r>
              <w:t>Ticket identifier used for distinct ticket counting.</w:t>
            </w:r>
          </w:p>
        </w:tc>
      </w:tr>
      <w:tr>
        <w:tc>
          <w:tcPr>
            <w:tcW w:type="dxa" w:w="3389"/>
            <w:vAlign w:val="center"/>
          </w:tcPr>
          <w:p>
            <w:r>
              <w:t>Ticket Type</w:t>
            </w:r>
          </w:p>
        </w:tc>
        <w:tc>
          <w:tcPr>
            <w:tcW w:type="dxa" w:w="3389"/>
            <w:vAlign w:val="center"/>
          </w:tcPr>
          <w:p>
            <w:r>
              <w:t>String</w:t>
            </w:r>
          </w:p>
        </w:tc>
        <w:tc>
          <w:tcPr>
            <w:tcW w:type="dxa" w:w="3389"/>
            <w:vAlign w:val="center"/>
          </w:tcPr>
          <w:p>
            <w:r>
              <w:t>Classifies tickets such as Issue or Request.</w:t>
            </w:r>
          </w:p>
        </w:tc>
      </w:tr>
    </w:tbl>
    <w:p/>
    <w:p>
      <w:pPr>
        <w:pStyle w:val="Heading1"/>
      </w:pPr>
      <w:r>
        <w:t>SELECTED WEEK ANALYSIS</w:t>
      </w:r>
    </w:p>
    <w:p>
      <w:r>
        <w:t>The dashboard is centered around the parameter “PARA | Selected Week”. The supplied workbook documentation identifies its packaged value as 2020-07-06. The calculated field “CALC | Selected Week Boolean” evaluates whether a ticket's Created Date belongs to the selected week.</w:t>
      </w:r>
    </w:p>
    <w:p>
      <w:r>
        <w:t>The core weekly logic uses DATETRUNC('week', [created_date]) so ticket dates are normalized to a common weekly grain. This selected-week boolean becomes the foundation for the KPI calculations and selected-week-versus-overall comparisons.</w:t>
      </w:r>
    </w:p>
    <w:p>
      <w:pPr>
        <w:pStyle w:val="Heading1"/>
      </w:pPr>
      <w:r>
        <w:t>CORE KPI LAYER</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rPr>
                <w:b/>
              </w:rPr>
              <w:t>KPI</w:t>
            </w:r>
          </w:p>
        </w:tc>
        <w:tc>
          <w:tcPr>
            <w:tcW w:type="dxa" w:w="3389"/>
          </w:tcPr>
          <w:p>
            <w:r>
              <w:rPr>
                <w:b/>
              </w:rPr>
              <w:t>Calculation basis</w:t>
            </w:r>
          </w:p>
        </w:tc>
        <w:tc>
          <w:tcPr>
            <w:tcW w:type="dxa" w:w="3389"/>
          </w:tcPr>
          <w:p>
            <w:r>
              <w:rPr>
                <w:b/>
              </w:rPr>
              <w:t>Purpose</w:t>
            </w:r>
          </w:p>
        </w:tc>
      </w:tr>
      <w:tr>
        <w:tc>
          <w:tcPr>
            <w:tcW w:type="dxa" w:w="3389"/>
            <w:vAlign w:val="center"/>
          </w:tcPr>
          <w:p>
            <w:r>
              <w:t>Number of Tickets for Selected Week</w:t>
            </w:r>
          </w:p>
        </w:tc>
        <w:tc>
          <w:tcPr>
            <w:tcW w:type="dxa" w:w="3389"/>
            <w:vAlign w:val="center"/>
          </w:tcPr>
          <w:p>
            <w:r>
              <w:t>COUNTD of Ticket Number within Selected Week</w:t>
            </w:r>
          </w:p>
        </w:tc>
        <w:tc>
          <w:tcPr>
            <w:tcW w:type="dxa" w:w="3389"/>
            <w:vAlign w:val="center"/>
          </w:tcPr>
          <w:p>
            <w:r>
              <w:t>Shows workload for the selected week.</w:t>
            </w:r>
          </w:p>
        </w:tc>
      </w:tr>
      <w:tr>
        <w:tc>
          <w:tcPr>
            <w:tcW w:type="dxa" w:w="3389"/>
            <w:vAlign w:val="center"/>
          </w:tcPr>
          <w:p>
            <w:r>
              <w:t>Avg Days Open for Selected Week</w:t>
            </w:r>
          </w:p>
        </w:tc>
        <w:tc>
          <w:tcPr>
            <w:tcW w:type="dxa" w:w="3389"/>
            <w:vAlign w:val="center"/>
          </w:tcPr>
          <w:p>
            <w:r>
              <w:t>AVG(Days Open) for Selected Week</w:t>
            </w:r>
          </w:p>
        </w:tc>
        <w:tc>
          <w:tcPr>
            <w:tcW w:type="dxa" w:w="3389"/>
            <w:vAlign w:val="center"/>
          </w:tcPr>
          <w:p>
            <w:r>
              <w:t>Shows ticket aging/workload persistence.</w:t>
            </w:r>
          </w:p>
        </w:tc>
      </w:tr>
      <w:tr>
        <w:tc>
          <w:tcPr>
            <w:tcW w:type="dxa" w:w="3389"/>
            <w:vAlign w:val="center"/>
          </w:tcPr>
          <w:p>
            <w:r>
              <w:t>Resolved Rate</w:t>
            </w:r>
          </w:p>
        </w:tc>
        <w:tc>
          <w:tcPr>
            <w:tcW w:type="dxa" w:w="3389"/>
            <w:vAlign w:val="center"/>
          </w:tcPr>
          <w:p>
            <w:r>
              <w:t>Resolved tickets ÷ tickets</w:t>
            </w:r>
          </w:p>
        </w:tc>
        <w:tc>
          <w:tcPr>
            <w:tcW w:type="dxa" w:w="3389"/>
            <w:vAlign w:val="center"/>
          </w:tcPr>
          <w:p>
            <w:r>
              <w:t>Shows resolution performance.</w:t>
            </w:r>
          </w:p>
        </w:tc>
      </w:tr>
      <w:tr>
        <w:tc>
          <w:tcPr>
            <w:tcW w:type="dxa" w:w="3389"/>
            <w:vAlign w:val="center"/>
          </w:tcPr>
          <w:p>
            <w:r>
              <w:t>% Highly Satisfied</w:t>
            </w:r>
          </w:p>
        </w:tc>
        <w:tc>
          <w:tcPr>
            <w:tcW w:type="dxa" w:w="3389"/>
            <w:vAlign w:val="center"/>
          </w:tcPr>
          <w:p>
            <w:r>
              <w:t>Highly satisfied tickets ÷ tickets</w:t>
            </w:r>
          </w:p>
        </w:tc>
        <w:tc>
          <w:tcPr>
            <w:tcW w:type="dxa" w:w="3389"/>
            <w:vAlign w:val="center"/>
          </w:tcPr>
          <w:p>
            <w:r>
              <w:t>Shows service-experience performance.</w:t>
            </w:r>
          </w:p>
        </w:tc>
      </w:tr>
    </w:tbl>
    <w:p/>
    <w:p>
      <w:r>
        <w:t>Each KPI is designed with a comparison context so the selected week's result can be interpreted against a weekly or overall baseline rather than viewed as an isolated number. fileciteturn58file0L84-L111</w:t>
      </w:r>
    </w:p>
    <w:p>
      <w:pPr>
        <w:pStyle w:val="Heading1"/>
      </w:pPr>
      <w:r>
        <w:t>WEEKLY TICKET VOLUME &amp; VARIANCE</w:t>
      </w:r>
    </w:p>
    <w:p>
      <w:r>
        <w:t>The dashboard creates both a selected-week ticket count and a weekly baseline. The calculated field “CALC | Avg Number of Tickets for all Weeks” uses nested FIXED LOD expressions to calculate the average weekly distinct-ticket count.</w:t>
      </w:r>
    </w:p>
    <w:p>
      <w:r>
        <w:t>Conceptually, the baseline is calculated as the average of weekly COUNTD(Ticket Number) values. The selected-week variance then compares the selected-week count with this baseline, with an additional percentage-variance version.</w:t>
      </w:r>
    </w:p>
    <w:p>
      <w:r>
        <w:t>This makes the dashboard useful for answering not only “How many tickets arrived?” but also “Was this week unusually high or low compared with the normal weekly workload?”</w:t>
      </w:r>
    </w:p>
    <w:p>
      <w:pPr>
        <w:pStyle w:val="Heading1"/>
      </w:pPr>
      <w:r>
        <w:t>AVERAGE DAYS OPEN</w:t>
      </w:r>
    </w:p>
    <w:p>
      <w:r>
        <w:t>Average Days Open is calculated conditionally for the selected week and separately across weeks using FIXED LOD logic. The selected-week result is then compared with the broader weekly average.</w:t>
      </w:r>
    </w:p>
    <w:p>
      <w:r>
        <w:t>This provides context for ticket persistence: a high average Days Open can indicate that work is remaining open longer than the normal weekly pattern, while a lower value indicates comparatively shorter ticket aging.</w:t>
      </w:r>
    </w:p>
    <w:p>
      <w:pPr>
        <w:pStyle w:val="Heading1"/>
      </w:pPr>
      <w:r>
        <w:t>RESOLVED RATE</w:t>
      </w:r>
    </w:p>
    <w:p>
      <w:r>
        <w:t>The dashboard defines the resolved rate by identifying tickets where Ticket Status is Resolved and comparing the resolved population with total tickets. It provides both a selected-week resolved rate and an overall comparison.</w:t>
      </w:r>
    </w:p>
    <w:p>
      <w:r>
        <w:t>This allows the user to distinguish workload volume from resolution performance and understand whether the selected week performed above or below the broader resolution baseline.</w:t>
      </w:r>
    </w:p>
    <w:p>
      <w:pPr>
        <w:pStyle w:val="Heading1"/>
      </w:pPr>
      <w:r>
        <w:t>HIGHLY SATISFIED ANALYSIS</w:t>
      </w:r>
    </w:p>
    <w:p>
      <w:r>
        <w:t>The workbook specifically treats “3 - Highly Satisfied” as the highly satisfied category. The selected-week share is calculated by dividing highly satisfied tickets within the selected week by the total selected-week tickets, and the result is compared with the overall highly satisfied share.</w:t>
      </w:r>
    </w:p>
    <w:p>
      <w:r>
        <w:t>This creates a direct service-experience KPI that complements the workload and resolution metrics.</w:t>
      </w:r>
    </w:p>
    <w:p>
      <w:pPr>
        <w:pStyle w:val="Heading1"/>
      </w:pPr>
      <w:r>
        <w:t>CATEGORY, SEVERITY, STATUS &amp; SATISFACTION ANALYSIS</w:t>
      </w:r>
    </w:p>
    <w:p>
      <w:pPr>
        <w:pStyle w:val="ListBullet"/>
        <w:spacing w:after="60"/>
      </w:pPr>
      <w:r>
        <w:t>Severity — shows how ticket workload is distributed across severity levels.</w:t>
      </w:r>
    </w:p>
    <w:p>
      <w:pPr>
        <w:pStyle w:val="ListBullet"/>
        <w:spacing w:after="60"/>
      </w:pPr>
      <w:r>
        <w:t>Issue Category — identifies which support issue categories contribute most to workload.</w:t>
      </w:r>
    </w:p>
    <w:p>
      <w:pPr>
        <w:pStyle w:val="ListBullet"/>
        <w:spacing w:after="60"/>
      </w:pPr>
      <w:r>
        <w:t>Ticket Status — shows the distribution of tickets by current/resolution status.</w:t>
      </w:r>
    </w:p>
    <w:p>
      <w:pPr>
        <w:pStyle w:val="ListBullet"/>
        <w:spacing w:after="60"/>
      </w:pPr>
      <w:r>
        <w:t>Satisfaction — shows the distribution of satisfaction scores.</w:t>
      </w:r>
    </w:p>
    <w:p>
      <w:pPr>
        <w:pStyle w:val="ListBullet"/>
        <w:spacing w:after="60"/>
      </w:pPr>
      <w:r>
        <w:t>Percentage-of-total companion views — convert raw ticket counts into relative contribution, making category composition easier to compare.</w:t>
      </w:r>
    </w:p>
    <w:p>
      <w:pPr>
        <w:pStyle w:val="Heading1"/>
      </w:pPr>
      <w:r>
        <w:t>OWNER GROUP &amp; TICKET TYPE ANALYSIS</w:t>
      </w:r>
    </w:p>
    <w:p>
      <w:r>
        <w:t>The dashboard contains action-driven views that allow users to explore performance by support ownership and ticket classification. Owner Group provides the support-team context, while Ticket Type distinguishes ticket classifications.</w:t>
      </w:r>
    </w:p>
    <w:p>
      <w:r>
        <w:t>The workbook also contains a calculated field named “Calculation1” that normalizes Ticket Type into two categories: Issue and Request. This creates a simplified classification for consistent analysis.</w:t>
      </w:r>
    </w:p>
    <w:p>
      <w:pPr>
        <w:pStyle w:val="Heading1"/>
      </w:pPr>
      <w:r>
        <w:t>TICKET AGING ANALYSIS</w:t>
      </w:r>
    </w:p>
    <w:p>
      <w:r>
        <w:t>A parameter named “PARA | Ticket Number Days Open Sets” controls the ticket population being analyzed. The workbook supports All Tickets, Resolved Within and open-ticket thresholds of 5, 10, 15, 20, 25 and 30 days.</w:t>
      </w:r>
    </w:p>
    <w:p>
      <w:r>
        <w:t>The key advantage is that one dashboard interaction can switch the analytical population between different aging thresholds rather than requiring a separate dashboard for each threshold.</w:t>
      </w:r>
    </w:p>
    <w:p>
      <w:pPr>
        <w:pStyle w:val="ListBullet"/>
        <w:spacing w:after="60"/>
      </w:pPr>
      <w:r>
        <w:t>All Tickets</w:t>
      </w:r>
    </w:p>
    <w:p>
      <w:pPr>
        <w:pStyle w:val="ListBullet"/>
        <w:spacing w:after="60"/>
      </w:pPr>
      <w:r>
        <w:t>Resolved Within</w:t>
      </w:r>
    </w:p>
    <w:p>
      <w:pPr>
        <w:pStyle w:val="ListBullet"/>
        <w:spacing w:after="60"/>
      </w:pPr>
      <w:r>
        <w:t>Open 5 Days or Less</w:t>
      </w:r>
    </w:p>
    <w:p>
      <w:pPr>
        <w:pStyle w:val="ListBullet"/>
        <w:spacing w:after="60"/>
      </w:pPr>
      <w:r>
        <w:t>Open 10 Days or Less</w:t>
      </w:r>
    </w:p>
    <w:p>
      <w:pPr>
        <w:pStyle w:val="ListBullet"/>
        <w:spacing w:after="60"/>
      </w:pPr>
      <w:r>
        <w:t>Open 15 Days or Less</w:t>
      </w:r>
    </w:p>
    <w:p>
      <w:pPr>
        <w:pStyle w:val="ListBullet"/>
        <w:spacing w:after="60"/>
      </w:pPr>
      <w:r>
        <w:t>Open 20 Days or Less</w:t>
      </w:r>
    </w:p>
    <w:p>
      <w:pPr>
        <w:pStyle w:val="ListBullet"/>
        <w:spacing w:after="60"/>
      </w:pPr>
      <w:r>
        <w:t>Open 25 Days or Less</w:t>
      </w:r>
    </w:p>
    <w:p>
      <w:pPr>
        <w:pStyle w:val="ListBullet"/>
        <w:spacing w:after="60"/>
      </w:pPr>
      <w:r>
        <w:t>Open 30 Days or Less</w:t>
      </w:r>
    </w:p>
    <w:p>
      <w:pPr>
        <w:pStyle w:val="Heading1"/>
      </w:pPr>
      <w:r>
        <w:t>ANALYTICAL WORKSHEETS</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rPr>
                <w:b/>
              </w:rPr>
              <w:t>Worksheet / View</w:t>
            </w:r>
          </w:p>
        </w:tc>
        <w:tc>
          <w:tcPr>
            <w:tcW w:type="dxa" w:w="3389"/>
          </w:tcPr>
          <w:p>
            <w:r>
              <w:rPr>
                <w:b/>
              </w:rPr>
              <w:t>Purpose</w:t>
            </w:r>
          </w:p>
        </w:tc>
        <w:tc>
          <w:tcPr>
            <w:tcW w:type="dxa" w:w="3389"/>
          </w:tcPr>
          <w:p>
            <w:r>
              <w:rPr>
                <w:b/>
              </w:rPr>
              <w:t>Technique</w:t>
            </w:r>
          </w:p>
        </w:tc>
      </w:tr>
      <w:tr>
        <w:tc>
          <w:tcPr>
            <w:tcW w:type="dxa" w:w="3389"/>
            <w:vAlign w:val="center"/>
          </w:tcPr>
          <w:p>
            <w:r>
              <w:t>Variance Bar Chart</w:t>
            </w:r>
          </w:p>
        </w:tc>
        <w:tc>
          <w:tcPr>
            <w:tcW w:type="dxa" w:w="3389"/>
            <w:vAlign w:val="center"/>
          </w:tcPr>
          <w:p>
            <w:r>
              <w:t>Compare selected-week performance/workload across analytical dimensions.</w:t>
            </w:r>
          </w:p>
        </w:tc>
        <w:tc>
          <w:tcPr>
            <w:tcW w:type="dxa" w:w="3389"/>
            <w:vAlign w:val="center"/>
          </w:tcPr>
          <w:p>
            <w:r>
              <w:t>Variance calculations, bars and parameter/action context.</w:t>
            </w:r>
          </w:p>
        </w:tc>
      </w:tr>
      <w:tr>
        <w:tc>
          <w:tcPr>
            <w:tcW w:type="dxa" w:w="3389"/>
            <w:vAlign w:val="center"/>
          </w:tcPr>
          <w:p>
            <w:r>
              <w:t>Heatmap</w:t>
            </w:r>
          </w:p>
        </w:tc>
        <w:tc>
          <w:tcPr>
            <w:tcW w:type="dxa" w:w="3389"/>
            <w:vAlign w:val="center"/>
          </w:tcPr>
          <w:p>
            <w:r>
              <w:t>Compact pattern comparison across support dimensions.</w:t>
            </w:r>
          </w:p>
        </w:tc>
        <w:tc>
          <w:tcPr>
            <w:tcW w:type="dxa" w:w="3389"/>
            <w:vAlign w:val="center"/>
          </w:tcPr>
          <w:p>
            <w:r>
              <w:t>Colour encoding / matrix-style comparison.</w:t>
            </w:r>
          </w:p>
        </w:tc>
      </w:tr>
      <w:tr>
        <w:tc>
          <w:tcPr>
            <w:tcW w:type="dxa" w:w="3389"/>
            <w:vAlign w:val="center"/>
          </w:tcPr>
          <w:p>
            <w:r>
              <w:t>Drop Chart</w:t>
            </w:r>
          </w:p>
        </w:tc>
        <w:tc>
          <w:tcPr>
            <w:tcW w:type="dxa" w:w="3389"/>
            <w:vAlign w:val="center"/>
          </w:tcPr>
          <w:p>
            <w:r>
              <w:t>Show categorical performance/volume relationships.</w:t>
            </w:r>
          </w:p>
        </w:tc>
        <w:tc>
          <w:tcPr>
            <w:tcW w:type="dxa" w:w="3389"/>
            <w:vAlign w:val="center"/>
          </w:tcPr>
          <w:p>
            <w:r>
              <w:t>Categorical comparison and mark positioning.</w:t>
            </w:r>
          </w:p>
        </w:tc>
      </w:tr>
      <w:tr>
        <w:tc>
          <w:tcPr>
            <w:tcW w:type="dxa" w:w="3389"/>
            <w:vAlign w:val="center"/>
          </w:tcPr>
          <w:p>
            <w:r>
              <w:t>Severity</w:t>
            </w:r>
          </w:p>
        </w:tc>
        <w:tc>
          <w:tcPr>
            <w:tcW w:type="dxa" w:w="3389"/>
            <w:vAlign w:val="center"/>
          </w:tcPr>
          <w:p>
            <w:r>
              <w:t>Ticket distribution by severity.</w:t>
            </w:r>
          </w:p>
        </w:tc>
        <w:tc>
          <w:tcPr>
            <w:tcW w:type="dxa" w:w="3389"/>
            <w:vAlign w:val="center"/>
          </w:tcPr>
          <w:p>
            <w:r>
              <w:t>COUNTD Ticket Number.</w:t>
            </w:r>
          </w:p>
        </w:tc>
      </w:tr>
      <w:tr>
        <w:tc>
          <w:tcPr>
            <w:tcW w:type="dxa" w:w="3389"/>
            <w:vAlign w:val="center"/>
          </w:tcPr>
          <w:p>
            <w:r>
              <w:t>Severity (% of total)</w:t>
            </w:r>
          </w:p>
        </w:tc>
        <w:tc>
          <w:tcPr>
            <w:tcW w:type="dxa" w:w="3389"/>
            <w:vAlign w:val="center"/>
          </w:tcPr>
          <w:p>
            <w:r>
              <w:t>Relative share of severity.</w:t>
            </w:r>
          </w:p>
        </w:tc>
        <w:tc>
          <w:tcPr>
            <w:tcW w:type="dxa" w:w="3389"/>
            <w:vAlign w:val="center"/>
          </w:tcPr>
          <w:p>
            <w:r>
              <w:t>Percentage-of-total calculation.</w:t>
            </w:r>
          </w:p>
        </w:tc>
      </w:tr>
      <w:tr>
        <w:tc>
          <w:tcPr>
            <w:tcW w:type="dxa" w:w="3389"/>
            <w:vAlign w:val="center"/>
          </w:tcPr>
          <w:p>
            <w:r>
              <w:t>Issue Category</w:t>
            </w:r>
          </w:p>
        </w:tc>
        <w:tc>
          <w:tcPr>
            <w:tcW w:type="dxa" w:w="3389"/>
            <w:vAlign w:val="center"/>
          </w:tcPr>
          <w:p>
            <w:r>
              <w:t>Ticket distribution by issue category.</w:t>
            </w:r>
          </w:p>
        </w:tc>
        <w:tc>
          <w:tcPr>
            <w:tcW w:type="dxa" w:w="3389"/>
            <w:vAlign w:val="center"/>
          </w:tcPr>
          <w:p>
            <w:r>
              <w:t>COUNTD Ticket Number.</w:t>
            </w:r>
          </w:p>
        </w:tc>
      </w:tr>
      <w:tr>
        <w:tc>
          <w:tcPr>
            <w:tcW w:type="dxa" w:w="3389"/>
            <w:vAlign w:val="center"/>
          </w:tcPr>
          <w:p>
            <w:r>
              <w:t>Issue Category (% of total)</w:t>
            </w:r>
          </w:p>
        </w:tc>
        <w:tc>
          <w:tcPr>
            <w:tcW w:type="dxa" w:w="3389"/>
            <w:vAlign w:val="center"/>
          </w:tcPr>
          <w:p>
            <w:r>
              <w:t>Relative share of issue categories.</w:t>
            </w:r>
          </w:p>
        </w:tc>
        <w:tc>
          <w:tcPr>
            <w:tcW w:type="dxa" w:w="3389"/>
            <w:vAlign w:val="center"/>
          </w:tcPr>
          <w:p>
            <w:r>
              <w:t>Percentage-of-total calculation.</w:t>
            </w:r>
          </w:p>
        </w:tc>
      </w:tr>
      <w:tr>
        <w:tc>
          <w:tcPr>
            <w:tcW w:type="dxa" w:w="3389"/>
            <w:vAlign w:val="center"/>
          </w:tcPr>
          <w:p>
            <w:r>
              <w:t>Status</w:t>
            </w:r>
          </w:p>
        </w:tc>
        <w:tc>
          <w:tcPr>
            <w:tcW w:type="dxa" w:w="3389"/>
            <w:vAlign w:val="center"/>
          </w:tcPr>
          <w:p>
            <w:r>
              <w:t>Ticket distribution by status.</w:t>
            </w:r>
          </w:p>
        </w:tc>
        <w:tc>
          <w:tcPr>
            <w:tcW w:type="dxa" w:w="3389"/>
            <w:vAlign w:val="center"/>
          </w:tcPr>
          <w:p>
            <w:r>
              <w:t>COUNTD Ticket Number.</w:t>
            </w:r>
          </w:p>
        </w:tc>
      </w:tr>
      <w:tr>
        <w:tc>
          <w:tcPr>
            <w:tcW w:type="dxa" w:w="3389"/>
            <w:vAlign w:val="center"/>
          </w:tcPr>
          <w:p>
            <w:r>
              <w:t>Status (% of total)</w:t>
            </w:r>
          </w:p>
        </w:tc>
        <w:tc>
          <w:tcPr>
            <w:tcW w:type="dxa" w:w="3389"/>
            <w:vAlign w:val="center"/>
          </w:tcPr>
          <w:p>
            <w:r>
              <w:t>Relative share by status.</w:t>
            </w:r>
          </w:p>
        </w:tc>
        <w:tc>
          <w:tcPr>
            <w:tcW w:type="dxa" w:w="3389"/>
            <w:vAlign w:val="center"/>
          </w:tcPr>
          <w:p>
            <w:r>
              <w:t>Percentage-of-total calculation.</w:t>
            </w:r>
          </w:p>
        </w:tc>
      </w:tr>
      <w:tr>
        <w:tc>
          <w:tcPr>
            <w:tcW w:type="dxa" w:w="3389"/>
            <w:vAlign w:val="center"/>
          </w:tcPr>
          <w:p>
            <w:r>
              <w:t>Satisfaction</w:t>
            </w:r>
          </w:p>
        </w:tc>
        <w:tc>
          <w:tcPr>
            <w:tcW w:type="dxa" w:w="3389"/>
            <w:vAlign w:val="center"/>
          </w:tcPr>
          <w:p>
            <w:r>
              <w:t>Ticket distribution by satisfaction score.</w:t>
            </w:r>
          </w:p>
        </w:tc>
        <w:tc>
          <w:tcPr>
            <w:tcW w:type="dxa" w:w="3389"/>
            <w:vAlign w:val="center"/>
          </w:tcPr>
          <w:p>
            <w:r>
              <w:t>COUNTD Ticket Number.</w:t>
            </w:r>
          </w:p>
        </w:tc>
      </w:tr>
      <w:tr>
        <w:tc>
          <w:tcPr>
            <w:tcW w:type="dxa" w:w="3389"/>
            <w:vAlign w:val="center"/>
          </w:tcPr>
          <w:p>
            <w:r>
              <w:t>Satisfaction (% of total)</w:t>
            </w:r>
          </w:p>
        </w:tc>
        <w:tc>
          <w:tcPr>
            <w:tcW w:type="dxa" w:w="3389"/>
            <w:vAlign w:val="center"/>
          </w:tcPr>
          <w:p>
            <w:r>
              <w:t>Relative satisfaction composition.</w:t>
            </w:r>
          </w:p>
        </w:tc>
        <w:tc>
          <w:tcPr>
            <w:tcW w:type="dxa" w:w="3389"/>
            <w:vAlign w:val="center"/>
          </w:tcPr>
          <w:p>
            <w:r>
              <w:t>Percentage-of-total calculation.</w:t>
            </w:r>
          </w:p>
        </w:tc>
      </w:tr>
    </w:tbl>
    <w:p/>
    <w:p>
      <w:pPr>
        <w:pStyle w:val="Heading1"/>
      </w:pPr>
      <w:r>
        <w:t>KEY TABLEAU TECHNIQUES</w:t>
      </w:r>
    </w:p>
    <w:p>
      <w:pPr>
        <w:pStyle w:val="ListBullet"/>
        <w:spacing w:after="60"/>
      </w:pPr>
      <w:r>
        <w:t>Parameters for user-controlled analysis.</w:t>
      </w:r>
    </w:p>
    <w:p>
      <w:pPr>
        <w:pStyle w:val="ListBullet"/>
        <w:spacing w:after="60"/>
      </w:pPr>
      <w:r>
        <w:t>Selected-week parameterization.</w:t>
      </w:r>
    </w:p>
    <w:p>
      <w:pPr>
        <w:pStyle w:val="ListBullet"/>
        <w:spacing w:after="60"/>
      </w:pPr>
      <w:r>
        <w:t>DATETRUNC('week', ...) for weekly time logic.</w:t>
      </w:r>
    </w:p>
    <w:p>
      <w:pPr>
        <w:pStyle w:val="ListBullet"/>
        <w:spacing w:after="60"/>
      </w:pPr>
      <w:r>
        <w:t>Conditional calculations using IF / THEN / ELSE.</w:t>
      </w:r>
    </w:p>
    <w:p>
      <w:pPr>
        <w:pStyle w:val="ListBullet"/>
        <w:spacing w:after="60"/>
      </w:pPr>
      <w:r>
        <w:t>Nested FIXED Level of Detail expressions.</w:t>
      </w:r>
    </w:p>
    <w:p>
      <w:pPr>
        <w:pStyle w:val="ListBullet"/>
        <w:spacing w:after="60"/>
      </w:pPr>
      <w:r>
        <w:t>COUNTD for distinct-ticket measurement.</w:t>
      </w:r>
    </w:p>
    <w:p>
      <w:pPr>
        <w:pStyle w:val="ListBullet"/>
        <w:spacing w:after="60"/>
      </w:pPr>
      <w:r>
        <w:t>AVG and COUNT aggregation.</w:t>
      </w:r>
    </w:p>
    <w:p>
      <w:pPr>
        <w:pStyle w:val="ListBullet"/>
        <w:spacing w:after="60"/>
      </w:pPr>
      <w:r>
        <w:t>Absolute and percentage variance calculations.</w:t>
      </w:r>
    </w:p>
    <w:p>
      <w:pPr>
        <w:pStyle w:val="ListBullet"/>
        <w:spacing w:after="60"/>
      </w:pPr>
      <w:r>
        <w:t>Selected-week versus overall benchmarking.</w:t>
      </w:r>
    </w:p>
    <w:p>
      <w:pPr>
        <w:pStyle w:val="ListBullet"/>
        <w:spacing w:after="60"/>
      </w:pPr>
      <w:r>
        <w:t>Parameter-driven ticket-aging set selection.</w:t>
      </w:r>
    </w:p>
    <w:p>
      <w:pPr>
        <w:pStyle w:val="ListBullet"/>
        <w:spacing w:after="60"/>
      </w:pPr>
      <w:r>
        <w:t>Percentage-of-total analytical views.</w:t>
      </w:r>
    </w:p>
    <w:p>
      <w:pPr>
        <w:pStyle w:val="ListBullet"/>
        <w:spacing w:after="60"/>
      </w:pPr>
      <w:r>
        <w:t>Dashboard actions and interactive selections.</w:t>
      </w:r>
    </w:p>
    <w:p>
      <w:pPr>
        <w:pStyle w:val="ListBullet"/>
        <w:spacing w:after="60"/>
      </w:pPr>
      <w:r>
        <w:t>KPI card construction.</w:t>
      </w:r>
    </w:p>
    <w:p>
      <w:pPr>
        <w:pStyle w:val="ListBullet"/>
        <w:spacing w:after="60"/>
      </w:pPr>
      <w:r>
        <w:t>Variance indicators and directional arrows.</w:t>
      </w:r>
    </w:p>
    <w:p>
      <w:pPr>
        <w:pStyle w:val="ListBullet"/>
        <w:spacing w:after="60"/>
      </w:pPr>
      <w:r>
        <w:t>Heatmap and categorical comparison design.</w:t>
      </w:r>
    </w:p>
    <w:p>
      <w:pPr>
        <w:pStyle w:val="ListBullet"/>
        <w:spacing w:after="60"/>
      </w:pPr>
      <w:r>
        <w:t>Dashboard composition with supporting navigation objects.</w:t>
      </w:r>
    </w:p>
    <w:p>
      <w:pPr>
        <w:pStyle w:val="ListBullet"/>
        <w:spacing w:after="60"/>
      </w:pPr>
      <w:r>
        <w:t>Phone layout support.</w:t>
      </w:r>
    </w:p>
    <w:p>
      <w:pPr>
        <w:pStyle w:val="Heading1"/>
      </w:pPr>
      <w:r>
        <w:t>COMPLETE ANALYTICAL WORKFLOW</w:t>
      </w:r>
    </w:p>
    <w:p>
      <w:pPr>
        <w:pStyle w:val="ListBullet"/>
        <w:spacing w:after="60"/>
      </w:pPr>
      <w:r>
        <w:t>Understand the selected business period by choosing the week through the Selected Week parameter.</w:t>
      </w:r>
    </w:p>
    <w:p>
      <w:pPr>
        <w:pStyle w:val="ListBullet"/>
        <w:spacing w:after="60"/>
      </w:pPr>
      <w:r>
        <w:t>Measure workload using distinct ticket count.</w:t>
      </w:r>
    </w:p>
    <w:p>
      <w:pPr>
        <w:pStyle w:val="ListBullet"/>
        <w:spacing w:after="60"/>
      </w:pPr>
      <w:r>
        <w:t>Benchmark workload against the average weekly ticket baseline.</w:t>
      </w:r>
    </w:p>
    <w:p>
      <w:pPr>
        <w:pStyle w:val="ListBullet"/>
        <w:spacing w:after="60"/>
      </w:pPr>
      <w:r>
        <w:t>Measure ticket persistence through Average Days Open.</w:t>
      </w:r>
    </w:p>
    <w:p>
      <w:pPr>
        <w:pStyle w:val="ListBullet"/>
        <w:spacing w:after="60"/>
      </w:pPr>
      <w:r>
        <w:t>Benchmark Days Open against the broader weekly average.</w:t>
      </w:r>
    </w:p>
    <w:p>
      <w:pPr>
        <w:pStyle w:val="ListBullet"/>
        <w:spacing w:after="60"/>
      </w:pPr>
      <w:r>
        <w:t>Measure resolution performance through Resolved Rate.</w:t>
      </w:r>
    </w:p>
    <w:p>
      <w:pPr>
        <w:pStyle w:val="ListBullet"/>
        <w:spacing w:after="60"/>
      </w:pPr>
      <w:r>
        <w:t>Measure service experience through the Highly Satisfied percentage.</w:t>
      </w:r>
    </w:p>
    <w:p>
      <w:pPr>
        <w:pStyle w:val="ListBullet"/>
        <w:spacing w:after="60"/>
      </w:pPr>
      <w:r>
        <w:t>Break down workload by Severity, Issue Category, Status and Satisfaction.</w:t>
      </w:r>
    </w:p>
    <w:p>
      <w:pPr>
        <w:pStyle w:val="ListBullet"/>
        <w:spacing w:after="60"/>
      </w:pPr>
      <w:r>
        <w:t>Explore Owner Group and Ticket Type through dashboard interactions.</w:t>
      </w:r>
    </w:p>
    <w:p>
      <w:pPr>
        <w:pStyle w:val="ListBullet"/>
        <w:spacing w:after="60"/>
      </w:pPr>
      <w:r>
        <w:t>Switch between ticket-aging populations using the parameter-driven thresholds.</w:t>
      </w:r>
    </w:p>
    <w:p>
      <w:pPr>
        <w:pStyle w:val="ListBullet"/>
        <w:spacing w:after="60"/>
      </w:pPr>
      <w:r>
        <w:t>Use variance, heatmap and drop-chart views to identify where performance differences occur.</w:t>
      </w:r>
    </w:p>
    <w:p>
      <w:pPr>
        <w:pStyle w:val="Heading1"/>
      </w:pPr>
      <w:r>
        <w:t>PROBLEMS SOLVED</w:t>
      </w:r>
    </w:p>
    <w:p>
      <w:pPr>
        <w:pStyle w:val="Heading2"/>
      </w:pPr>
      <w:r>
        <w:t>Problem 1 — Workload visibility</w:t>
      </w:r>
    </w:p>
    <w:p>
      <w:r>
        <w:t>Raw ticket records do not immediately show whether a particular week is unusually busy. The dashboard solves this with a selected-week KPI and weekly baseline so workload deviation is visible immediately.</w:t>
      </w:r>
    </w:p>
    <w:p>
      <w:pPr>
        <w:pStyle w:val="Heading2"/>
      </w:pPr>
      <w:r>
        <w:t>Problem 2 — Service performance context</w:t>
      </w:r>
    </w:p>
    <w:p>
      <w:r>
        <w:t>A resolution rate or satisfaction percentage has limited meaning without a comparison point. The dashboard therefore compares selected-week performance with broader weekly or overall performance.</w:t>
      </w:r>
    </w:p>
    <w:p>
      <w:pPr>
        <w:pStyle w:val="Heading2"/>
      </w:pPr>
      <w:r>
        <w:t>Problem 3 — Ticket aging</w:t>
      </w:r>
    </w:p>
    <w:p>
      <w:r>
        <w:t>Open-ticket duration can be difficult to analyze from raw records. Average Days Open and configurable aging thresholds provide multiple ways to understand ticket persistence.</w:t>
      </w:r>
    </w:p>
    <w:p>
      <w:pPr>
        <w:pStyle w:val="Heading2"/>
      </w:pPr>
      <w:r>
        <w:t>Problem 4 — Root-cause exploration</w:t>
      </w:r>
    </w:p>
    <w:p>
      <w:r>
        <w:t>Overall ticket volume does not explain which types of issues drive workload. Severity, Issue Category, Status and Satisfaction views provide the categorical breakdown required to move from headline KPIs into potential workload drivers.</w:t>
      </w:r>
    </w:p>
    <w:p>
      <w:pPr>
        <w:pStyle w:val="Heading1"/>
      </w:pPr>
      <w:r>
        <w:t>OPERATIONAL USEFULNESS</w:t>
      </w:r>
    </w:p>
    <w:p>
      <w:pPr>
        <w:pStyle w:val="ListBullet"/>
        <w:spacing w:after="60"/>
      </w:pPr>
      <w:r>
        <w:t>Weekly support workload monitoring.</w:t>
      </w:r>
    </w:p>
    <w:p>
      <w:pPr>
        <w:pStyle w:val="ListBullet"/>
        <w:spacing w:after="60"/>
      </w:pPr>
      <w:r>
        <w:t>Identification of unusually high or low ticket-volume periods.</w:t>
      </w:r>
    </w:p>
    <w:p>
      <w:pPr>
        <w:pStyle w:val="ListBullet"/>
        <w:spacing w:after="60"/>
      </w:pPr>
      <w:r>
        <w:t>Resolution-performance monitoring.</w:t>
      </w:r>
    </w:p>
    <w:p>
      <w:pPr>
        <w:pStyle w:val="ListBullet"/>
        <w:spacing w:after="60"/>
      </w:pPr>
      <w:r>
        <w:t>Ticket-aging analysis.</w:t>
      </w:r>
    </w:p>
    <w:p>
      <w:pPr>
        <w:pStyle w:val="ListBullet"/>
        <w:spacing w:after="60"/>
      </w:pPr>
      <w:r>
        <w:t>Customer/requestor satisfaction monitoring.</w:t>
      </w:r>
    </w:p>
    <w:p>
      <w:pPr>
        <w:pStyle w:val="ListBullet"/>
        <w:spacing w:after="60"/>
      </w:pPr>
      <w:r>
        <w:t>Severity and issue-category prioritization.</w:t>
      </w:r>
    </w:p>
    <w:p>
      <w:pPr>
        <w:pStyle w:val="ListBullet"/>
        <w:spacing w:after="60"/>
      </w:pPr>
      <w:r>
        <w:t>Status-distribution analysis.</w:t>
      </w:r>
    </w:p>
    <w:p>
      <w:pPr>
        <w:pStyle w:val="ListBullet"/>
        <w:spacing w:after="60"/>
      </w:pPr>
      <w:r>
        <w:t>Support-owner and ticket-type exploration.</w:t>
      </w:r>
    </w:p>
    <w:p>
      <w:pPr>
        <w:pStyle w:val="ListBullet"/>
        <w:spacing w:after="60"/>
      </w:pPr>
      <w:r>
        <w:t>Interactive movement from KPI-level performance into categorical detail.</w:t>
      </w:r>
    </w:p>
    <w:p>
      <w:pPr>
        <w:pStyle w:val="Heading1"/>
      </w:pPr>
      <w:r>
        <w:t>PROJECT SKILLS &amp; TOOLS</w:t>
      </w:r>
    </w:p>
    <w:p>
      <w:pPr>
        <w:pStyle w:val="ListBullet"/>
        <w:spacing w:after="60"/>
      </w:pPr>
      <w:r>
        <w:t>Tableau Dashboard Development</w:t>
      </w:r>
    </w:p>
    <w:p>
      <w:pPr>
        <w:pStyle w:val="ListBullet"/>
        <w:spacing w:after="60"/>
      </w:pPr>
      <w:r>
        <w:t>Service Desk / Support Analytics</w:t>
      </w:r>
    </w:p>
    <w:p>
      <w:pPr>
        <w:pStyle w:val="ListBullet"/>
        <w:spacing w:after="60"/>
      </w:pPr>
      <w:r>
        <w:t>KPI Design</w:t>
      </w:r>
    </w:p>
    <w:p>
      <w:pPr>
        <w:pStyle w:val="ListBullet"/>
        <w:spacing w:after="60"/>
      </w:pPr>
      <w:r>
        <w:t>Weekly Trend Analysis</w:t>
      </w:r>
    </w:p>
    <w:p>
      <w:pPr>
        <w:pStyle w:val="ListBullet"/>
        <w:spacing w:after="60"/>
      </w:pPr>
      <w:r>
        <w:t>Parameter-Driven Analytics</w:t>
      </w:r>
    </w:p>
    <w:p>
      <w:pPr>
        <w:pStyle w:val="ListBullet"/>
        <w:spacing w:after="60"/>
      </w:pPr>
      <w:r>
        <w:t>FIXED Level of Detail (LOD) Calculations</w:t>
      </w:r>
    </w:p>
    <w:p>
      <w:pPr>
        <w:pStyle w:val="ListBullet"/>
        <w:spacing w:after="60"/>
      </w:pPr>
      <w:r>
        <w:t>Distinct Count / COUNTD Analysis</w:t>
      </w:r>
    </w:p>
    <w:p>
      <w:pPr>
        <w:pStyle w:val="ListBullet"/>
        <w:spacing w:after="60"/>
      </w:pPr>
      <w:r>
        <w:t>Variance &amp; Benchmarking</w:t>
      </w:r>
    </w:p>
    <w:p>
      <w:pPr>
        <w:pStyle w:val="ListBullet"/>
        <w:spacing w:after="60"/>
      </w:pPr>
      <w:r>
        <w:t>Percentage-of-Total Analysis</w:t>
      </w:r>
    </w:p>
    <w:p>
      <w:pPr>
        <w:pStyle w:val="ListBullet"/>
        <w:spacing w:after="60"/>
      </w:pPr>
      <w:r>
        <w:t>Ticket Aging Analysis</w:t>
      </w:r>
    </w:p>
    <w:p>
      <w:pPr>
        <w:pStyle w:val="ListBullet"/>
        <w:spacing w:after="60"/>
      </w:pPr>
      <w:r>
        <w:t>Dashboard Actions</w:t>
      </w:r>
    </w:p>
    <w:p>
      <w:pPr>
        <w:pStyle w:val="ListBullet"/>
        <w:spacing w:after="60"/>
      </w:pPr>
      <w:r>
        <w:t>Interactive Filters &amp; Selections</w:t>
      </w:r>
    </w:p>
    <w:p>
      <w:pPr>
        <w:pStyle w:val="ListBullet"/>
        <w:spacing w:after="60"/>
      </w:pPr>
      <w:r>
        <w:t>Heatmaps &amp; Categorical Visualizations</w:t>
      </w:r>
    </w:p>
    <w:p>
      <w:pPr>
        <w:pStyle w:val="ListBullet"/>
        <w:spacing w:after="60"/>
      </w:pPr>
      <w:r>
        <w:t>Conditional Calculations</w:t>
      </w:r>
    </w:p>
    <w:p>
      <w:pPr>
        <w:pStyle w:val="ListBullet"/>
        <w:spacing w:after="60"/>
      </w:pPr>
      <w:r>
        <w:t>Data Segmentation</w:t>
      </w:r>
    </w:p>
    <w:p>
      <w:pPr>
        <w:pStyle w:val="Heading1"/>
      </w:pPr>
      <w:r>
        <w:t>PROJECT RESULT</w:t>
      </w:r>
    </w:p>
    <w:p>
      <w:r>
        <w:t>The final dashboard provides a compact weekly service-analytics experience where users can identify workload deviations, resolution performance, ticket aging and satisfaction changes, then explore the categorical dimensions contributing to those results.</w:t>
      </w:r>
    </w:p>
    <w:p>
      <w:r>
        <w:t>The strongest technical aspect of the project is the combination of parameter-driven analysis, nested FIXED LOD calculations, distinct-ticket counting, variance logic, aging-set controls and interactive dashboard actions.</w:t>
      </w:r>
    </w:p>
    <w:p>
      <w:pPr>
        <w:pStyle w:val="Heading1"/>
      </w:pPr>
      <w:r>
        <w:t>PORTFOLIO PROJECT SUMMARY</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Attribute</w:t>
            </w:r>
          </w:p>
        </w:tc>
        <w:tc>
          <w:tcPr>
            <w:tcW w:type="dxa" w:w="5083"/>
          </w:tcPr>
          <w:p>
            <w:r>
              <w:rPr>
                <w:b/>
              </w:rPr>
              <w:t>Details</w:t>
            </w:r>
          </w:p>
        </w:tc>
      </w:tr>
      <w:tr>
        <w:tc>
          <w:tcPr>
            <w:tcW w:type="dxa" w:w="5083"/>
            <w:vAlign w:val="center"/>
          </w:tcPr>
          <w:p>
            <w:r>
              <w:t>Project Name</w:t>
            </w:r>
          </w:p>
        </w:tc>
        <w:tc>
          <w:tcPr>
            <w:tcW w:type="dxa" w:w="5083"/>
            <w:vAlign w:val="center"/>
          </w:tcPr>
          <w:p>
            <w:r>
              <w:t>Help Desk — Weekly Analysis Dashboard</w:t>
            </w:r>
          </w:p>
        </w:tc>
      </w:tr>
      <w:tr>
        <w:tc>
          <w:tcPr>
            <w:tcW w:type="dxa" w:w="5083"/>
            <w:vAlign w:val="center"/>
          </w:tcPr>
          <w:p>
            <w:r>
              <w:t>Category</w:t>
            </w:r>
          </w:p>
        </w:tc>
        <w:tc>
          <w:tcPr>
            <w:tcW w:type="dxa" w:w="5083"/>
            <w:vAlign w:val="center"/>
          </w:tcPr>
          <w:p>
            <w:r>
              <w:t>Data Analytics / Tableau / Service Desk Analytics</w:t>
            </w:r>
          </w:p>
        </w:tc>
      </w:tr>
      <w:tr>
        <w:tc>
          <w:tcPr>
            <w:tcW w:type="dxa" w:w="5083"/>
            <w:vAlign w:val="center"/>
          </w:tcPr>
          <w:p>
            <w:r>
              <w:t>Tool</w:t>
            </w:r>
          </w:p>
        </w:tc>
        <w:tc>
          <w:tcPr>
            <w:tcW w:type="dxa" w:w="5083"/>
            <w:vAlign w:val="center"/>
          </w:tcPr>
          <w:p>
            <w:r>
              <w:t>Tableau</w:t>
            </w:r>
          </w:p>
        </w:tc>
      </w:tr>
      <w:tr>
        <w:tc>
          <w:tcPr>
            <w:tcW w:type="dxa" w:w="5083"/>
            <w:vAlign w:val="center"/>
          </w:tcPr>
          <w:p>
            <w:r>
              <w:t>Main Dashboard</w:t>
            </w:r>
          </w:p>
        </w:tc>
        <w:tc>
          <w:tcPr>
            <w:tcW w:type="dxa" w:w="5083"/>
            <w:vAlign w:val="center"/>
          </w:tcPr>
          <w:p>
            <w:r>
              <w:t>Help Desk | Weekly Analysis</w:t>
            </w:r>
          </w:p>
        </w:tc>
      </w:tr>
      <w:tr>
        <w:tc>
          <w:tcPr>
            <w:tcW w:type="dxa" w:w="5083"/>
            <w:vAlign w:val="center"/>
          </w:tcPr>
          <w:p>
            <w:r>
              <w:t>Core Interaction</w:t>
            </w:r>
          </w:p>
        </w:tc>
        <w:tc>
          <w:tcPr>
            <w:tcW w:type="dxa" w:w="5083"/>
            <w:vAlign w:val="center"/>
          </w:tcPr>
          <w:p>
            <w:r>
              <w:t>Selected Week parameter</w:t>
            </w:r>
          </w:p>
        </w:tc>
      </w:tr>
      <w:tr>
        <w:tc>
          <w:tcPr>
            <w:tcW w:type="dxa" w:w="5083"/>
            <w:vAlign w:val="center"/>
          </w:tcPr>
          <w:p>
            <w:r>
              <w:t>Primary KPI Layer</w:t>
            </w:r>
          </w:p>
        </w:tc>
        <w:tc>
          <w:tcPr>
            <w:tcW w:type="dxa" w:w="5083"/>
            <w:vAlign w:val="center"/>
          </w:tcPr>
          <w:p>
            <w:r>
              <w:t>Ticket volume, average Days Open, Resolved Rate, Highly Satisfied percentage</w:t>
            </w:r>
          </w:p>
        </w:tc>
      </w:tr>
      <w:tr>
        <w:tc>
          <w:tcPr>
            <w:tcW w:type="dxa" w:w="5083"/>
            <w:vAlign w:val="center"/>
          </w:tcPr>
          <w:p>
            <w:r>
              <w:t>Benchmarking</w:t>
            </w:r>
          </w:p>
        </w:tc>
        <w:tc>
          <w:tcPr>
            <w:tcW w:type="dxa" w:w="5083"/>
            <w:vAlign w:val="center"/>
          </w:tcPr>
          <w:p>
            <w:r>
              <w:t>Selected week vs weekly / overall baseline</w:t>
            </w:r>
          </w:p>
        </w:tc>
      </w:tr>
      <w:tr>
        <w:tc>
          <w:tcPr>
            <w:tcW w:type="dxa" w:w="5083"/>
            <w:vAlign w:val="center"/>
          </w:tcPr>
          <w:p>
            <w:r>
              <w:t>Dimensions</w:t>
            </w:r>
          </w:p>
        </w:tc>
        <w:tc>
          <w:tcPr>
            <w:tcW w:type="dxa" w:w="5083"/>
            <w:vAlign w:val="center"/>
          </w:tcPr>
          <w:p>
            <w:r>
              <w:t>Severity, Issue Category, Status, Satisfaction, Owner Group, Ticket Type</w:t>
            </w:r>
          </w:p>
        </w:tc>
      </w:tr>
      <w:tr>
        <w:tc>
          <w:tcPr>
            <w:tcW w:type="dxa" w:w="5083"/>
            <w:vAlign w:val="center"/>
          </w:tcPr>
          <w:p>
            <w:r>
              <w:t>Advanced Technique</w:t>
            </w:r>
          </w:p>
        </w:tc>
        <w:tc>
          <w:tcPr>
            <w:tcW w:type="dxa" w:w="5083"/>
            <w:vAlign w:val="center"/>
          </w:tcPr>
          <w:p>
            <w:r>
              <w:t>Nested FIXED LOD expressions</w:t>
            </w:r>
          </w:p>
        </w:tc>
      </w:tr>
      <w:tr>
        <w:tc>
          <w:tcPr>
            <w:tcW w:type="dxa" w:w="5083"/>
            <w:vAlign w:val="center"/>
          </w:tcPr>
          <w:p>
            <w:r>
              <w:t>Ticket Aging</w:t>
            </w:r>
          </w:p>
        </w:tc>
        <w:tc>
          <w:tcPr>
            <w:tcW w:type="dxa" w:w="5083"/>
            <w:vAlign w:val="center"/>
          </w:tcPr>
          <w:p>
            <w:r>
              <w:t>All Tickets, Resolved Within, 5/10/15/20/25/30-day thresholds</w:t>
            </w:r>
          </w:p>
        </w:tc>
      </w:tr>
      <w:tr>
        <w:tc>
          <w:tcPr>
            <w:tcW w:type="dxa" w:w="5083"/>
            <w:vAlign w:val="center"/>
          </w:tcPr>
          <w:p>
            <w:r>
              <w:t>Supporting Views</w:t>
            </w:r>
          </w:p>
        </w:tc>
        <w:tc>
          <w:tcPr>
            <w:tcW w:type="dxa" w:w="5083"/>
            <w:vAlign w:val="center"/>
          </w:tcPr>
          <w:p>
            <w:r>
              <w:t>Variance bar chart, heatmap, drop chart, percentage-of-total views</w:t>
            </w:r>
          </w:p>
        </w:tc>
      </w:tr>
    </w:tbl>
    <w:p/>
    <w:p>
      <w:pPr>
        <w:pStyle w:val="Heading1"/>
      </w:pPr>
      <w:r>
        <w:t>PORTFOLIO SHORT DESCRIPTION</w:t>
      </w:r>
    </w:p>
    <w:p>
      <w:r>
        <w:t>Built an interactive Tableau Help Desk analytics dashboard to monitor weekly ticket workload, average Days Open, resolution rate and satisfaction, using selected-week benchmarking, FIXED LOD variance analysis, ticket-aging thresholds and categorical service breakdowns.</w:t>
      </w:r>
    </w:p>
    <w:p>
      <w:pPr>
        <w:pStyle w:val="Heading1"/>
      </w:pPr>
      <w:r>
        <w:t>PROJECT DISCLAIMER &amp; DATA SCOPE</w:t>
      </w:r>
    </w:p>
    <w:p>
      <w:r>
        <w:t>This portfolio case study is based on the supplied Tableau project documentation and its documented workbook structure. It describes the analytical logic, fields, calculations and dashboard techniques represented by the project.</w:t>
      </w:r>
    </w:p>
    <w:p>
      <w:r>
        <w:t>No claim is made about real organizational ticket volumes, SLA compliance, revenue impact, productivity improvement or other business impact beyond what the supplied project demonstrates.</w:t>
      </w:r>
    </w:p>
    <w:p>
      <w:r>
        <w:t>The project should be treated as an analytical/service-monitoring dashboard unless it is separately connected to a live operational Help Desk source.</w:t>
      </w:r>
    </w:p>
    <w:p>
      <w:r>
        <w:t>The workbook also contains a Sample - Superstore datasource, but the Help Desk analysis documented here is based on the Help Desk datasource.</w:t>
      </w:r>
    </w:p>
    <w:p>
      <w:pPr>
        <w:pStyle w:val="Heading1"/>
      </w:pPr>
      <w:r>
        <w:t>FUTURE ENHANCEMENTS</w:t>
      </w:r>
    </w:p>
    <w:p>
      <w:pPr>
        <w:pStyle w:val="ListBullet"/>
        <w:spacing w:after="60"/>
      </w:pPr>
      <w:r>
        <w:t>Add explicit SLA compliance and breach-rate metrics if SLA target data is available.</w:t>
      </w:r>
    </w:p>
    <w:p>
      <w:pPr>
        <w:pStyle w:val="ListBullet"/>
        <w:spacing w:after="60"/>
      </w:pPr>
      <w:r>
        <w:t>Add first-response time and resolution-time distributions.</w:t>
      </w:r>
    </w:p>
    <w:p>
      <w:pPr>
        <w:pStyle w:val="ListBullet"/>
        <w:spacing w:after="60"/>
      </w:pPr>
      <w:r>
        <w:t>Add week-over-week and month-over-month trend indicators.</w:t>
      </w:r>
    </w:p>
    <w:p>
      <w:pPr>
        <w:pStyle w:val="ListBullet"/>
        <w:spacing w:after="60"/>
      </w:pPr>
      <w:r>
        <w:t>Add owner-group performance benchmarking.</w:t>
      </w:r>
    </w:p>
    <w:p>
      <w:pPr>
        <w:pStyle w:val="ListBullet"/>
        <w:spacing w:after="60"/>
      </w:pPr>
      <w:r>
        <w:t>Add a ticket-backlog KPI.</w:t>
      </w:r>
    </w:p>
    <w:p>
      <w:pPr>
        <w:pStyle w:val="ListBullet"/>
        <w:spacing w:after="60"/>
      </w:pPr>
      <w:r>
        <w:t>Add aging buckets with explicit percentages of total open tickets.</w:t>
      </w:r>
    </w:p>
    <w:p>
      <w:pPr>
        <w:pStyle w:val="ListBullet"/>
        <w:spacing w:after="60"/>
      </w:pPr>
      <w:r>
        <w:t>Add a dynamic selected-week title and explanatory subtitle.</w:t>
      </w:r>
    </w:p>
    <w:p>
      <w:pPr>
        <w:pStyle w:val="ListBullet"/>
        <w:spacing w:after="60"/>
      </w:pPr>
      <w:r>
        <w:t>Add a data-quality section covering missing and duplicate ticket records.</w:t>
      </w:r>
    </w:p>
    <w:p>
      <w:pPr>
        <w:pStyle w:val="ListBullet"/>
        <w:spacing w:after="60"/>
      </w:pPr>
      <w:r>
        <w:t>Add alert-oriented indicators for unusually high workload or declining satisfaction.</w:t>
      </w:r>
    </w:p>
    <w:p>
      <w:pPr>
        <w:pStyle w:val="ListBullet"/>
        <w:spacing w:after="60"/>
      </w:pPr>
      <w:r>
        <w:t>Add documented metric definitions so non-technical users can interpret each KPI consistently.</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