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ptos Display" w:hAnsi="Aptos Display"/>
          <w:b/>
          <w:color w:val="3B45E6"/>
          <w:sz w:val="18"/>
        </w:rPr>
        <w:t>PROJECT DESCRIPTION</w:t>
      </w:r>
    </w:p>
    <w:p>
      <w:pPr>
        <w:spacing w:after="60"/>
      </w:pPr>
      <w:r>
        <w:rPr>
          <w:rFonts w:ascii="Aptos Display" w:hAnsi="Aptos Display"/>
          <w:b/>
          <w:color w:val="101828"/>
          <w:sz w:val="44"/>
        </w:rPr>
        <w:t>Heart Stroke Prediction using Machine Learning</w:t>
      </w:r>
    </w:p>
    <w:p>
      <w:pPr>
        <w:spacing w:after="240"/>
      </w:pPr>
      <w:r>
        <w:rPr>
          <w:color w:val="475467"/>
          <w:sz w:val="20"/>
        </w:rPr>
        <w:t>AI &amp; ML Models  •  Classification  •  Python  •  Machine Learning</w:t>
      </w:r>
    </w:p>
    <w:p>
      <w:pPr>
        <w:spacing w:before="260" w:after="120"/>
      </w:pPr>
      <w:r>
        <w:rPr>
          <w:rFonts w:ascii="Aptos Display" w:hAnsi="Aptos Display"/>
          <w:b/>
          <w:color w:val="101828"/>
          <w:sz w:val="28"/>
        </w:rPr>
        <w:t>OBJECTIVE</w:t>
      </w:r>
    </w:p>
    <w:p>
      <w:pPr>
        <w:spacing w:after="120" w:line="269" w:lineRule="auto"/>
      </w:pPr>
      <w:r>
        <w:rPr>
          <w:color w:val="475467"/>
        </w:rPr>
        <w:t>Develop a machine-learning classification solution that estimates stroke risk from a set of demographic, health, lifestyle and clinical attributes. The project covers the complete analytical lifecycle documented in the supplied notebook: problem definition, data collection, data cleaning, exploratory analysis, preprocessing, feature preparation, model training, model comparison and selection.</w:t>
      </w:r>
    </w:p>
    <w:p>
      <w:pPr>
        <w:spacing w:before="260" w:after="120"/>
      </w:pPr>
      <w:r>
        <w:rPr>
          <w:rFonts w:ascii="Aptos Display" w:hAnsi="Aptos Display"/>
          <w:b/>
          <w:color w:val="101828"/>
          <w:sz w:val="28"/>
        </w:rPr>
        <w:t>REQUIREMENTS</w:t>
      </w:r>
    </w:p>
    <w:p>
      <w:pPr>
        <w:spacing w:after="120" w:line="269" w:lineRule="auto"/>
      </w:pPr>
      <w:r>
        <w:rPr>
          <w:color w:val="475467"/>
        </w:rPr>
        <w:t>The solution requires a structured health dataset and a repeatable preprocessing and prediction workflow.</w:t>
      </w:r>
    </w:p>
    <w:p>
      <w:pPr>
        <w:pStyle w:val="ListBullet"/>
        <w:spacing w:after="60" w:line="259" w:lineRule="auto"/>
        <w:ind w:left="317"/>
      </w:pPr>
      <w:r>
        <w:rPr>
          <w:color w:val="475467"/>
          <w:sz w:val="20"/>
        </w:rPr>
        <w:t>Use demographic and health-related predictors including gender, age, hypertension, heart disease, marital status, work type, residence type, average glucose level, BMI and smoking status.</w:t>
      </w:r>
    </w:p>
    <w:p>
      <w:pPr>
        <w:pStyle w:val="ListBullet"/>
        <w:spacing w:after="60" w:line="259" w:lineRule="auto"/>
        <w:ind w:left="317"/>
      </w:pPr>
      <w:r>
        <w:rPr>
          <w:color w:val="475467"/>
          <w:sz w:val="20"/>
        </w:rPr>
        <w:t>Treat stroke as the target variable to be predicted.</w:t>
      </w:r>
    </w:p>
    <w:p>
      <w:pPr>
        <w:pStyle w:val="ListBullet"/>
        <w:spacing w:after="60" w:line="259" w:lineRule="auto"/>
        <w:ind w:left="317"/>
      </w:pPr>
      <w:r>
        <w:rPr>
          <w:color w:val="475467"/>
          <w:sz w:val="20"/>
        </w:rPr>
        <w:t>Inspect dataset structure, data types, missing values, distributions, categorical relationships and numerical relationships before modelling.</w:t>
      </w:r>
    </w:p>
    <w:p>
      <w:pPr>
        <w:pStyle w:val="ListBullet"/>
        <w:spacing w:after="60" w:line="259" w:lineRule="auto"/>
        <w:ind w:left="317"/>
      </w:pPr>
      <w:r>
        <w:rPr>
          <w:color w:val="475467"/>
          <w:sz w:val="20"/>
        </w:rPr>
        <w:t>Prepare categorical variables for machine-learning algorithms through label encoding and standardize the model input features.</w:t>
      </w:r>
    </w:p>
    <w:p>
      <w:pPr>
        <w:pStyle w:val="ListBullet"/>
        <w:spacing w:after="60" w:line="259" w:lineRule="auto"/>
        <w:ind w:left="317"/>
      </w:pPr>
      <w:r>
        <w:rPr>
          <w:color w:val="475467"/>
          <w:sz w:val="20"/>
        </w:rPr>
        <w:t>Split the dataset into training and testing sets using an 80/20 partition.</w:t>
      </w:r>
    </w:p>
    <w:p>
      <w:pPr>
        <w:pStyle w:val="ListBullet"/>
        <w:spacing w:after="60" w:line="259" w:lineRule="auto"/>
        <w:ind w:left="317"/>
      </w:pPr>
      <w:r>
        <w:rPr>
          <w:color w:val="475467"/>
          <w:sz w:val="20"/>
        </w:rPr>
        <w:t>Train and compare multiple classification algorithms and preserve the trained model/scaler artifacts for application use.</w:t>
      </w:r>
    </w:p>
    <w:p>
      <w:pPr>
        <w:spacing w:before="260" w:after="120"/>
      </w:pPr>
      <w:r>
        <w:rPr>
          <w:rFonts w:ascii="Aptos Display" w:hAnsi="Aptos Display"/>
          <w:b/>
          <w:color w:val="101828"/>
          <w:sz w:val="28"/>
        </w:rPr>
        <w:t>PURPOSE</w:t>
      </w:r>
    </w:p>
    <w:p>
      <w:pPr>
        <w:spacing w:after="120" w:line="269" w:lineRule="auto"/>
      </w:pPr>
      <w:r>
        <w:rPr>
          <w:color w:val="475467"/>
        </w:rPr>
        <w:t>The purpose is to demonstrate an end-to-end applied machine-learning workflow rather than only training a classifier. The project combines exploratory data analysis, statistical checks, preprocessing, feature transformation, model comparison and a user-facing prediction interface. The accompanying application allows a user to enter the required input attributes and receive the model's predicted stroke-risk class.</w:t>
      </w:r>
    </w:p>
    <w:p>
      <w:pPr>
        <w:spacing w:before="260" w:after="120"/>
      </w:pPr>
      <w:r>
        <w:rPr>
          <w:rFonts w:ascii="Aptos Display" w:hAnsi="Aptos Display"/>
          <w:b/>
          <w:color w:val="101828"/>
          <w:sz w:val="28"/>
        </w:rPr>
        <w:t>PROBLEM</w:t>
      </w:r>
    </w:p>
    <w:p>
      <w:pPr>
        <w:spacing w:after="120" w:line="269" w:lineRule="auto"/>
      </w:pPr>
      <w:r>
        <w:rPr>
          <w:color w:val="475467"/>
        </w:rPr>
        <w:t>Stroke prediction is a binary classification problem in which the available health records contain a substantially larger number of non-stroke observations than stroke observations. This class imbalance makes the task more challenging because a model can achieve a high overall accuracy while still performing poorly on the minority stroke class.</w:t>
      </w:r>
    </w:p>
    <w:p>
      <w:pPr>
        <w:spacing w:after="120" w:line="269" w:lineRule="auto"/>
      </w:pPr>
      <w:r>
        <w:rPr>
          <w:color w:val="475467"/>
        </w:rPr>
        <w:t>The supplied analysis identifies several data-quality and modelling considerations. The BMI field contains 201 missing records in a dataset of 5,110 rows; the identifier field is not useful as a predictive feature; gender and residence type show limited relationship with the target in the documented statistical analysis; and numerical variables such as age, average glucose level and BMI require inspection for distribution and outlier behaviour.</w:t>
      </w:r>
    </w:p>
    <w:p>
      <w:pPr>
        <w:spacing w:before="260" w:after="120"/>
      </w:pPr>
      <w:r>
        <w:rPr>
          <w:rFonts w:ascii="Aptos Display" w:hAnsi="Aptos Display"/>
          <w:b/>
          <w:color w:val="101828"/>
          <w:sz w:val="28"/>
        </w:rPr>
        <w:t>APPROACH</w:t>
      </w:r>
    </w:p>
    <w:p>
      <w:pPr>
        <w:spacing w:after="120" w:line="269" w:lineRule="auto"/>
      </w:pPr>
      <w:r>
        <w:rPr>
          <w:color w:val="475467"/>
        </w:rPr>
        <w:t>The project follows a structured machine-learning workflow:</w:t>
      </w:r>
    </w:p>
    <w:p>
      <w:pPr>
        <w:pStyle w:val="ListBullet"/>
        <w:spacing w:after="60" w:line="259" w:lineRule="auto"/>
        <w:ind w:left="317"/>
      </w:pPr>
      <w:r>
        <w:rPr>
          <w:color w:val="475467"/>
          <w:sz w:val="20"/>
        </w:rPr>
        <w:t>Data ingestion — load the healthcare stroke dataset into a Pandas DataFrame.</w:t>
      </w:r>
    </w:p>
    <w:p>
      <w:pPr>
        <w:pStyle w:val="ListBullet"/>
        <w:spacing w:after="60" w:line="259" w:lineRule="auto"/>
        <w:ind w:left="317"/>
      </w:pPr>
      <w:r>
        <w:rPr>
          <w:color w:val="475467"/>
          <w:sz w:val="20"/>
        </w:rPr>
        <w:t>Data profiling — inspect shape, descriptive statistics, data types, missing values and categorical distributions.</w:t>
      </w:r>
    </w:p>
    <w:p>
      <w:pPr>
        <w:pStyle w:val="ListBullet"/>
        <w:spacing w:after="60" w:line="259" w:lineRule="auto"/>
        <w:ind w:left="317"/>
      </w:pPr>
      <w:r>
        <w:rPr>
          <w:color w:val="475467"/>
          <w:sz w:val="20"/>
        </w:rPr>
        <w:t>Exploratory analysis — perform univariate and multivariate analysis, including distributions, category comparisons, correlation analysis and chi-square testing for categorical relationships with the target.</w:t>
      </w:r>
    </w:p>
    <w:p>
      <w:pPr>
        <w:pStyle w:val="ListBullet"/>
        <w:spacing w:after="60" w:line="259" w:lineRule="auto"/>
        <w:ind w:left="317"/>
      </w:pPr>
      <w:r>
        <w:rPr>
          <w:color w:val="475467"/>
          <w:sz w:val="20"/>
        </w:rPr>
        <w:t>Data cleaning — remove the identifier from modelling and handle the 201 missing BMI values using the mean BMI value documented in the notebook.</w:t>
      </w:r>
    </w:p>
    <w:p>
      <w:pPr>
        <w:pStyle w:val="ListBullet"/>
        <w:spacing w:after="60" w:line="259" w:lineRule="auto"/>
        <w:ind w:left="317"/>
      </w:pPr>
      <w:r>
        <w:rPr>
          <w:color w:val="475467"/>
          <w:sz w:val="20"/>
        </w:rPr>
        <w:t>Feature analysis — distinguish numerical, categorical, discrete and continuous variables and investigate outliers and skewness.</w:t>
      </w:r>
    </w:p>
    <w:p>
      <w:pPr>
        <w:pStyle w:val="ListBullet"/>
        <w:spacing w:after="60" w:line="259" w:lineRule="auto"/>
        <w:ind w:left="317"/>
      </w:pPr>
      <w:r>
        <w:rPr>
          <w:color w:val="475467"/>
          <w:sz w:val="20"/>
        </w:rPr>
        <w:t>Feature transformation — label-encode object/categorical inputs so the machine-learning algorithms can process them numerically.</w:t>
      </w:r>
    </w:p>
    <w:p>
      <w:pPr>
        <w:pStyle w:val="ListBullet"/>
        <w:spacing w:after="60" w:line="259" w:lineRule="auto"/>
        <w:ind w:left="317"/>
      </w:pPr>
      <w:r>
        <w:rPr>
          <w:color w:val="475467"/>
          <w:sz w:val="20"/>
        </w:rPr>
        <w:t>Partitioning — separate predictors (X) from the stroke target (Y) and split the data into 80% training and 20% testing records using random_state=10.</w:t>
      </w:r>
    </w:p>
    <w:p>
      <w:pPr>
        <w:pStyle w:val="ListBullet"/>
        <w:spacing w:after="60" w:line="259" w:lineRule="auto"/>
        <w:ind w:left="317"/>
      </w:pPr>
      <w:r>
        <w:rPr>
          <w:color w:val="475467"/>
          <w:sz w:val="20"/>
        </w:rPr>
        <w:t>Normalization — apply StandardScaler to the training features and transform the test features with the already-fitted scaler to avoid test-data leakage.</w:t>
      </w:r>
    </w:p>
    <w:p>
      <w:pPr>
        <w:pStyle w:val="ListBullet"/>
        <w:spacing w:after="60" w:line="259" w:lineRule="auto"/>
        <w:ind w:left="317"/>
      </w:pPr>
      <w:r>
        <w:rPr>
          <w:color w:val="475467"/>
          <w:sz w:val="20"/>
        </w:rPr>
        <w:t>Model training — train Decision Tree, Logistic Regression, K-Nearest Neighbors, Random Forest and Support Vector Machine classifiers.</w:t>
      </w:r>
    </w:p>
    <w:p>
      <w:pPr>
        <w:pStyle w:val="ListBullet"/>
        <w:spacing w:after="60" w:line="259" w:lineRule="auto"/>
        <w:ind w:left="317"/>
      </w:pPr>
      <w:r>
        <w:rPr>
          <w:color w:val="475467"/>
          <w:sz w:val="20"/>
        </w:rPr>
        <w:t>Model evaluation — compare the classifiers using recorded test-set accuracy and review the final Random Forest classification report.</w:t>
      </w:r>
    </w:p>
    <w:p>
      <w:pPr>
        <w:pStyle w:val="ListBullet"/>
        <w:spacing w:after="60" w:line="259" w:lineRule="auto"/>
        <w:ind w:left="317"/>
      </w:pPr>
      <w:r>
        <w:rPr>
          <w:color w:val="475467"/>
          <w:sz w:val="20"/>
        </w:rPr>
        <w:t>Application integration — use the persisted scaler/model artifacts in a prediction interface where user-entered values are transformed and passed to the trained classifier.</w:t>
      </w:r>
    </w:p>
    <w:p>
      <w:pPr>
        <w:spacing w:before="260" w:after="120"/>
      </w:pPr>
      <w:r>
        <w:rPr>
          <w:rFonts w:ascii="Aptos Display" w:hAnsi="Aptos Display"/>
          <w:b/>
          <w:color w:val="101828"/>
          <w:sz w:val="28"/>
        </w:rPr>
        <w:t>SOLUTION</w:t>
      </w:r>
    </w:p>
    <w:p>
      <w:pPr>
        <w:spacing w:after="120" w:line="269" w:lineRule="auto"/>
      </w:pPr>
      <w:r>
        <w:rPr>
          <w:color w:val="475467"/>
        </w:rPr>
        <w:t>The final solution combines an exploratory machine-learning notebook with a prediction application. The notebook establishes the data preparation and modelling pipeline, while the application provides a simple input-driven interface for testing the trained prediction workflow.</w:t>
      </w:r>
    </w:p>
    <w:p>
      <w:pPr>
        <w:spacing w:after="120" w:line="269" w:lineRule="auto"/>
      </w:pPr>
      <w:r>
        <w:rPr>
          <w:color w:val="475467"/>
        </w:rPr>
        <w:t>Prediction interface:</w:t>
      </w:r>
    </w:p>
    <w:p>
      <w:pPr>
        <w:pStyle w:val="ListBullet"/>
        <w:spacing w:after="60" w:line="259" w:lineRule="auto"/>
        <w:ind w:left="317"/>
      </w:pPr>
      <w:r>
        <w:rPr>
          <w:color w:val="475467"/>
          <w:sz w:val="20"/>
        </w:rPr>
        <w:t>Collects the model inputs through a form for gender, age, hypertension, heart disease, marital status, work type, residence type, average glucose level, BMI and smoking status.</w:t>
      </w:r>
    </w:p>
    <w:p>
      <w:pPr>
        <w:pStyle w:val="ListBullet"/>
        <w:spacing w:after="60" w:line="259" w:lineRule="auto"/>
        <w:ind w:left="317"/>
      </w:pPr>
      <w:r>
        <w:rPr>
          <w:color w:val="475467"/>
          <w:sz w:val="20"/>
        </w:rPr>
        <w:t>Uses the same preprocessing assumptions established during model development, including numerical encoding and feature scaling.</w:t>
      </w:r>
    </w:p>
    <w:p>
      <w:pPr>
        <w:pStyle w:val="ListBullet"/>
        <w:spacing w:after="60" w:line="259" w:lineRule="auto"/>
        <w:ind w:left="317"/>
      </w:pPr>
      <w:r>
        <w:rPr>
          <w:color w:val="475467"/>
          <w:sz w:val="20"/>
        </w:rPr>
        <w:t>Passes the prepared input vector to the saved model.</w:t>
      </w:r>
    </w:p>
    <w:p>
      <w:pPr>
        <w:pStyle w:val="ListBullet"/>
        <w:spacing w:after="60" w:line="259" w:lineRule="auto"/>
        <w:ind w:left="317"/>
      </w:pPr>
      <w:r>
        <w:rPr>
          <w:color w:val="475467"/>
          <w:sz w:val="20"/>
        </w:rPr>
        <w:t>Returns a prediction page indicating whether the supplied inputs were classified as having stroke risk or no stroke risk.</w:t>
      </w:r>
    </w:p>
    <w:p>
      <w:pPr>
        <w:pStyle w:val="ListBullet"/>
        <w:spacing w:after="60" w:line="259" w:lineRule="auto"/>
        <w:ind w:left="317"/>
      </w:pPr>
      <w:r>
        <w:rPr>
          <w:color w:val="475467"/>
          <w:sz w:val="20"/>
        </w:rPr>
        <w:t>Displays a caution that the algorithmic output should not be treated as a medical diagnosis and that professional medical advice should be sought.</w:t>
      </w:r>
    </w:p>
    <w:p>
      <w:pPr>
        <w:spacing w:before="260" w:after="120"/>
      </w:pPr>
      <w:r>
        <w:rPr>
          <w:rFonts w:ascii="Aptos Display" w:hAnsi="Aptos Display"/>
          <w:b/>
          <w:color w:val="101828"/>
          <w:sz w:val="28"/>
        </w:rPr>
        <w:t>RESULT</w:t>
      </w:r>
    </w:p>
    <w:p>
      <w:pPr>
        <w:spacing w:after="120" w:line="269" w:lineRule="auto"/>
      </w:pPr>
      <w:r>
        <w:rPr>
          <w:color w:val="475467"/>
        </w:rPr>
        <w:t>The notebook evaluates five classification algorithms on the held-out test set. The recorded accuracy values are: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3B45E6"/>
          </w:tcPr>
          <w:p>
            <w:r/>
            <w:r>
              <w:rPr>
                <w:rFonts w:ascii="Aptos" w:hAnsi="Aptos"/>
                <w:b/>
                <w:color w:val="FFFFFF"/>
                <w:sz w:val="19"/>
              </w:rPr>
              <w:t>MODEL</w:t>
            </w:r>
          </w:p>
        </w:tc>
        <w:tc>
          <w:tcPr>
            <w:tcW w:type="dxa" w:w="5040"/>
            <w:vAlign w:val="center"/>
            <w:shd w:fill="3B45E6"/>
          </w:tcPr>
          <w:p>
            <w:r/>
            <w:r>
              <w:rPr>
                <w:rFonts w:ascii="Aptos" w:hAnsi="Aptos"/>
                <w:b/>
                <w:color w:val="FFFFFF"/>
                <w:sz w:val="19"/>
              </w:rPr>
              <w:t>RECORDED TEST ACCURACY</w:t>
            </w:r>
          </w:p>
        </w:tc>
      </w:tr>
      <w:tr>
        <w:tc>
          <w:tcPr>
            <w:tcW w:type="dxa" w:w="5040"/>
            <w:vAlign w:val="center"/>
          </w:tcPr>
          <w:p>
            <w:r/>
            <w:r>
              <w:rPr>
                <w:rFonts w:ascii="Aptos" w:hAnsi="Aptos"/>
                <w:b w:val="0"/>
                <w:color w:val="101828"/>
                <w:sz w:val="19"/>
              </w:rPr>
              <w:t>Decision Tree</w:t>
            </w:r>
          </w:p>
        </w:tc>
        <w:tc>
          <w:tcPr>
            <w:tcW w:type="dxa" w:w="5040"/>
            <w:vAlign w:val="center"/>
          </w:tcPr>
          <w:p>
            <w:r/>
            <w:r>
              <w:rPr>
                <w:rFonts w:ascii="Aptos" w:hAnsi="Aptos"/>
                <w:b w:val="0"/>
                <w:color w:val="475467"/>
                <w:sz w:val="19"/>
              </w:rPr>
              <w:t>90.41%</w:t>
            </w:r>
          </w:p>
        </w:tc>
      </w:tr>
      <w:tr>
        <w:tc>
          <w:tcPr>
            <w:tcW w:type="dxa" w:w="5040"/>
            <w:vAlign w:val="center"/>
          </w:tcPr>
          <w:p>
            <w:r/>
            <w:r>
              <w:rPr>
                <w:rFonts w:ascii="Aptos" w:hAnsi="Aptos"/>
                <w:b w:val="0"/>
                <w:color w:val="101828"/>
                <w:sz w:val="19"/>
              </w:rPr>
              <w:t>Logistic Regression</w:t>
            </w:r>
          </w:p>
        </w:tc>
        <w:tc>
          <w:tcPr>
            <w:tcW w:type="dxa" w:w="5040"/>
            <w:vAlign w:val="center"/>
          </w:tcPr>
          <w:p>
            <w:r/>
            <w:r>
              <w:rPr>
                <w:rFonts w:ascii="Aptos" w:hAnsi="Aptos"/>
                <w:b w:val="0"/>
                <w:color w:val="475467"/>
                <w:sz w:val="19"/>
              </w:rPr>
              <w:t>93.84%</w:t>
            </w:r>
          </w:p>
        </w:tc>
      </w:tr>
      <w:tr>
        <w:tc>
          <w:tcPr>
            <w:tcW w:type="dxa" w:w="5040"/>
            <w:vAlign w:val="center"/>
          </w:tcPr>
          <w:p>
            <w:r/>
            <w:r>
              <w:rPr>
                <w:rFonts w:ascii="Aptos" w:hAnsi="Aptos"/>
                <w:b w:val="0"/>
                <w:color w:val="101828"/>
                <w:sz w:val="19"/>
              </w:rPr>
              <w:t>K-Nearest Neighbors</w:t>
            </w:r>
          </w:p>
        </w:tc>
        <w:tc>
          <w:tcPr>
            <w:tcW w:type="dxa" w:w="5040"/>
            <w:vAlign w:val="center"/>
          </w:tcPr>
          <w:p>
            <w:r/>
            <w:r>
              <w:rPr>
                <w:rFonts w:ascii="Aptos" w:hAnsi="Aptos"/>
                <w:b w:val="0"/>
                <w:color w:val="475467"/>
                <w:sz w:val="19"/>
              </w:rPr>
              <w:t>93.44%</w:t>
            </w:r>
          </w:p>
        </w:tc>
      </w:tr>
      <w:tr>
        <w:tc>
          <w:tcPr>
            <w:tcW w:type="dxa" w:w="5040"/>
            <w:vAlign w:val="center"/>
          </w:tcPr>
          <w:p>
            <w:r/>
            <w:r>
              <w:rPr>
                <w:rFonts w:ascii="Aptos" w:hAnsi="Aptos"/>
                <w:b w:val="0"/>
                <w:color w:val="101828"/>
                <w:sz w:val="19"/>
              </w:rPr>
              <w:t>Random Forest</w:t>
            </w:r>
          </w:p>
        </w:tc>
        <w:tc>
          <w:tcPr>
            <w:tcW w:type="dxa" w:w="5040"/>
            <w:vAlign w:val="center"/>
          </w:tcPr>
          <w:p>
            <w:r/>
            <w:r>
              <w:rPr>
                <w:rFonts w:ascii="Aptos" w:hAnsi="Aptos"/>
                <w:b w:val="0"/>
                <w:color w:val="475467"/>
                <w:sz w:val="19"/>
              </w:rPr>
              <w:t>93.74%</w:t>
            </w:r>
          </w:p>
        </w:tc>
      </w:tr>
      <w:tr>
        <w:tc>
          <w:tcPr>
            <w:tcW w:type="dxa" w:w="5040"/>
            <w:vAlign w:val="center"/>
          </w:tcPr>
          <w:p>
            <w:r/>
            <w:r>
              <w:rPr>
                <w:rFonts w:ascii="Aptos" w:hAnsi="Aptos"/>
                <w:b w:val="0"/>
                <w:color w:val="101828"/>
                <w:sz w:val="19"/>
              </w:rPr>
              <w:t>Support Vector Machine</w:t>
            </w:r>
          </w:p>
        </w:tc>
        <w:tc>
          <w:tcPr>
            <w:tcW w:type="dxa" w:w="5040"/>
            <w:vAlign w:val="center"/>
          </w:tcPr>
          <w:p>
            <w:r/>
            <w:r>
              <w:rPr>
                <w:rFonts w:ascii="Aptos" w:hAnsi="Aptos"/>
                <w:b w:val="0"/>
                <w:color w:val="475467"/>
                <w:sz w:val="19"/>
              </w:rPr>
              <w:t>93.93%</w:t>
            </w:r>
          </w:p>
        </w:tc>
      </w:tr>
    </w:tbl>
    <w:p>
      <w:pPr>
        <w:spacing w:after="120" w:line="269" w:lineRule="auto"/>
      </w:pPr>
      <w:r>
        <w:rPr>
          <w:color w:val="475467"/>
        </w:rPr>
        <w:t>The final notebook cell retrains a Random Forest classifier as the final model and records 93.84% accuracy on the test split. Its classification report shows 0.00 recall for the stroke class in that particular evaluation, despite the high overall accuracy. This is an important limitation of the result and demonstrates why accuracy alone is not sufficient for an imbalanced medical classification problem.</w:t>
      </w:r>
    </w:p>
    <w:p>
      <w:pPr>
        <w:spacing w:after="120" w:line="269" w:lineRule="auto"/>
      </w:pPr>
      <w:r>
        <w:rPr>
          <w:color w:val="475467"/>
        </w:rPr>
        <w:t>The project therefore demonstrates both the engineering workflow and the evaluation challenge: a prediction system can be technically functional while still requiring further class-imbalance handling, threshold analysis and minority-class evaluation before it could be considered suitable for a real clinical setting.</w:t>
      </w:r>
    </w:p>
    <w:p>
      <w:pPr>
        <w:spacing w:before="260" w:after="120"/>
      </w:pPr>
      <w:r>
        <w:rPr>
          <w:rFonts w:ascii="Aptos Display" w:hAnsi="Aptos Display"/>
          <w:b/>
          <w:color w:val="101828"/>
          <w:sz w:val="28"/>
        </w:rPr>
        <w:t>TECHNICAL IMPLEMENTATION</w:t>
      </w:r>
    </w:p>
    <w:p>
      <w:pPr>
        <w:spacing w:after="120" w:line="269" w:lineRule="auto"/>
      </w:pPr>
      <w:r>
        <w:rPr>
          <w:color w:val="475467"/>
        </w:rPr>
        <w:t>The implementation is built around the following technical components:</w:t>
      </w:r>
    </w:p>
    <w:p>
      <w:pPr>
        <w:pStyle w:val="ListBullet"/>
        <w:spacing w:after="60" w:line="259" w:lineRule="auto"/>
        <w:ind w:left="317"/>
      </w:pPr>
      <w:r>
        <w:rPr>
          <w:color w:val="475467"/>
          <w:sz w:val="20"/>
        </w:rPr>
        <w:t>Python — primary language for data preparation, analysis and model development.</w:t>
      </w:r>
    </w:p>
    <w:p>
      <w:pPr>
        <w:pStyle w:val="ListBullet"/>
        <w:spacing w:after="60" w:line="259" w:lineRule="auto"/>
        <w:ind w:left="317"/>
      </w:pPr>
      <w:r>
        <w:rPr>
          <w:color w:val="475467"/>
          <w:sz w:val="20"/>
        </w:rPr>
        <w:t>Pandas — dataset loading, tabular manipulation, missing-value handling and feature inspection.</w:t>
      </w:r>
    </w:p>
    <w:p>
      <w:pPr>
        <w:pStyle w:val="ListBullet"/>
        <w:spacing w:after="60" w:line="259" w:lineRule="auto"/>
        <w:ind w:left="317"/>
      </w:pPr>
      <w:r>
        <w:rPr>
          <w:color w:val="475467"/>
          <w:sz w:val="20"/>
        </w:rPr>
        <w:t>NumPy — numerical operations and feature preparation.</w:t>
      </w:r>
    </w:p>
    <w:p>
      <w:pPr>
        <w:pStyle w:val="ListBullet"/>
        <w:spacing w:after="60" w:line="259" w:lineRule="auto"/>
        <w:ind w:left="317"/>
      </w:pPr>
      <w:r>
        <w:rPr>
          <w:color w:val="475467"/>
          <w:sz w:val="20"/>
        </w:rPr>
        <w:t>Matplotlib &amp; Seaborn — exploratory visualizations, distributions, comparison plots, boxplots and model-comparison visualization.</w:t>
      </w:r>
    </w:p>
    <w:p>
      <w:pPr>
        <w:pStyle w:val="ListBullet"/>
        <w:spacing w:after="60" w:line="259" w:lineRule="auto"/>
        <w:ind w:left="317"/>
      </w:pPr>
      <w:r>
        <w:rPr>
          <w:color w:val="475467"/>
          <w:sz w:val="20"/>
        </w:rPr>
        <w:t>SciPy — chi-square contingency testing for categorical relationships.</w:t>
      </w:r>
    </w:p>
    <w:p>
      <w:pPr>
        <w:pStyle w:val="ListBullet"/>
        <w:spacing w:after="60" w:line="259" w:lineRule="auto"/>
        <w:ind w:left="317"/>
      </w:pPr>
      <w:r>
        <w:rPr>
          <w:color w:val="475467"/>
          <w:sz w:val="20"/>
        </w:rPr>
        <w:t>Scikit-learn — preprocessing, train/test splitting, StandardScaler and the five classification algorithms.</w:t>
      </w:r>
    </w:p>
    <w:p>
      <w:pPr>
        <w:pStyle w:val="ListBullet"/>
        <w:spacing w:after="60" w:line="259" w:lineRule="auto"/>
        <w:ind w:left="317"/>
      </w:pPr>
      <w:r>
        <w:rPr>
          <w:color w:val="475467"/>
          <w:sz w:val="20"/>
        </w:rPr>
        <w:t>Joblib / Pickle — persistence of trained model and scaler artifacts for reuse by the application.</w:t>
      </w:r>
    </w:p>
    <w:p>
      <w:pPr>
        <w:pStyle w:val="ListBullet"/>
        <w:spacing w:after="60" w:line="259" w:lineRule="auto"/>
        <w:ind w:left="317"/>
      </w:pPr>
      <w:r>
        <w:rPr>
          <w:color w:val="475467"/>
          <w:sz w:val="20"/>
        </w:rPr>
        <w:t>Machine-learning models — Decision Tree, Logistic Regression, KNN, Random Forest and SVM.</w:t>
      </w:r>
    </w:p>
    <w:p>
      <w:pPr>
        <w:pStyle w:val="ListBullet"/>
        <w:spacing w:after="60" w:line="259" w:lineRule="auto"/>
        <w:ind w:left="317"/>
      </w:pPr>
      <w:r>
        <w:rPr>
          <w:color w:val="475467"/>
          <w:sz w:val="20"/>
        </w:rPr>
        <w:t>Application layer — a form-based prediction interface that accepts the model features and presents the resulting classification.</w:t>
      </w:r>
    </w:p>
    <w:p>
      <w:pPr>
        <w:spacing w:after="120" w:line="269" w:lineRule="auto"/>
      </w:pPr>
      <w:r>
        <w:rPr>
          <w:color w:val="475467"/>
        </w:rPr>
        <w:t>Key data and modelling characteristics:</w:t>
      </w:r>
    </w:p>
    <w:p>
      <w:pPr>
        <w:pStyle w:val="ListBullet"/>
        <w:spacing w:after="60" w:line="259" w:lineRule="auto"/>
        <w:ind w:left="317"/>
      </w:pPr>
      <w:r>
        <w:rPr>
          <w:color w:val="475467"/>
          <w:sz w:val="20"/>
        </w:rPr>
        <w:t>Dataset size: 5,110 records.</w:t>
      </w:r>
    </w:p>
    <w:p>
      <w:pPr>
        <w:pStyle w:val="ListBullet"/>
        <w:spacing w:after="60" w:line="259" w:lineRule="auto"/>
        <w:ind w:left="317"/>
      </w:pPr>
      <w:r>
        <w:rPr>
          <w:color w:val="475467"/>
          <w:sz w:val="20"/>
        </w:rPr>
        <w:t>The modelling stage uses 10 predictor features after excluding the identifier and separating the stroke target.</w:t>
      </w:r>
    </w:p>
    <w:p>
      <w:pPr>
        <w:pStyle w:val="ListBullet"/>
        <w:spacing w:after="60" w:line="259" w:lineRule="auto"/>
        <w:ind w:left="317"/>
      </w:pPr>
      <w:r>
        <w:rPr>
          <w:color w:val="475467"/>
          <w:sz w:val="20"/>
        </w:rPr>
        <w:t>The BMI field contains 201 missing values, which are filled with the documented mean BMI value of approximately 28.89.</w:t>
      </w:r>
    </w:p>
    <w:p>
      <w:pPr>
        <w:pStyle w:val="ListBullet"/>
        <w:spacing w:after="60" w:line="259" w:lineRule="auto"/>
        <w:ind w:left="317"/>
      </w:pPr>
      <w:r>
        <w:rPr>
          <w:color w:val="475467"/>
          <w:sz w:val="20"/>
        </w:rPr>
        <w:t>The target variable is imbalanced, with stroke cases representing a minority of the observations.</w:t>
      </w:r>
    </w:p>
    <w:p>
      <w:pPr>
        <w:pStyle w:val="ListBullet"/>
        <w:spacing w:after="60" w:line="259" w:lineRule="auto"/>
        <w:ind w:left="317"/>
      </w:pPr>
      <w:r>
        <w:rPr>
          <w:color w:val="475467"/>
          <w:sz w:val="20"/>
        </w:rPr>
        <w:t>The train/test split is 80/20 with random_state=10.</w:t>
      </w:r>
    </w:p>
    <w:p>
      <w:pPr>
        <w:pStyle w:val="ListBullet"/>
        <w:spacing w:after="60" w:line="259" w:lineRule="auto"/>
        <w:ind w:left="317"/>
      </w:pPr>
      <w:r>
        <w:rPr>
          <w:color w:val="475467"/>
          <w:sz w:val="20"/>
        </w:rPr>
        <w:t>StandardScaler is fitted only on training features and then applied to the test features.</w:t>
      </w:r>
    </w:p>
    <w:p>
      <w:pPr>
        <w:pStyle w:val="ListBullet"/>
        <w:spacing w:after="60" w:line="259" w:lineRule="auto"/>
        <w:ind w:left="317"/>
      </w:pPr>
      <w:r>
        <w:rPr>
          <w:color w:val="475467"/>
          <w:sz w:val="20"/>
        </w:rPr>
        <w:t>The trained scaler and individual model artifacts are saved for application reuse.</w:t>
      </w:r>
    </w:p>
    <w:p>
      <w:pPr>
        <w:spacing w:before="260" w:after="120"/>
      </w:pPr>
      <w:r>
        <w:rPr>
          <w:rFonts w:ascii="Aptos Display" w:hAnsi="Aptos Display"/>
          <w:b/>
          <w:color w:val="101828"/>
          <w:sz w:val="28"/>
        </w:rPr>
        <w:t>DISCLAIMER</w:t>
      </w:r>
    </w:p>
    <w:p>
      <w:pPr>
        <w:spacing w:after="120" w:line="269" w:lineRule="auto"/>
      </w:pPr>
      <w:r>
        <w:rPr>
          <w:color w:val="475467"/>
        </w:rPr>
        <w:t>This project is an academic/portfolio machine-learning implementation based on the supplied stroke dataset and should not be interpreted as a clinical diagnostic system. The prediction output is generated by a machine-learning model from the supplied input features and is not a substitute for evaluation by a qualified healthcare professional.</w:t>
      </w:r>
    </w:p>
    <w:p>
      <w:pPr>
        <w:spacing w:after="120" w:line="269" w:lineRule="auto"/>
      </w:pPr>
      <w:r>
        <w:rPr>
          <w:color w:val="475467"/>
        </w:rPr>
        <w:t>The documented test results also show an important modelling limitation: although overall accuracy is high, the final Random Forest evaluation recorded zero recall for the stroke class on the held-out test set. This means the model's accuracy should not be interpreted as clinical reliability. Further work would be required for robust minority-class detection, including appropriate imbalance handling and medical-model validation.</w:t>
      </w:r>
    </w:p>
    <w:p>
      <w:pPr>
        <w:spacing w:after="120" w:line="269" w:lineRule="auto"/>
      </w:pPr>
      <w:r>
        <w:rPr>
          <w:color w:val="475467"/>
        </w:rPr>
        <w:t>The project is provided for demonstration of data analysis, machine-learning engineering and application integration. Dataset behaviour, model outputs and application results may vary depending on the data, preprocessing, model artifact and runtime environment.</w:t>
      </w:r>
    </w:p>
    <w:p>
      <w:pPr>
        <w:spacing w:before="240" w:after="0"/>
      </w:pPr>
      <w:r>
        <w:rPr>
          <w:b/>
          <w:color w:val="3B45E6"/>
          <w:sz w:val="17"/>
        </w:rPr>
        <w:t>PROJECT DOCUMENTATION • SONU</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