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Use-Case Flow Specification</w:t>
      </w:r>
    </w:p>
    <w:p>
      <w:pPr>
        <w:jc w:val="center"/>
      </w:pPr>
      <w:r>
        <w:rPr>
          <w:i/>
          <w:color w:val="555555"/>
          <w:sz w:val="20"/>
        </w:rPr>
        <w:t>Remote Team Time-Tracking &amp; Project Approver  |  Problem Statement #46</w:t>
      </w:r>
    </w:p>
    <w:p>
      <w:pPr>
        <w:spacing w:before="160" w:after="40"/>
      </w:pPr>
      <w:r>
        <w:rPr>
          <w:b/>
          <w:color w:val="2F5496"/>
          <w:sz w:val="23"/>
        </w:rPr>
        <w:t>Use Case</w:t>
      </w:r>
    </w:p>
    <w:p>
      <w:pPr>
        <w:spacing w:after="40"/>
      </w:pPr>
      <w:r>
        <w:rPr>
          <w:b/>
        </w:rPr>
        <w:t xml:space="preserve">UC-ID: </w:t>
      </w:r>
      <w:r>
        <w:t>UC-05</w:t>
      </w:r>
    </w:p>
    <w:p>
      <w:pPr>
        <w:spacing w:after="40"/>
      </w:pPr>
      <w:r>
        <w:rPr>
          <w:b/>
        </w:rPr>
        <w:t xml:space="preserve">Name: </w:t>
      </w:r>
      <w:r>
        <w:t>Approve Timesheet</w:t>
      </w:r>
    </w:p>
    <w:p>
      <w:pPr>
        <w:spacing w:after="40"/>
      </w:pPr>
      <w:r>
        <w:rPr>
          <w:b/>
        </w:rPr>
        <w:t xml:space="preserve">Primary Actor: </w:t>
      </w:r>
      <w:r>
        <w:t>Engineering Manager</w:t>
      </w:r>
    </w:p>
    <w:p>
      <w:pPr>
        <w:spacing w:after="40"/>
      </w:pPr>
      <w:r>
        <w:rPr>
          <w:b/>
        </w:rPr>
        <w:t xml:space="preserve">Secondary Actors: </w:t>
      </w:r>
      <w:r>
        <w:t>Remote Developer (notified of outcome), Budget/Reporting Service (extension: Flag Budget Overrun)</w:t>
      </w:r>
    </w:p>
    <w:p>
      <w:pPr>
        <w:spacing w:before="160" w:after="40"/>
      </w:pPr>
      <w:r>
        <w:rPr>
          <w:b/>
          <w:color w:val="2F5496"/>
          <w:sz w:val="23"/>
        </w:rPr>
        <w:t>Preconditions</w:t>
      </w:r>
    </w:p>
    <w:p>
      <w:pPr>
        <w:pStyle w:val="ListBullet"/>
        <w:spacing w:after="40"/>
      </w:pPr>
      <w:r>
        <w:t>The Engineering Manager is authenticated and has an active session with the "Manager" role.</w:t>
      </w:r>
    </w:p>
    <w:p>
      <w:pPr>
        <w:pStyle w:val="ListBullet"/>
        <w:spacing w:after="40"/>
      </w:pPr>
      <w:r>
        <w:t>At least one timesheet submitted by a developer on the manager's team exists with status "Pending Approval" (see UC-02: Submit Timesheet).</w:t>
      </w:r>
    </w:p>
    <w:p>
      <w:pPr>
        <w:pStyle w:val="ListBullet"/>
        <w:spacing w:after="40"/>
      </w:pPr>
      <w:r>
        <w:t>Each time entry in the timesheet has already passed validation (UC-04: Validate Timesheet Entries) and daily-hour limits (FR-001).</w:t>
      </w:r>
    </w:p>
    <w:p>
      <w:pPr>
        <w:spacing w:before="160" w:after="40"/>
      </w:pPr>
      <w:r>
        <w:rPr>
          <w:b/>
          <w:color w:val="2F5496"/>
          <w:sz w:val="23"/>
        </w:rPr>
        <w:t>Postconditions</w:t>
      </w:r>
    </w:p>
    <w:p>
      <w:pPr>
        <w:pStyle w:val="ListBullet"/>
        <w:spacing w:after="40"/>
      </w:pPr>
      <w:r>
        <w:t>Success: The timesheet status is updated to "Approved"; approved hours are added to the project's budget burn calculation (FR-005); the Remote Developer is notified.</w:t>
      </w:r>
    </w:p>
    <w:p>
      <w:pPr>
        <w:pStyle w:val="ListBullet"/>
        <w:spacing w:after="40"/>
      </w:pPr>
      <w:r>
        <w:t>Failure/Alternate: The timesheet status is updated to "Rejected" with the manager's comment attached; the Remote Developer is notified and may revise and resubmit.</w:t>
      </w:r>
    </w:p>
    <w:p>
      <w:pPr>
        <w:spacing w:before="160" w:after="40"/>
      </w:pPr>
      <w:r>
        <w:rPr>
          <w:b/>
          <w:color w:val="2F5496"/>
          <w:sz w:val="23"/>
        </w:rPr>
        <w:t>Main Success Scenario</w:t>
      </w:r>
    </w:p>
    <w:p>
      <w:pPr>
        <w:pStyle w:val="ListNumber"/>
        <w:spacing w:after="40"/>
      </w:pPr>
      <w:r>
        <w:t>Engineering Manager opens the "Pending Approvals" dashboard.</w:t>
      </w:r>
    </w:p>
    <w:p>
      <w:pPr>
        <w:pStyle w:val="ListNumber"/>
        <w:spacing w:after="40"/>
      </w:pPr>
      <w:r>
        <w:t>System displays the list of timesheets with status "Pending Approval" for the manager's direct reports.</w:t>
      </w:r>
    </w:p>
    <w:p>
      <w:pPr>
        <w:pStyle w:val="ListNumber"/>
        <w:spacing w:after="40"/>
      </w:pPr>
      <w:r>
        <w:t>Engineering Manager selects a timesheet to review.</w:t>
      </w:r>
    </w:p>
    <w:p>
      <w:pPr>
        <w:pStyle w:val="ListNumber"/>
        <w:spacing w:after="40"/>
      </w:pPr>
      <w:r>
        <w:t>System displays the timesheet detail: daily hours, linked Jira ticket IDs, and total hours for the period.</w:t>
      </w:r>
    </w:p>
    <w:p>
      <w:pPr>
        <w:pStyle w:val="ListNumber"/>
        <w:spacing w:after="40"/>
      </w:pPr>
      <w:r>
        <w:t>Engineering Manager reviews the entries against the project's Jira board and budget summary (UC-08).</w:t>
      </w:r>
    </w:p>
    <w:p>
      <w:pPr>
        <w:pStyle w:val="ListNumber"/>
        <w:spacing w:after="40"/>
      </w:pPr>
      <w:r>
        <w:t>Engineering Manager selects "Approve."</w:t>
      </w:r>
    </w:p>
    <w:p>
      <w:pPr>
        <w:pStyle w:val="ListNumber"/>
        <w:spacing w:after="40"/>
      </w:pPr>
      <w:r>
        <w:t>System validates that total submitted hours do not exceed 24 hours in any single calendar day (re-check of FR-001).</w:t>
      </w:r>
    </w:p>
    <w:p>
      <w:pPr>
        <w:pStyle w:val="ListNumber"/>
        <w:spacing w:after="40"/>
      </w:pPr>
      <w:r>
        <w:t>System checks the resulting project budget burn rate; if the burn rate would exceed 90% of the allocated budget, the system triggers the "Flag Budget Overrun" extension (UC-07) and displays a warning banner to the manager, who may still proceed.</w:t>
      </w:r>
    </w:p>
    <w:p>
      <w:pPr>
        <w:pStyle w:val="ListNumber"/>
        <w:spacing w:after="40"/>
      </w:pPr>
      <w:r>
        <w:t>System updates the timesheet status to "Approved" and timestamps the approval.</w:t>
      </w:r>
    </w:p>
    <w:p>
      <w:pPr>
        <w:pStyle w:val="ListNumber"/>
        <w:spacing w:after="40"/>
      </w:pPr>
      <w:r>
        <w:t>System recalculates the project's budget burn rate (FR-005) and refreshes all connected dashboards within 500 ms (NFR-001).</w:t>
      </w:r>
    </w:p>
    <w:p>
      <w:pPr>
        <w:pStyle w:val="ListNumber"/>
        <w:spacing w:after="40"/>
      </w:pPr>
      <w:r>
        <w:t>System sends an approval notification to the Remote Developer.</w:t>
      </w:r>
    </w:p>
    <w:p>
      <w:pPr>
        <w:pStyle w:val="ListNumber"/>
        <w:spacing w:after="40"/>
      </w:pPr>
      <w:r>
        <w:t>Use case ends successfully.</w:t>
      </w:r>
    </w:p>
    <w:p>
      <w:pPr>
        <w:spacing w:before="160" w:after="40"/>
      </w:pPr>
      <w:r>
        <w:rPr>
          <w:b/>
          <w:color w:val="2F5496"/>
          <w:sz w:val="23"/>
        </w:rPr>
        <w:t>Alternate Flow — A1: Timesheet Rejected</w:t>
      </w:r>
    </w:p>
    <w:p>
      <w:pPr>
        <w:pStyle w:val="ListBullet"/>
        <w:spacing w:after="40"/>
      </w:pPr>
      <w:r>
        <w:t>6a. At step 6, the Engineering Manager selects "Reject" instead of "Approve."</w:t>
      </w:r>
    </w:p>
    <w:p>
      <w:pPr>
        <w:pStyle w:val="ListBullet"/>
        <w:spacing w:after="40"/>
      </w:pPr>
      <w:r>
        <w:t>6a1. System prompts the manager to enter a rejection comment.</w:t>
      </w:r>
    </w:p>
    <w:p>
      <w:pPr>
        <w:pStyle w:val="ListBullet"/>
        <w:spacing w:after="40"/>
      </w:pPr>
      <w:r>
        <w:t>6a2. If the comment field is left empty, the system blocks submission and displays a validation error (FR-003); the manager returns to step 6a1.</w:t>
      </w:r>
    </w:p>
    <w:p>
      <w:pPr>
        <w:pStyle w:val="ListBullet"/>
        <w:spacing w:after="40"/>
      </w:pPr>
      <w:r>
        <w:t>6a3. Once a comment is provided, the system updates the timesheet status to "Rejected" and stores the comment.</w:t>
      </w:r>
    </w:p>
    <w:p>
      <w:pPr>
        <w:pStyle w:val="ListBullet"/>
        <w:spacing w:after="40"/>
      </w:pPr>
      <w:r>
        <w:t>6a4. System notifies the Remote Developer of the rejection and comment.</w:t>
      </w:r>
    </w:p>
    <w:p>
      <w:pPr>
        <w:pStyle w:val="ListBullet"/>
        <w:spacing w:after="40"/>
      </w:pPr>
      <w:r>
        <w:t>6a5. The Remote Developer may revise the timesheet and resubmit it (returns to UC-02: Submit Timesheet).</w:t>
      </w:r>
    </w:p>
    <w:p>
      <w:pPr>
        <w:pStyle w:val="ListBullet"/>
        <w:spacing w:after="40"/>
      </w:pPr>
      <w:r>
        <w:t>6a6. Use case ends (timesheet not approved).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