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EXECUTIVE SUMMARY</w:t>
      </w:r>
    </w:p>
    <w:p>
      <w:pPr>
        <w:jc w:val="center"/>
      </w:pPr>
      <w:r>
        <w:rPr>
          <w:b/>
          <w:sz w:val="28"/>
        </w:rPr>
        <w:t>Employee Engagement, Satisfaction, and Burnout Diagnostic Analysis</w:t>
      </w:r>
    </w:p>
    <w:p>
      <w:pPr>
        <w:jc w:val="center"/>
      </w:pPr>
      <w:r>
        <w:rPr>
          <w:i/>
          <w:sz w:val="20"/>
        </w:rPr>
        <w:t>Palo Alto Networks | HR Analytics &amp; Preventive Employee Experience Diagnostics</w:t>
      </w:r>
    </w:p>
    <w:p>
      <w:pPr>
        <w:pStyle w:val="Heading1"/>
        <w:spacing w:before="160" w:after="80"/>
      </w:pPr>
      <w:r>
        <w:t>1. Executive Overview</w:t>
      </w:r>
    </w:p>
    <w:p>
      <w:r>
        <w:t>This project provides a preventive HR analytics framework for identifying early signals of employee disengagement, burnout risk, workload pressure, and career-stage stagnation. Rather than focusing only on employees after attrition occurs, the analysis combines engagement, satisfaction, overtime, work-life balance, travel, and career progression indicators to identify groups that may require timely HR or managerial attention.</w:t>
      </w:r>
    </w:p>
    <w:p>
      <w:pPr>
        <w:pStyle w:val="Heading1"/>
        <w:spacing w:before="160" w:after="80"/>
      </w:pPr>
      <w:r>
        <w:t>2. Organization-Level Diagnostic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Key Indicator</w:t>
            </w:r>
          </w:p>
        </w:tc>
        <w:tc>
          <w:tcPr>
            <w:tcW w:type="dxa" w:w="5040"/>
            <w:shd w:fill="D9EAF7"/>
          </w:tcPr>
          <w:p>
            <w:r>
              <w:t>Observed Value</w:t>
            </w:r>
          </w:p>
        </w:tc>
      </w:tr>
      <w:tr>
        <w:tc>
          <w:tcPr>
            <w:tcW w:type="dxa" w:w="5040"/>
          </w:tcPr>
          <w:p>
            <w:r>
              <w:t>Total Employees</w:t>
            </w:r>
          </w:p>
        </w:tc>
        <w:tc>
          <w:tcPr>
            <w:tcW w:type="dxa" w:w="5040"/>
          </w:tcPr>
          <w:p>
            <w:r>
              <w:t>1,470</w:t>
            </w:r>
          </w:p>
        </w:tc>
      </w:tr>
      <w:tr>
        <w:tc>
          <w:tcPr>
            <w:tcW w:type="dxa" w:w="5040"/>
          </w:tcPr>
          <w:p>
            <w:r>
              <w:t>Average Engagement Index</w:t>
            </w:r>
          </w:p>
        </w:tc>
        <w:tc>
          <w:tcPr>
            <w:tcW w:type="dxa" w:w="5040"/>
          </w:tcPr>
          <w:p>
            <w:r>
              <w:t>2.72 / 4.00</w:t>
            </w:r>
          </w:p>
        </w:tc>
      </w:tr>
      <w:tr>
        <w:tc>
          <w:tcPr>
            <w:tcW w:type="dxa" w:w="5040"/>
          </w:tcPr>
          <w:p>
            <w:r>
              <w:t>High Burnout Risk</w:t>
            </w:r>
          </w:p>
        </w:tc>
        <w:tc>
          <w:tcPr>
            <w:tcW w:type="dxa" w:w="5040"/>
          </w:tcPr>
          <w:p>
            <w:r>
              <w:t>8.6%</w:t>
            </w:r>
          </w:p>
        </w:tc>
      </w:tr>
      <w:tr>
        <w:tc>
          <w:tcPr>
            <w:tcW w:type="dxa" w:w="5040"/>
          </w:tcPr>
          <w:p>
            <w:r>
              <w:t>Average Work-Life Balance</w:t>
            </w:r>
          </w:p>
        </w:tc>
        <w:tc>
          <w:tcPr>
            <w:tcW w:type="dxa" w:w="5040"/>
          </w:tcPr>
          <w:p>
            <w:r>
              <w:t>2.76 / 4.00</w:t>
            </w:r>
          </w:p>
        </w:tc>
      </w:tr>
      <w:tr>
        <w:tc>
          <w:tcPr>
            <w:tcW w:type="dxa" w:w="5040"/>
          </w:tcPr>
          <w:p>
            <w:r>
              <w:t>Satisfaction Stability</w:t>
            </w:r>
          </w:p>
        </w:tc>
        <w:tc>
          <w:tcPr>
            <w:tcW w:type="dxa" w:w="5040"/>
          </w:tcPr>
          <w:p>
            <w:r>
              <w:t>37.0%</w:t>
            </w:r>
          </w:p>
        </w:tc>
      </w:tr>
    </w:tbl>
    <w:p>
      <w:r>
        <w:rPr>
          <w:i/>
        </w:rPr>
        <w:t>These dashboard-level indicators provide an organization-wide baseline and should be interpreted as diagnostic signals rather than definitive assessments of individual employees.</w:t>
      </w:r>
    </w:p>
    <w:p>
      <w:pPr>
        <w:pStyle w:val="Heading1"/>
        <w:spacing w:before="160" w:after="80"/>
      </w:pPr>
      <w:r>
        <w:t>3. Strategic Objectives</w:t>
      </w:r>
    </w:p>
    <w:p>
      <w:pPr>
        <w:pStyle w:val="ListBullet"/>
        <w:spacing w:after="40"/>
      </w:pPr>
      <w:r>
        <w:t>Create a unified Employee Engagement Index using involvement and satisfaction dimensions.</w:t>
      </w:r>
    </w:p>
    <w:p>
      <w:pPr>
        <w:pStyle w:val="ListBullet"/>
        <w:spacing w:after="40"/>
      </w:pPr>
      <w:r>
        <w:t>Identify employee groups exposed to higher burnout risk through overtime and work-life balance signals.</w:t>
      </w:r>
    </w:p>
    <w:p>
      <w:pPr>
        <w:pStyle w:val="ListBullet"/>
        <w:spacing w:after="40"/>
      </w:pPr>
      <w:r>
        <w:t>Understand how workload, business travel, and commute-related factors interact with engagement.</w:t>
      </w:r>
    </w:p>
    <w:p>
      <w:pPr>
        <w:pStyle w:val="ListBullet"/>
        <w:spacing w:after="40"/>
      </w:pPr>
      <w:r>
        <w:t>Identify career-stage and promotion-gap patterns associated with lower engagement.</w:t>
      </w:r>
    </w:p>
    <w:p>
      <w:pPr>
        <w:pStyle w:val="ListBullet"/>
        <w:spacing w:after="40"/>
      </w:pPr>
      <w:r>
        <w:t>Provide managers with actionable priority groups for preventive intervention.</w:t>
      </w:r>
    </w:p>
    <w:p>
      <w:pPr>
        <w:pStyle w:val="Heading1"/>
        <w:spacing w:before="160" w:after="80"/>
      </w:pPr>
      <w:r>
        <w:t>4. Analytical Approach</w:t>
      </w:r>
    </w:p>
    <w:p>
      <w:pPr>
        <w:pStyle w:val="ListBullet"/>
        <w:spacing w:after="40"/>
      </w:pPr>
      <w:r>
        <w:t>Validated employee attributes, ordinal satisfaction scales, and dataset structure.</w:t>
      </w:r>
    </w:p>
    <w:p>
      <w:pPr>
        <w:pStyle w:val="ListBullet"/>
        <w:spacing w:after="40"/>
      </w:pPr>
      <w:r>
        <w:t>Performed exploratory analysis across departments, job roles, overtime, travel, satisfaction, tenure, and attrition.</w:t>
      </w:r>
    </w:p>
    <w:p>
      <w:pPr>
        <w:pStyle w:val="ListBullet"/>
        <w:spacing w:after="40"/>
      </w:pPr>
      <w:r>
        <w:t>Constructed an Engagement Index from Job Involvement, Job Satisfaction, Environment Satisfaction, and Relationship Satisfaction.</w:t>
      </w:r>
    </w:p>
    <w:p>
      <w:pPr>
        <w:pStyle w:val="ListBullet"/>
        <w:spacing w:after="40"/>
      </w:pPr>
      <w:r>
        <w:t>Developed burnout-risk indicators using overtime and work-life balance conditions.</w:t>
      </w:r>
    </w:p>
    <w:p>
      <w:pPr>
        <w:pStyle w:val="ListBullet"/>
        <w:spacing w:after="40"/>
      </w:pPr>
      <w:r>
        <w:t>Analyzed engagement across job level, job role, years at company, current-role tenure, and promotion history.</w:t>
      </w:r>
    </w:p>
    <w:p>
      <w:pPr>
        <w:pStyle w:val="ListBullet"/>
        <w:spacing w:after="40"/>
      </w:pPr>
      <w:r>
        <w:t>Prepared KPI and dashboard-ready data for interactive Streamlit analysis.</w:t>
      </w:r>
    </w:p>
    <w:p>
      <w:pPr>
        <w:pStyle w:val="Heading1"/>
        <w:spacing w:before="160" w:after="80"/>
      </w:pPr>
      <w:r>
        <w:t>5. Decision-Support Dashboard</w:t>
      </w:r>
    </w:p>
    <w:p>
      <w:r>
        <w:t>The Streamlit application converts the analytical results into four decision-support modules:</w:t>
      </w:r>
    </w:p>
    <w:p>
      <w:r>
        <w:rPr>
          <w:b/>
        </w:rPr>
        <w:t xml:space="preserve">Engagement Health Overview: </w:t>
      </w:r>
      <w:r>
        <w:t>Organization-wide engagement, satisfaction, department and role patterns, and low-engagement groups.</w:t>
      </w:r>
    </w:p>
    <w:p>
      <w:r>
        <w:rPr>
          <w:b/>
        </w:rPr>
        <w:t xml:space="preserve">Burnout Risk Dashboard: </w:t>
      </w:r>
      <w:r>
        <w:t>Burnout-risk distribution, overtime, work-life balance, travel patterns, and high-risk segments.</w:t>
      </w:r>
    </w:p>
    <w:p>
      <w:r>
        <w:rPr>
          <w:b/>
        </w:rPr>
        <w:t xml:space="preserve">Role &amp; Career Stage Analysis: </w:t>
      </w:r>
      <w:r>
        <w:t>Engagement by job level and role, tenure trends, promotion gaps, career stages, and potential stagnation.</w:t>
      </w:r>
    </w:p>
    <w:p>
      <w:r>
        <w:rPr>
          <w:b/>
        </w:rPr>
        <w:t xml:space="preserve">Manager Action Panel: </w:t>
      </w:r>
      <w:r>
        <w:t>Priority employee groups, intervention areas, department/role concentration, and manager recommendations.</w:t>
      </w:r>
    </w:p>
    <w:p>
      <w:pPr>
        <w:pStyle w:val="Heading1"/>
        <w:spacing w:before="160" w:after="80"/>
      </w:pPr>
      <w:r>
        <w:t>6. Key Findings and Interpretation</w:t>
      </w:r>
    </w:p>
    <w:p>
      <w:pPr>
        <w:pStyle w:val="ListBullet"/>
        <w:spacing w:after="40"/>
      </w:pPr>
      <w:r>
        <w:t>The organization-wide Engagement Index is 2.72 out of 4, indicating meaningful variation in employee engagement and an opportunity for targeted improvement.</w:t>
      </w:r>
    </w:p>
    <w:p>
      <w:pPr>
        <w:pStyle w:val="ListBullet"/>
        <w:spacing w:after="40"/>
      </w:pPr>
      <w:r>
        <w:t>High burnout risk represents 8.6% of the analyzed employee population, creating a specific segment for preventive workload and well-being review.</w:t>
      </w:r>
    </w:p>
    <w:p>
      <w:pPr>
        <w:pStyle w:val="ListBullet"/>
        <w:spacing w:after="40"/>
      </w:pPr>
      <w:r>
        <w:t>The average Work-Life Balance score is 2.76 out of 4, suggesting that work-life balance should be considered alongside overtime when prioritizing interventions.</w:t>
      </w:r>
    </w:p>
    <w:p>
      <w:pPr>
        <w:pStyle w:val="ListBullet"/>
        <w:spacing w:after="40"/>
      </w:pPr>
      <w:r>
        <w:t>Engagement varies across job levels and job roles, indicating that employee experience is not uniform across the organization.</w:t>
      </w:r>
    </w:p>
    <w:p>
      <w:pPr>
        <w:pStyle w:val="ListBullet"/>
        <w:spacing w:after="40"/>
      </w:pPr>
      <w:r>
        <w:t>Longer tenure in a current role combined with extended promotion gaps can be used as a diagnostic signal for potential career stagnation when engagement is also low.</w:t>
      </w:r>
    </w:p>
    <w:p>
      <w:pPr>
        <w:pStyle w:val="ListBullet"/>
        <w:spacing w:after="40"/>
      </w:pPr>
      <w:r>
        <w:t>The Manager Action Panel prioritizes groups where multiple risk signals overlap, allowing HR to focus on prevention rather than relying only on attrition outcomes.</w:t>
      </w:r>
    </w:p>
    <w:p>
      <w:pPr>
        <w:pStyle w:val="Heading1"/>
        <w:spacing w:before="160" w:after="80"/>
      </w:pPr>
      <w:r>
        <w:t>7. Recommended Management Actions</w:t>
      </w:r>
    </w:p>
    <w:p>
      <w:r>
        <w:rPr>
          <w:b/>
        </w:rPr>
        <w:t xml:space="preserve">Prioritize high-risk, low-engagement groups: </w:t>
      </w:r>
      <w:r>
        <w:t>Use the Manager Action Panel to identify groups with both high burnout risk and below-threshold engagement for timely one-to-one review.</w:t>
      </w:r>
    </w:p>
    <w:p>
      <w:r>
        <w:rPr>
          <w:b/>
        </w:rPr>
        <w:t xml:space="preserve">Review overtime concentration: </w:t>
      </w:r>
      <w:r>
        <w:t>Examine whether overtime is concentrated in specific departments, roles, or career stages and consider workload redistribution where appropriate.</w:t>
      </w:r>
    </w:p>
    <w:p>
      <w:r>
        <w:rPr>
          <w:b/>
        </w:rPr>
        <w:t xml:space="preserve">Strengthen work-life balance interventions: </w:t>
      </w:r>
      <w:r>
        <w:t>Monitor employees with low work-life balance scores and recurring overtime, and evaluate scheduling, workload, and team-level practices.</w:t>
      </w:r>
    </w:p>
    <w:p>
      <w:r>
        <w:rPr>
          <w:b/>
        </w:rPr>
        <w:t xml:space="preserve">Address career stagnation signals: </w:t>
      </w:r>
      <w:r>
        <w:t>Review employees with long current-role tenure and large promotion gaps, particularly when engagement is also low.</w:t>
      </w:r>
    </w:p>
    <w:p>
      <w:r>
        <w:rPr>
          <w:b/>
        </w:rPr>
        <w:t xml:space="preserve">Use targeted engagement interventions: </w:t>
      </w:r>
      <w:r>
        <w:t>Investigate job satisfaction, environment satisfaction, relationship satisfaction, and job involvement rather than applying a single intervention to the whole organization.</w:t>
      </w:r>
    </w:p>
    <w:p>
      <w:r>
        <w:rPr>
          <w:b/>
        </w:rPr>
        <w:t xml:space="preserve">Monitor trends regularly: </w:t>
      </w:r>
      <w:r>
        <w:t>Repeat the diagnostic analysis periodically so changes in engagement and burnout indicators can be identified before they become late-stage retention problems.</w:t>
      </w:r>
    </w:p>
    <w:p>
      <w:pPr>
        <w:pStyle w:val="Heading1"/>
        <w:spacing w:before="160" w:after="80"/>
      </w:pPr>
      <w:r>
        <w:t>8. Business Value</w:t>
      </w:r>
    </w:p>
    <w:p>
      <w:r>
        <w:t>The project shifts HR analytics from a reactive attrition perspective toward preventive employee-experience diagnostics. By combining multiple employee signals in a single interactive dashboard, HR and managers can identify priority areas, compare employee segments, and focus interventions where the evidence indicates the greatest need.</w:t>
      </w:r>
    </w:p>
    <w:p>
      <w:pPr>
        <w:pStyle w:val="Heading1"/>
        <w:spacing w:before="160" w:after="80"/>
      </w:pPr>
      <w:r>
        <w:t>9. Limitations</w:t>
      </w:r>
    </w:p>
    <w:p>
      <w:pPr>
        <w:pStyle w:val="ListBullet"/>
        <w:spacing w:after="40"/>
      </w:pPr>
      <w:r>
        <w:t>The analysis is based on the available employee-level dataset and reflects the variables contained in that dataset.</w:t>
      </w:r>
    </w:p>
    <w:p>
      <w:pPr>
        <w:pStyle w:val="ListBullet"/>
        <w:spacing w:after="40"/>
      </w:pPr>
      <w:r>
        <w:t>Burnout-risk categories are analytical indicators and should not be interpreted as medical or psychological diagnoses.</w:t>
      </w:r>
    </w:p>
    <w:p>
      <w:pPr>
        <w:pStyle w:val="ListBullet"/>
        <w:spacing w:after="40"/>
      </w:pPr>
      <w:r>
        <w:t>Observed relationships do not by themselves establish causation.</w:t>
      </w:r>
    </w:p>
    <w:p>
      <w:pPr>
        <w:pStyle w:val="ListBullet"/>
        <w:spacing w:after="40"/>
      </w:pPr>
      <w:r>
        <w:t>Individual employee data should be handled responsibly, with appropriate privacy and HR governance.</w:t>
      </w:r>
    </w:p>
    <w:p>
      <w:pPr>
        <w:pStyle w:val="Heading1"/>
        <w:spacing w:before="160" w:after="80"/>
      </w:pPr>
      <w:r>
        <w:t>10. Conclusion</w:t>
      </w:r>
    </w:p>
    <w:p>
      <w:r>
        <w:t>The Employee Engagement, Satisfaction, and Burnout Diagnostic Analysis provides a practical framework for early identification of employee-experience risks. The combination of an Engagement Index, burnout indicators, career-stage analysis, KPIs, and an interactive Manager Action Panel enables a more proactive approach to workforce management. The dashboard can support recurring HR reviews and help translate employee analytics into focused, human-centered interventions.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Employee Engagement, Satisfaction, and Burnout Diagnostic Analysis | Executive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